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00" w:rsidRDefault="00070B00" w:rsidP="00264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PROJEKTAVIMO PASLAUGŲ</w:t>
      </w:r>
    </w:p>
    <w:p w:rsidR="00264606" w:rsidRDefault="00264606" w:rsidP="002646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606">
        <w:rPr>
          <w:rFonts w:ascii="Times New Roman" w:hAnsi="Times New Roman" w:cs="Times New Roman"/>
          <w:b/>
          <w:sz w:val="24"/>
          <w:szCs w:val="24"/>
        </w:rPr>
        <w:t>RINKOS KONSULTACIJA</w:t>
      </w:r>
    </w:p>
    <w:p w:rsidR="00FE0346" w:rsidRDefault="00FE0346" w:rsidP="00FE03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0346" w:rsidRPr="00264606" w:rsidRDefault="00FE0346" w:rsidP="00FE0346">
      <w:pPr>
        <w:spacing w:after="120"/>
        <w:ind w:left="-142" w:firstLine="993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4606">
        <w:rPr>
          <w:rFonts w:ascii="Times New Roman" w:hAnsi="Times New Roman" w:cs="Times New Roman"/>
          <w:b/>
          <w:sz w:val="24"/>
          <w:szCs w:val="24"/>
          <w:u w:val="single"/>
        </w:rPr>
        <w:t xml:space="preserve">Kainos pasiūlymas, pateiktas konsultacijai nelaikomas pirkimo pasiūlymu. Gauta iš tiekėjų informacija laikoma konfidencialia ir neviešinama. </w:t>
      </w:r>
    </w:p>
    <w:p w:rsidR="00FE0346" w:rsidRPr="00264606" w:rsidRDefault="00FE0346" w:rsidP="00FE034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4606" w:rsidRPr="00264606" w:rsidRDefault="00264606" w:rsidP="002646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606" w:rsidRPr="00A8779B" w:rsidRDefault="00264606" w:rsidP="00264606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4606">
        <w:rPr>
          <w:rFonts w:ascii="Times New Roman" w:hAnsi="Times New Roman" w:cs="Times New Roman"/>
          <w:sz w:val="24"/>
          <w:szCs w:val="24"/>
        </w:rPr>
        <w:t xml:space="preserve">Klaipėdos Ernesto Galvanausko profesinio mokymo centras (toliau vadinama – Perkančioji organizacija), </w:t>
      </w:r>
      <w:r w:rsidRPr="00264606">
        <w:rPr>
          <w:rFonts w:ascii="Times New Roman" w:hAnsi="Times New Roman" w:cs="Times New Roman"/>
          <w:b/>
          <w:sz w:val="24"/>
          <w:szCs w:val="24"/>
        </w:rPr>
        <w:t xml:space="preserve">numato pirkti  </w:t>
      </w:r>
      <w:r w:rsidR="00A8779B">
        <w:rPr>
          <w:rFonts w:ascii="Times New Roman" w:hAnsi="Times New Roman" w:cs="Times New Roman"/>
          <w:b/>
          <w:sz w:val="24"/>
          <w:szCs w:val="24"/>
        </w:rPr>
        <w:t xml:space="preserve">Pastatų </w:t>
      </w:r>
      <w:r w:rsidRPr="00A8779B">
        <w:rPr>
          <w:rFonts w:ascii="Times New Roman" w:hAnsi="Times New Roman" w:cs="Times New Roman"/>
          <w:b/>
          <w:sz w:val="24"/>
          <w:szCs w:val="24"/>
        </w:rPr>
        <w:t xml:space="preserve">atnaujinimo </w:t>
      </w:r>
      <w:r w:rsidR="00A8779B" w:rsidRPr="00A8779B">
        <w:rPr>
          <w:rFonts w:ascii="Times New Roman" w:hAnsi="Times New Roman" w:cs="Times New Roman"/>
          <w:b/>
          <w:sz w:val="24"/>
          <w:szCs w:val="24"/>
        </w:rPr>
        <w:t xml:space="preserve">projektavimo </w:t>
      </w:r>
      <w:r w:rsidRPr="00A8779B">
        <w:rPr>
          <w:rFonts w:ascii="Times New Roman" w:hAnsi="Times New Roman" w:cs="Times New Roman"/>
          <w:b/>
          <w:sz w:val="24"/>
          <w:szCs w:val="24"/>
        </w:rPr>
        <w:t xml:space="preserve">darbus </w:t>
      </w:r>
      <w:r w:rsidRPr="00A8779B">
        <w:rPr>
          <w:rFonts w:ascii="Times New Roman" w:hAnsi="Times New Roman" w:cs="Times New Roman"/>
          <w:kern w:val="2"/>
          <w:sz w:val="24"/>
          <w:szCs w:val="24"/>
          <w:lang w:eastAsia="ar-SA"/>
        </w:rPr>
        <w:t>(toliau –</w:t>
      </w:r>
      <w:r w:rsidR="00A8779B" w:rsidRPr="00A8779B">
        <w:rPr>
          <w:rFonts w:ascii="Times New Roman" w:hAnsi="Times New Roman" w:cs="Times New Roman"/>
          <w:kern w:val="2"/>
          <w:sz w:val="24"/>
          <w:szCs w:val="24"/>
          <w:lang w:eastAsia="ar-SA"/>
        </w:rPr>
        <w:t>Paslaugos</w:t>
      </w:r>
      <w:r w:rsidRPr="00A8779B">
        <w:rPr>
          <w:rFonts w:ascii="Times New Roman" w:hAnsi="Times New Roman" w:cs="Times New Roman"/>
          <w:kern w:val="2"/>
          <w:sz w:val="24"/>
          <w:szCs w:val="24"/>
          <w:lang w:eastAsia="ar-SA"/>
        </w:rPr>
        <w:t xml:space="preserve">) ir </w:t>
      </w:r>
      <w:r w:rsidRPr="00A8779B">
        <w:rPr>
          <w:rFonts w:ascii="Times New Roman" w:hAnsi="Times New Roman" w:cs="Times New Roman"/>
          <w:sz w:val="24"/>
          <w:szCs w:val="24"/>
        </w:rPr>
        <w:t xml:space="preserve">prašo rinkos dalyvių suteikti konsultaciją. </w:t>
      </w:r>
    </w:p>
    <w:p w:rsidR="00264606" w:rsidRPr="00264606" w:rsidRDefault="00264606" w:rsidP="00264606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64606">
        <w:rPr>
          <w:rFonts w:ascii="Times New Roman" w:hAnsi="Times New Roman" w:cs="Times New Roman"/>
          <w:b/>
          <w:sz w:val="24"/>
          <w:szCs w:val="24"/>
        </w:rPr>
        <w:t>Konsultacijos tikslas</w:t>
      </w:r>
      <w:r w:rsidRPr="00264606">
        <w:rPr>
          <w:rFonts w:ascii="Times New Roman" w:hAnsi="Times New Roman" w:cs="Times New Roman"/>
          <w:sz w:val="24"/>
          <w:szCs w:val="24"/>
        </w:rPr>
        <w:t>:</w:t>
      </w:r>
    </w:p>
    <w:p w:rsidR="00264606" w:rsidRPr="00264606" w:rsidRDefault="00264606" w:rsidP="00264606">
      <w:pPr>
        <w:pStyle w:val="Sraopastraipa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606">
        <w:rPr>
          <w:rFonts w:ascii="Times New Roman" w:hAnsi="Times New Roman" w:cs="Times New Roman"/>
          <w:sz w:val="24"/>
          <w:szCs w:val="24"/>
        </w:rPr>
        <w:t xml:space="preserve">gauti rinkos dalyvių konsultacijas/ pastabas bei pasiūlymus dėl numatytų </w:t>
      </w:r>
      <w:r w:rsidR="00FE0346">
        <w:rPr>
          <w:rFonts w:ascii="Times New Roman" w:hAnsi="Times New Roman" w:cs="Times New Roman"/>
          <w:sz w:val="24"/>
          <w:szCs w:val="24"/>
        </w:rPr>
        <w:t xml:space="preserve">Paslaugų </w:t>
      </w:r>
      <w:r w:rsidRPr="00264606">
        <w:rPr>
          <w:rFonts w:ascii="Times New Roman" w:hAnsi="Times New Roman" w:cs="Times New Roman"/>
          <w:sz w:val="24"/>
          <w:szCs w:val="24"/>
        </w:rPr>
        <w:t>apimties aiškumo(tikslumo);</w:t>
      </w:r>
    </w:p>
    <w:p w:rsidR="00264606" w:rsidRPr="00264606" w:rsidRDefault="00264606" w:rsidP="00264606">
      <w:pPr>
        <w:pStyle w:val="Sraopastraipa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606">
        <w:rPr>
          <w:rFonts w:ascii="Times New Roman" w:hAnsi="Times New Roman" w:cs="Times New Roman"/>
          <w:sz w:val="24"/>
          <w:szCs w:val="24"/>
        </w:rPr>
        <w:t xml:space="preserve"> suplanuoti viešojo pirkimo biudžetą;</w:t>
      </w:r>
    </w:p>
    <w:p w:rsidR="00264606" w:rsidRPr="00264606" w:rsidRDefault="00264606" w:rsidP="00264606">
      <w:pPr>
        <w:pStyle w:val="Sraopastraipa"/>
        <w:numPr>
          <w:ilvl w:val="0"/>
          <w:numId w:val="2"/>
        </w:numPr>
        <w:spacing w:after="120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606">
        <w:rPr>
          <w:rFonts w:ascii="Times New Roman" w:hAnsi="Times New Roman" w:cs="Times New Roman"/>
          <w:sz w:val="24"/>
          <w:szCs w:val="24"/>
        </w:rPr>
        <w:t>atsižvelgiant į rinkos konsultacijos rezultatus,  nustatyti technines, komercines bei kitas sutarties vykdymo sąlygas bei atlikti viešąjį pirkimą.</w:t>
      </w:r>
    </w:p>
    <w:p w:rsidR="00264606" w:rsidRPr="00264606" w:rsidRDefault="00264606" w:rsidP="00264606">
      <w:pPr>
        <w:pStyle w:val="Sraopastraipa"/>
        <w:spacing w:after="12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64606" w:rsidRPr="00264606" w:rsidRDefault="00264606" w:rsidP="00264606">
      <w:pPr>
        <w:spacing w:after="120"/>
        <w:ind w:left="-142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64606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64606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Viešųjų pirkimų tarnybos nustatyta tvarka. Rinkos dalyviai kviečiami ne vėliau kaip </w:t>
      </w:r>
      <w:r w:rsidRPr="00FE034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iki 2025 m. </w:t>
      </w:r>
      <w:r w:rsidR="00A877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vasario 7 </w:t>
      </w:r>
      <w:r w:rsidRPr="00FE0346">
        <w:rPr>
          <w:rFonts w:ascii="Times New Roman" w:hAnsi="Times New Roman" w:cs="Times New Roman"/>
          <w:b/>
          <w:color w:val="FF0000"/>
          <w:sz w:val="24"/>
          <w:szCs w:val="24"/>
        </w:rPr>
        <w:t>d. 1</w:t>
      </w:r>
      <w:r w:rsidR="00A8779B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323D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bookmarkStart w:id="0" w:name="_GoBack"/>
      <w:bookmarkEnd w:id="0"/>
      <w:r w:rsidRPr="00FE0346">
        <w:rPr>
          <w:rFonts w:ascii="Times New Roman" w:hAnsi="Times New Roman" w:cs="Times New Roman"/>
          <w:b/>
          <w:color w:val="FF0000"/>
          <w:sz w:val="24"/>
          <w:szCs w:val="24"/>
        </w:rPr>
        <w:t>val. 00 min</w:t>
      </w:r>
      <w:r w:rsidRPr="00264606">
        <w:rPr>
          <w:rFonts w:ascii="Times New Roman" w:hAnsi="Times New Roman" w:cs="Times New Roman"/>
          <w:b/>
          <w:sz w:val="24"/>
          <w:szCs w:val="24"/>
        </w:rPr>
        <w:t>.</w:t>
      </w:r>
      <w:r w:rsidRPr="00264606">
        <w:rPr>
          <w:rFonts w:ascii="Times New Roman" w:hAnsi="Times New Roman" w:cs="Times New Roman"/>
          <w:sz w:val="24"/>
          <w:szCs w:val="24"/>
        </w:rPr>
        <w:t xml:space="preserve"> pateikti atsakymus į klausimus, savo siūlymus ir rekomendacijas. </w:t>
      </w:r>
    </w:p>
    <w:p w:rsidR="00264606" w:rsidRDefault="00264606" w:rsidP="00264606">
      <w:pPr>
        <w:spacing w:after="12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4606">
        <w:rPr>
          <w:rFonts w:ascii="Times New Roman" w:hAnsi="Times New Roman" w:cs="Times New Roman"/>
          <w:b/>
          <w:sz w:val="24"/>
          <w:szCs w:val="24"/>
        </w:rPr>
        <w:t xml:space="preserve">Siekdami </w:t>
      </w:r>
      <w:r>
        <w:rPr>
          <w:rFonts w:ascii="Times New Roman" w:hAnsi="Times New Roman" w:cs="Times New Roman"/>
          <w:b/>
          <w:sz w:val="24"/>
          <w:szCs w:val="24"/>
        </w:rPr>
        <w:t xml:space="preserve">tinkamai </w:t>
      </w:r>
      <w:r w:rsidRPr="00264606">
        <w:rPr>
          <w:rFonts w:ascii="Times New Roman" w:hAnsi="Times New Roman" w:cs="Times New Roman"/>
          <w:b/>
          <w:sz w:val="24"/>
          <w:szCs w:val="24"/>
        </w:rPr>
        <w:t xml:space="preserve">pasiruošti Pirkimui, </w:t>
      </w:r>
      <w:r>
        <w:rPr>
          <w:rFonts w:ascii="Times New Roman" w:hAnsi="Times New Roman" w:cs="Times New Roman"/>
          <w:b/>
          <w:sz w:val="24"/>
          <w:szCs w:val="24"/>
        </w:rPr>
        <w:t xml:space="preserve">Perkančioji organizacija prašo suinteresuotų rinkos dalyvių </w:t>
      </w:r>
      <w:r w:rsidRPr="00264606">
        <w:rPr>
          <w:rFonts w:ascii="Times New Roman" w:hAnsi="Times New Roman" w:cs="Times New Roman"/>
          <w:b/>
          <w:sz w:val="24"/>
          <w:szCs w:val="24"/>
        </w:rPr>
        <w:t>atsakyti į šiuos klausimus:</w:t>
      </w:r>
    </w:p>
    <w:p w:rsidR="000B41AB" w:rsidRPr="00264606" w:rsidRDefault="000B41AB" w:rsidP="00264606">
      <w:pPr>
        <w:spacing w:after="12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96"/>
        <w:gridCol w:w="5111"/>
        <w:gridCol w:w="3821"/>
      </w:tblGrid>
      <w:tr w:rsidR="00264606" w:rsidRPr="00264606" w:rsidTr="00153932">
        <w:tc>
          <w:tcPr>
            <w:tcW w:w="696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11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264606" w:rsidRPr="00264606" w:rsidTr="00153932">
        <w:tc>
          <w:tcPr>
            <w:tcW w:w="696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1" w:type="dxa"/>
          </w:tcPr>
          <w:p w:rsidR="00264606" w:rsidRPr="00264606" w:rsidRDefault="00264606" w:rsidP="0007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reikalavimai jūsų nuomone dirbtinai neriboja konkurencijos? (jeigu yra taisytinų parametrų, nurodyti)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4606" w:rsidRPr="00264606" w:rsidTr="00153932">
        <w:trPr>
          <w:trHeight w:val="447"/>
        </w:trPr>
        <w:tc>
          <w:tcPr>
            <w:tcW w:w="696" w:type="dxa"/>
            <w:vMerge w:val="restart"/>
          </w:tcPr>
          <w:p w:rsidR="00264606" w:rsidRPr="00264606" w:rsidDel="004955A0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1" w:type="dxa"/>
          </w:tcPr>
          <w:p w:rsidR="00264606" w:rsidRPr="00264606" w:rsidRDefault="00264606" w:rsidP="00070B0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apimtyje jūsų nuomone yra numatyti visi būtini parametrai,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>siekiant įsigyti kokybiškas projektavimo paslaugas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4606" w:rsidRPr="00264606" w:rsidTr="00153932">
        <w:trPr>
          <w:trHeight w:val="447"/>
        </w:trPr>
        <w:tc>
          <w:tcPr>
            <w:tcW w:w="696" w:type="dxa"/>
            <w:vMerge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Jeigu ne, kokie parametrai galėtų būti papildomai numatyti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4606" w:rsidRPr="00264606" w:rsidTr="00153932">
        <w:trPr>
          <w:trHeight w:val="447"/>
        </w:trPr>
        <w:tc>
          <w:tcPr>
            <w:tcW w:w="696" w:type="dxa"/>
            <w:vMerge w:val="restart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1" w:type="dxa"/>
          </w:tcPr>
          <w:p w:rsidR="00264606" w:rsidRPr="00264606" w:rsidRDefault="00264606" w:rsidP="00070B0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jūsų nuomone nėra numatyta perteklinių reikalavimų? 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4606" w:rsidRPr="00264606" w:rsidTr="00153932">
        <w:trPr>
          <w:trHeight w:val="447"/>
        </w:trPr>
        <w:tc>
          <w:tcPr>
            <w:tcW w:w="696" w:type="dxa"/>
            <w:vMerge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Jei taip, kurie reikalavimai galimai yra pertekliniai ir kodėl?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4606" w:rsidRPr="00264606" w:rsidTr="00153932">
        <w:trPr>
          <w:trHeight w:val="447"/>
        </w:trPr>
        <w:tc>
          <w:tcPr>
            <w:tcW w:w="696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1" w:type="dxa"/>
          </w:tcPr>
          <w:p w:rsidR="00264606" w:rsidRPr="00264606" w:rsidRDefault="00264606" w:rsidP="005B28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siūlo paslaugų suteikimo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terminą – per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 xml:space="preserve">mėn.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nuo sutarties įsi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 xml:space="preserve">galiojimo datos ir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 xml:space="preserve">suinteresuota nustatyti kuo trumpesnį </w:t>
            </w:r>
            <w:r w:rsidR="005B280F">
              <w:rPr>
                <w:rFonts w:ascii="Times New Roman" w:hAnsi="Times New Roman" w:cs="Times New Roman"/>
                <w:sz w:val="24"/>
                <w:szCs w:val="24"/>
              </w:rPr>
              <w:t>projektavimo p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 xml:space="preserve">aslaugų suteikimo terminą. Koks Jūsų manymu yra optimalus projektavimo </w:t>
            </w:r>
            <w:r w:rsidR="00B40615">
              <w:rPr>
                <w:rFonts w:ascii="Times New Roman" w:hAnsi="Times New Roman" w:cs="Times New Roman"/>
                <w:sz w:val="24"/>
                <w:szCs w:val="24"/>
              </w:rPr>
              <w:t xml:space="preserve">darbų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 xml:space="preserve">terminas techninės specifikacijos nurodytoje </w:t>
            </w:r>
            <w:r w:rsidR="00B40615"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="00070B00">
              <w:rPr>
                <w:rFonts w:ascii="Times New Roman" w:hAnsi="Times New Roman" w:cs="Times New Roman"/>
                <w:sz w:val="24"/>
                <w:szCs w:val="24"/>
              </w:rPr>
              <w:t>apimtyje?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41AB" w:rsidRPr="00264606" w:rsidTr="00153932">
        <w:trPr>
          <w:trHeight w:val="447"/>
        </w:trPr>
        <w:tc>
          <w:tcPr>
            <w:tcW w:w="696" w:type="dxa"/>
            <w:vMerge w:val="restart"/>
          </w:tcPr>
          <w:p w:rsidR="000B41AB" w:rsidRPr="00264606" w:rsidRDefault="000B41AB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1" w:type="dxa"/>
          </w:tcPr>
          <w:p w:rsidR="005B280F" w:rsidRDefault="000B41AB" w:rsidP="00B4061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Techninėje specifikacijoje jūsų nuomone yra pakankamai duomenų apie statomąjį objektą, kad būtų galima tinkamai nustatyti</w:t>
            </w:r>
            <w:r w:rsidR="005B28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B280F" w:rsidRDefault="005B280F" w:rsidP="00B4061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0B41AB">
              <w:rPr>
                <w:rFonts w:ascii="Times New Roman" w:hAnsi="Times New Roman" w:cs="Times New Roman"/>
                <w:sz w:val="24"/>
                <w:szCs w:val="24"/>
              </w:rPr>
              <w:t xml:space="preserve"> projektavimo paslaugų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apimtis ir kainą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0B41AB" w:rsidRPr="00264606" w:rsidRDefault="005B280F" w:rsidP="00B4061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  <w:r w:rsidR="000B41AB">
              <w:rPr>
                <w:rFonts w:ascii="Times New Roman" w:hAnsi="Times New Roman" w:cs="Times New Roman"/>
                <w:sz w:val="24"/>
                <w:szCs w:val="24"/>
              </w:rPr>
              <w:t xml:space="preserve">projekto vykdymo priežiūros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paslaugų </w:t>
            </w:r>
            <w:r w:rsidR="000B41AB">
              <w:rPr>
                <w:rFonts w:ascii="Times New Roman" w:hAnsi="Times New Roman" w:cs="Times New Roman"/>
                <w:sz w:val="24"/>
                <w:szCs w:val="24"/>
              </w:rPr>
              <w:t xml:space="preserve">apimtis ir kainą? </w:t>
            </w:r>
          </w:p>
        </w:tc>
        <w:tc>
          <w:tcPr>
            <w:tcW w:w="3821" w:type="dxa"/>
          </w:tcPr>
          <w:p w:rsidR="000B41AB" w:rsidRPr="00264606" w:rsidRDefault="000B41AB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41AB" w:rsidRPr="00264606" w:rsidTr="00153932">
        <w:trPr>
          <w:trHeight w:val="447"/>
        </w:trPr>
        <w:tc>
          <w:tcPr>
            <w:tcW w:w="696" w:type="dxa"/>
            <w:vMerge/>
          </w:tcPr>
          <w:p w:rsidR="000B41AB" w:rsidRDefault="000B41AB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:rsidR="000B41AB" w:rsidRDefault="000B41AB" w:rsidP="000B41A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Jeigu 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kokie duomenys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galėtų būti papildomai numatyti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1" w:type="dxa"/>
          </w:tcPr>
          <w:p w:rsidR="000B41AB" w:rsidRPr="00264606" w:rsidRDefault="000B41AB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E0346" w:rsidRPr="00264606" w:rsidTr="00153932">
        <w:trPr>
          <w:trHeight w:val="447"/>
        </w:trPr>
        <w:tc>
          <w:tcPr>
            <w:tcW w:w="696" w:type="dxa"/>
          </w:tcPr>
          <w:p w:rsidR="00FE0346" w:rsidRPr="00264606" w:rsidRDefault="000B41AB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1" w:type="dxa"/>
          </w:tcPr>
          <w:p w:rsidR="00FE0346" w:rsidRPr="00264606" w:rsidRDefault="00FE0346" w:rsidP="00FE034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Kokios galimos priežastys ir rizikos gali įtakoti ilgesnį Paslaugų suteikimą? Kokiam terminui?</w:t>
            </w:r>
          </w:p>
        </w:tc>
        <w:tc>
          <w:tcPr>
            <w:tcW w:w="3821" w:type="dxa"/>
          </w:tcPr>
          <w:p w:rsidR="00FE0346" w:rsidRPr="00264606" w:rsidRDefault="00FE0346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280F" w:rsidRPr="00264606" w:rsidTr="00153932">
        <w:trPr>
          <w:trHeight w:val="447"/>
        </w:trPr>
        <w:tc>
          <w:tcPr>
            <w:tcW w:w="696" w:type="dxa"/>
            <w:vMerge w:val="restart"/>
          </w:tcPr>
          <w:p w:rsidR="005B280F" w:rsidRPr="00264606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1" w:type="dxa"/>
          </w:tcPr>
          <w:p w:rsidR="005B280F" w:rsidRPr="00264606" w:rsidRDefault="005B280F" w:rsidP="00B4061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ketina kelti kvalifikacijos reikalavimus, nurodytus šio kvietimo 2 priede. Ar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jūsų nuomone yra numatyti visi būtini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reikalavimai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siekiant įsigyti kokybiškas projektavimo paslaugas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821" w:type="dxa"/>
          </w:tcPr>
          <w:p w:rsidR="005B280F" w:rsidRPr="00264606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280F" w:rsidRPr="00264606" w:rsidTr="00153932">
        <w:trPr>
          <w:trHeight w:val="447"/>
        </w:trPr>
        <w:tc>
          <w:tcPr>
            <w:tcW w:w="696" w:type="dxa"/>
            <w:vMerge/>
          </w:tcPr>
          <w:p w:rsidR="005B280F" w:rsidRPr="00264606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1" w:type="dxa"/>
          </w:tcPr>
          <w:p w:rsidR="005B280F" w:rsidRPr="00264606" w:rsidRDefault="005B280F" w:rsidP="005B28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 xml:space="preserve">Jeigu ne, kokie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reikalavimai </w:t>
            </w: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galėtų būti papildomai numatyti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 kokių reikalavimų jūsų nuomone reikia  atsisakyti?</w:t>
            </w:r>
          </w:p>
        </w:tc>
        <w:tc>
          <w:tcPr>
            <w:tcW w:w="3821" w:type="dxa"/>
          </w:tcPr>
          <w:p w:rsidR="005B280F" w:rsidRPr="00264606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B41AB" w:rsidRPr="00264606" w:rsidTr="00153932">
        <w:trPr>
          <w:trHeight w:val="447"/>
        </w:trPr>
        <w:tc>
          <w:tcPr>
            <w:tcW w:w="696" w:type="dxa"/>
          </w:tcPr>
          <w:p w:rsidR="000B41AB" w:rsidRPr="00264606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1" w:type="dxa"/>
          </w:tcPr>
          <w:p w:rsidR="000B41AB" w:rsidRDefault="000B41AB" w:rsidP="00D34D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Kokios jūsų nuomone apmokėjimo sąlygos užtikrins sąžiningą perkančiosios organizacijos atsiskaitymą už kokybiškai suteiktas paslaugas.</w:t>
            </w:r>
          </w:p>
        </w:tc>
        <w:tc>
          <w:tcPr>
            <w:tcW w:w="3821" w:type="dxa"/>
          </w:tcPr>
          <w:p w:rsidR="000B41AB" w:rsidRPr="00264606" w:rsidRDefault="000B41AB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0615" w:rsidRPr="00264606" w:rsidTr="00153932">
        <w:trPr>
          <w:trHeight w:val="447"/>
        </w:trPr>
        <w:tc>
          <w:tcPr>
            <w:tcW w:w="696" w:type="dxa"/>
          </w:tcPr>
          <w:p w:rsidR="00B40615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11" w:type="dxa"/>
          </w:tcPr>
          <w:p w:rsidR="00B40615" w:rsidRPr="00264606" w:rsidRDefault="00B40615" w:rsidP="00D34D8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Kokius paslaugų suteikimo etapus Jūs galite pasiūlyti, atsižvelgiant į techninėje specifikacijoje nustatytas apimtis? </w:t>
            </w:r>
          </w:p>
        </w:tc>
        <w:tc>
          <w:tcPr>
            <w:tcW w:w="3821" w:type="dxa"/>
          </w:tcPr>
          <w:p w:rsidR="00B40615" w:rsidRPr="00264606" w:rsidRDefault="00B40615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64606" w:rsidRPr="00264606" w:rsidTr="00153932">
        <w:trPr>
          <w:trHeight w:val="447"/>
        </w:trPr>
        <w:tc>
          <w:tcPr>
            <w:tcW w:w="696" w:type="dxa"/>
          </w:tcPr>
          <w:p w:rsidR="00264606" w:rsidRPr="00264606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11" w:type="dxa"/>
          </w:tcPr>
          <w:p w:rsidR="00264606" w:rsidRPr="00264606" w:rsidRDefault="00B40615" w:rsidP="00D34D87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Perkančioji organizacija vertins pasiūlymus pagal kainos ir kokybės ekonominio naudingumo vertinimo kriterijus. Pagrindiniu kokybės kriterijumi numatoma nustatyti</w:t>
            </w:r>
            <w:r w:rsidR="00FE0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projekto vadovo</w:t>
            </w:r>
            <w:r w:rsidR="005B28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ir projekto dalių vadovų</w:t>
            </w:r>
            <w:r w:rsidR="00FE0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patirtį panašių sutarčių </w:t>
            </w:r>
            <w:r w:rsidR="005B28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(ypatingojo statinio atnaujinimo projektavimas, kai keičiama energetinio naudingumo klase iki ne mažiau kaip „B“) </w:t>
            </w:r>
            <w:r w:rsidR="00FE0346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vykdyme.</w:t>
            </w:r>
          </w:p>
        </w:tc>
        <w:tc>
          <w:tcPr>
            <w:tcW w:w="3821" w:type="dxa"/>
          </w:tcPr>
          <w:p w:rsidR="00264606" w:rsidRPr="00264606" w:rsidRDefault="00264606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40615" w:rsidRPr="00264606" w:rsidTr="00153932">
        <w:trPr>
          <w:trHeight w:val="447"/>
        </w:trPr>
        <w:tc>
          <w:tcPr>
            <w:tcW w:w="696" w:type="dxa"/>
          </w:tcPr>
          <w:p w:rsidR="00B40615" w:rsidRPr="00264606" w:rsidRDefault="005B280F" w:rsidP="0015393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11" w:type="dxa"/>
          </w:tcPr>
          <w:p w:rsidR="00B40615" w:rsidRDefault="00B40615" w:rsidP="005B28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4606">
              <w:rPr>
                <w:rFonts w:ascii="Times New Roman" w:hAnsi="Times New Roman" w:cs="Times New Roman"/>
                <w:sz w:val="24"/>
                <w:szCs w:val="24"/>
              </w:rPr>
              <w:t>Kokią galite pasiūlyti preliminarią kainą be PVM:</w:t>
            </w:r>
          </w:p>
          <w:p w:rsidR="005B280F" w:rsidRDefault="005B280F" w:rsidP="005B280F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 Projektavimo paslaugų kaina</w:t>
            </w:r>
          </w:p>
          <w:p w:rsidR="005B280F" w:rsidRPr="00264606" w:rsidRDefault="005B280F" w:rsidP="005B280F">
            <w:pPr>
              <w:spacing w:after="12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 Projekto vykdymo priežiūros kaina</w:t>
            </w:r>
          </w:p>
        </w:tc>
        <w:tc>
          <w:tcPr>
            <w:tcW w:w="3821" w:type="dxa"/>
          </w:tcPr>
          <w:p w:rsidR="00B40615" w:rsidRPr="00264606" w:rsidRDefault="00B40615" w:rsidP="00153932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64606" w:rsidRDefault="00264606" w:rsidP="002646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8779B" w:rsidRDefault="00A8779B" w:rsidP="002646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:rsidR="00A8779B" w:rsidRDefault="00A8779B" w:rsidP="00A8779B">
      <w:pPr>
        <w:pStyle w:val="Sraopastrai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 projektas</w:t>
      </w:r>
    </w:p>
    <w:p w:rsidR="00A8779B" w:rsidRPr="00A8779B" w:rsidRDefault="00A8779B" w:rsidP="00A8779B">
      <w:pPr>
        <w:pStyle w:val="Sraopastraipa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Kvalifikacijos reikalavimų projektas</w:t>
      </w:r>
    </w:p>
    <w:p w:rsidR="00264606" w:rsidRPr="00264606" w:rsidRDefault="00264606" w:rsidP="002646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64606" w:rsidRPr="00264606" w:rsidRDefault="00264606" w:rsidP="0026460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64606" w:rsidRPr="00264606" w:rsidSect="0028128D">
      <w:pgSz w:w="11906" w:h="16838"/>
      <w:pgMar w:top="680" w:right="567" w:bottom="680" w:left="1701" w:header="397" w:footer="39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87FE2"/>
    <w:multiLevelType w:val="hybridMultilevel"/>
    <w:tmpl w:val="3030FF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36A4015D"/>
    <w:multiLevelType w:val="hybridMultilevel"/>
    <w:tmpl w:val="41FEFA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5A"/>
    <w:rsid w:val="00070B00"/>
    <w:rsid w:val="000B41AB"/>
    <w:rsid w:val="00147150"/>
    <w:rsid w:val="00264606"/>
    <w:rsid w:val="0028128D"/>
    <w:rsid w:val="002B4BCA"/>
    <w:rsid w:val="00323D9B"/>
    <w:rsid w:val="004C215A"/>
    <w:rsid w:val="005B280F"/>
    <w:rsid w:val="006C6383"/>
    <w:rsid w:val="007E04E6"/>
    <w:rsid w:val="00856CEE"/>
    <w:rsid w:val="00A8779B"/>
    <w:rsid w:val="00AA0D58"/>
    <w:rsid w:val="00B10DB6"/>
    <w:rsid w:val="00B40615"/>
    <w:rsid w:val="00B7427B"/>
    <w:rsid w:val="00D34D87"/>
    <w:rsid w:val="00F770DC"/>
    <w:rsid w:val="00FC2727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BE26"/>
  <w15:chartTrackingRefBased/>
  <w15:docId w15:val="{C907FD61-FA50-4328-83ED-5BEFAAEC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C215A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4C215A"/>
    <w:rPr>
      <w:color w:val="0563C1"/>
      <w:u w:val="single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Sąrašo pastraipa.Bullet,Sąrašo pastraipa;Bullet"/>
    <w:basedOn w:val="prastasis"/>
    <w:link w:val="SraopastraipaDiagrama"/>
    <w:uiPriority w:val="34"/>
    <w:qFormat/>
    <w:rsid w:val="004C215A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64606"/>
    <w:rPr>
      <w:rFonts w:ascii="Calibri" w:hAnsi="Calibri" w:cs="Calibri"/>
    </w:rPr>
  </w:style>
  <w:style w:type="table" w:styleId="Lentelstinklelis">
    <w:name w:val="Table Grid"/>
    <w:basedOn w:val="prastojilentel"/>
    <w:uiPriority w:val="59"/>
    <w:rsid w:val="0026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B10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2257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</cp:lastModifiedBy>
  <cp:revision>3</cp:revision>
  <dcterms:created xsi:type="dcterms:W3CDTF">2025-01-31T07:33:00Z</dcterms:created>
  <dcterms:modified xsi:type="dcterms:W3CDTF">2025-01-31T11:43:00Z</dcterms:modified>
</cp:coreProperties>
</file>