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8325" w14:textId="77777777" w:rsidR="005F20F0" w:rsidRDefault="005F20F0" w:rsidP="005F20F0">
      <w:pPr>
        <w:pStyle w:val="NormalWeb"/>
        <w:spacing w:before="77" w:beforeAutospacing="0" w:after="0" w:afterAutospacing="0"/>
        <w:textAlignment w:val="baseline"/>
        <w:rPr>
          <w:rFonts w:ascii="Calibri" w:eastAsia="MS PGothic" w:hAnsi="Calibri" w:cs="Calibri"/>
          <w:b/>
          <w:color w:val="000000" w:themeColor="text1"/>
          <w:kern w:val="24"/>
          <w:sz w:val="20"/>
          <w:szCs w:val="20"/>
        </w:rPr>
      </w:pPr>
    </w:p>
    <w:p w14:paraId="6E13A49E" w14:textId="77777777" w:rsidR="008E740B" w:rsidRPr="00844AED" w:rsidRDefault="008E740B" w:rsidP="005F20F0">
      <w:pPr>
        <w:pStyle w:val="NormalWeb"/>
        <w:spacing w:before="77" w:beforeAutospacing="0" w:after="0" w:afterAutospacing="0"/>
        <w:textAlignment w:val="baseline"/>
        <w:rPr>
          <w:rFonts w:ascii="Calibri" w:eastAsia="MS PGothic" w:hAnsi="Calibri" w:cs="Calibri"/>
          <w:b/>
          <w:color w:val="000000" w:themeColor="text1"/>
          <w:kern w:val="24"/>
          <w:sz w:val="20"/>
          <w:szCs w:val="20"/>
        </w:rPr>
      </w:pPr>
    </w:p>
    <w:tbl>
      <w:tblPr>
        <w:tblW w:w="10349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117"/>
        <w:gridCol w:w="5251"/>
        <w:gridCol w:w="2268"/>
      </w:tblGrid>
      <w:tr w:rsidR="005F20F0" w:rsidRPr="00F72307" w14:paraId="2E146AAB" w14:textId="4BB1DB96" w:rsidTr="005F20F0">
        <w:trPr>
          <w:trHeight w:val="3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FF08B7" w14:textId="77777777" w:rsidR="005F20F0" w:rsidRPr="00F72307" w:rsidRDefault="005F20F0" w:rsidP="00EF56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Eil. Nr.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E525D" w14:textId="77777777" w:rsidR="005F20F0" w:rsidRPr="00F72307" w:rsidRDefault="005F20F0" w:rsidP="00EF56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Klausimas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A7342" w14:textId="77777777" w:rsidR="005F20F0" w:rsidRPr="00F72307" w:rsidRDefault="005F20F0" w:rsidP="00EF56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Dalyvio nuomonė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DC11" w14:textId="48C1C989" w:rsidR="005F20F0" w:rsidRPr="00F72307" w:rsidRDefault="005F20F0" w:rsidP="00EF56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 atsakymas</w:t>
            </w:r>
          </w:p>
        </w:tc>
      </w:tr>
      <w:tr w:rsidR="005F20F0" w:rsidRPr="00F72307" w14:paraId="11DF388D" w14:textId="56A43218" w:rsidTr="005F20F0">
        <w:trPr>
          <w:trHeight w:val="3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CE4BB" w14:textId="77777777" w:rsidR="005F20F0" w:rsidRPr="00F72307" w:rsidRDefault="005F20F0" w:rsidP="00EF56C1">
            <w:pPr>
              <w:spacing w:after="0" w:line="240" w:lineRule="auto"/>
              <w:ind w:left="720" w:right="-630" w:hanging="36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FC622" w14:textId="77777777" w:rsidR="005F20F0" w:rsidRPr="00F72307" w:rsidRDefault="005F20F0" w:rsidP="00EF56C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Ar 2 priede pateikta Techninė specifikacija yra aiški ir pakankama tinkamam tokių paslaugų atlikimui? Jei ne, prašome nurodyti ką reikėtų patikslinti/pakoreguoti.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0C4EC" w14:textId="7FF38CAB" w:rsidR="005F20F0" w:rsidRPr="00F72307" w:rsidRDefault="005F20F0" w:rsidP="00EF56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AC37" w14:textId="3D6883AB" w:rsidR="005F20F0" w:rsidRPr="00F7230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5F20F0" w:rsidRPr="00F72307" w14:paraId="3854A993" w14:textId="7135BC0E" w:rsidTr="005F20F0">
        <w:trPr>
          <w:trHeight w:val="3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93BA6" w14:textId="77777777" w:rsidR="005F20F0" w:rsidRPr="00F72307" w:rsidRDefault="005F20F0" w:rsidP="00EF56C1">
            <w:pPr>
              <w:spacing w:after="0" w:line="240" w:lineRule="auto"/>
              <w:ind w:left="720" w:right="-630" w:hanging="36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216E7" w14:textId="77777777" w:rsidR="005F20F0" w:rsidRPr="00F72307" w:rsidRDefault="005F20F0" w:rsidP="00EF56C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Ar 1 priede pateikiami kvalifikacijos reikalavimai  yra aiškūs, proporcingi pirkimo objektui ir pakankami? Jei ne, prašome nurodyti, ką turėtumėme patikslinti. 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5192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B2917">
              <w:rPr>
                <w:rFonts w:ascii="Times New Roman" w:eastAsia="Times New Roman" w:hAnsi="Times New Roman" w:cs="Times New Roman"/>
              </w:rPr>
              <w:t xml:space="preserve"> Siūlytume Tiekėjų kvalifikacijos reikalavimų </w:t>
            </w:r>
            <w:r>
              <w:rPr>
                <w:rFonts w:ascii="Times New Roman" w:eastAsia="Times New Roman" w:hAnsi="Times New Roman" w:cs="Times New Roman"/>
              </w:rPr>
              <w:t>lentelės 2.2. reikalavimą keisti taip:</w:t>
            </w:r>
          </w:p>
          <w:p w14:paraId="3847039D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„</w:t>
            </w:r>
            <w:r w:rsidRPr="00B271F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Informacinių sistemų </w:t>
            </w:r>
            <w:r w:rsidRPr="001603B8"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</w:rPr>
              <w:t>veiklos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271F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vertinimo specialistas: </w:t>
            </w:r>
          </w:p>
          <w:p w14:paraId="17627302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>1) per paskutinius 3 (trejus) metus (iki pasiūlymų pateikimo termino dienos) yra dalyvavęs bent viename</w:t>
            </w:r>
            <w:r w:rsidRPr="00B271F7" w:rsidDel="005B6C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 xml:space="preserve">sėkmingai įvykdytame informacinės sistemos ar skaitmeninės platformos kūrimo ir diegimo ir/ar modernizavimo techninės priežiūros projekte, kurio metu siūlomas specialistas buvo atsakingas už informacinės sistemos ar skaitmeninės platformos vertinimą; </w:t>
            </w:r>
          </w:p>
          <w:p w14:paraId="36E2C674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>2) turi turėti dokumentą, patvirtinantį informacinių sistemų vertinimo specialisto kvalifikaciją</w:t>
            </w:r>
            <w:r w:rsidRPr="00B271F7">
              <w:rPr>
                <w:rFonts w:ascii="Times New Roman" w:eastAsia="Times New Roman" w:hAnsi="Times New Roman" w:cs="Times New Roman"/>
              </w:rPr>
              <w:t>.</w:t>
            </w:r>
          </w:p>
          <w:p w14:paraId="34E428DB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&lt;...&gt;</w:t>
            </w:r>
          </w:p>
          <w:p w14:paraId="300035CC" w14:textId="77777777" w:rsidR="005F20F0" w:rsidRPr="001603B8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2) kvalifikaciją patvirtinantis CGEIT (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Certified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in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the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Governance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of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Enterprise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Information</w:t>
            </w:r>
            <w:proofErr w:type="spellEnd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>) arba CISA (</w:t>
            </w:r>
            <w:proofErr w:type="spellStart"/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Certified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System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Auditor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) </w:t>
            </w: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sertifikatas arba kitą lygiavertę informacinių sistemų vertinimo kvalifikaciją įrodančio dokumento kopija („lygiaverčio dokumento“ lygiavertiškumą įrodyti turi tiekėjas)</w:t>
            </w:r>
          </w:p>
          <w:p w14:paraId="131C9D97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&lt;...&gt;“.</w:t>
            </w:r>
          </w:p>
          <w:p w14:paraId="4BD67276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Siūlytume papildyti siūlomų specialistų sąrašą ir 2.4. punkte numatyti reikalavimą:</w:t>
            </w:r>
          </w:p>
          <w:p w14:paraId="7CF1F314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Technologinio pažeidžiamumo </w:t>
            </w:r>
            <w:r w:rsidRPr="00B271F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vertinimo specialistas: </w:t>
            </w:r>
          </w:p>
          <w:p w14:paraId="69073AC7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>1) per paskutinius 3 (trejus) metus (iki pasiūlymų pateikimo termino dienos) yra dalyvavęs bent viename</w:t>
            </w:r>
            <w:r w:rsidRPr="00B271F7" w:rsidDel="005B6C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 xml:space="preserve">sėkmingai įvykdytame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IS technologinio pažeidžiamumo vertinimo</w:t>
            </w: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 xml:space="preserve"> projekte, kurio metu siūlomas specialistas buvo atsakingas už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IS technologinio pažeidžiamumo </w:t>
            </w: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 xml:space="preserve">vertinimą; </w:t>
            </w:r>
          </w:p>
          <w:p w14:paraId="5566CF84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 xml:space="preserve">2) turi turėti dokumentą, patvirtinantį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technologinio pažeidžiamumo </w:t>
            </w:r>
            <w:r w:rsidRPr="00B271F7">
              <w:rPr>
                <w:rFonts w:ascii="Times New Roman" w:eastAsia="Times New Roman" w:hAnsi="Times New Roman" w:cs="Times New Roman"/>
                <w:i/>
                <w:iCs/>
              </w:rPr>
              <w:t>vertinimo specialisto kvalifikaciją</w:t>
            </w:r>
            <w:r w:rsidRPr="00B271F7">
              <w:rPr>
                <w:rFonts w:ascii="Times New Roman" w:eastAsia="Times New Roman" w:hAnsi="Times New Roman" w:cs="Times New Roman"/>
              </w:rPr>
              <w:t>.</w:t>
            </w:r>
          </w:p>
          <w:p w14:paraId="6433D205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&lt;...&gt;</w:t>
            </w:r>
          </w:p>
          <w:p w14:paraId="330CE634" w14:textId="77777777" w:rsidR="005F20F0" w:rsidRPr="001603B8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2) kvalifikaciją patvirtinantis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Certified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Ethical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Hacker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(CEH) arba  GIAC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Penetration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Tester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(GPEN) arba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Offensive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Security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Certified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Professional (OSCP) arba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Licenced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Penetration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>Tester</w:t>
            </w:r>
            <w:proofErr w:type="spellEnd"/>
            <w:r w:rsidRPr="000C2214">
              <w:rPr>
                <w:rFonts w:ascii="Times New Roman" w:eastAsia="Times New Roman" w:hAnsi="Times New Roman" w:cs="Times New Roman"/>
                <w:i/>
                <w:iCs/>
              </w:rPr>
              <w:t xml:space="preserve"> (LPT) </w:t>
            </w: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 xml:space="preserve">sertifikatas arba kitą lygiavertę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technologinio pažeidžiamumo </w:t>
            </w: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vertinimo kvalifikaciją įrodančio dokumento kopija („lygiaverčio dokumento“ lygiavertiškumą įrodyti turi tiekėjas)</w:t>
            </w:r>
          </w:p>
          <w:p w14:paraId="10E8314F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03B8">
              <w:rPr>
                <w:rFonts w:ascii="Times New Roman" w:eastAsia="Times New Roman" w:hAnsi="Times New Roman" w:cs="Times New Roman"/>
                <w:i/>
                <w:iCs/>
              </w:rPr>
              <w:t>&lt;...&gt;“.</w:t>
            </w:r>
          </w:p>
          <w:p w14:paraId="36B86410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AE394C6" w14:textId="77777777" w:rsid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Siūlome papildyti siūlomų specialistų sąrašą ir 2.5. punkte numatyti reikalavimą:</w:t>
            </w:r>
          </w:p>
          <w:p w14:paraId="67CF5D66" w14:textId="77777777" w:rsidR="005F20F0" w:rsidRPr="00CA5502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„</w:t>
            </w:r>
            <w:r w:rsidRPr="0001477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Teisės</w:t>
            </w:r>
            <w:r w:rsidRPr="0001477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CA550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specialistas</w:t>
            </w:r>
            <w:r w:rsidRPr="00CA5502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14:paraId="193EFA5C" w14:textId="77777777" w:rsidR="005F20F0" w:rsidRPr="00CA5502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A5502">
              <w:rPr>
                <w:rFonts w:ascii="Times New Roman" w:eastAsia="Times New Roman" w:hAnsi="Times New Roman" w:cs="Times New Roman"/>
                <w:i/>
                <w:iCs/>
              </w:rPr>
              <w:t>1) per paskutinius 3 (trejus) metus (iki pasiūlymų pateikimo termino dienos) yra dalyvavęs bent viename</w:t>
            </w:r>
            <w:r w:rsidRPr="00CA5502" w:rsidDel="005B6C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CA5502">
              <w:rPr>
                <w:rFonts w:ascii="Times New Roman" w:eastAsia="Times New Roman" w:hAnsi="Times New Roman" w:cs="Times New Roman"/>
                <w:i/>
                <w:iCs/>
              </w:rPr>
              <w:t xml:space="preserve">sėkmingai įvykdytame informacinės sistemos ar skaitmeninės platformos kūrimo ir diegimo ir/ar modernizavimo techninės priežiūros projekte, kurio metu siūlomas specialistas buvo atsakingas už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parengtų dokumentų teisinį </w:t>
            </w:r>
            <w:r w:rsidRPr="00CA5502">
              <w:rPr>
                <w:rFonts w:ascii="Times New Roman" w:eastAsia="Times New Roman" w:hAnsi="Times New Roman" w:cs="Times New Roman"/>
                <w:i/>
                <w:iCs/>
              </w:rPr>
              <w:t xml:space="preserve">vertinimą; </w:t>
            </w:r>
          </w:p>
          <w:p w14:paraId="201748E8" w14:textId="77777777" w:rsidR="005F20F0" w:rsidRPr="00B271F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7D">
              <w:rPr>
                <w:rFonts w:ascii="Times New Roman" w:eastAsia="Times New Roman" w:hAnsi="Times New Roman" w:cs="Times New Roman"/>
                <w:i/>
                <w:iCs/>
              </w:rPr>
              <w:t xml:space="preserve">2) turi turėti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aukštąjį teisinį išsilavinimą“.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4B84" w14:textId="699C1CA2" w:rsidR="005F20F0" w:rsidRPr="00FB2917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Bus iš dalies atsižvelgta</w:t>
            </w:r>
            <w:r w:rsidR="00E7692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F20F0" w:rsidRPr="00F72307" w14:paraId="173FFF7F" w14:textId="7C69C61D" w:rsidTr="005F20F0">
        <w:trPr>
          <w:trHeight w:val="3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A3635" w14:textId="77777777" w:rsidR="005F20F0" w:rsidRPr="00F72307" w:rsidRDefault="005F20F0" w:rsidP="00EF56C1">
            <w:pPr>
              <w:spacing w:after="0" w:line="240" w:lineRule="auto"/>
              <w:ind w:left="720" w:right="-630" w:hanging="36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E65DE" w14:textId="77777777" w:rsidR="005F20F0" w:rsidRPr="00F72307" w:rsidRDefault="005F20F0" w:rsidP="00EF56C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Ar 3 ir 4 prieduose pateikiamos sutarties Bendrosios ir Specialiosios sąlygos yra aiškios? Jei ne, prašome nurodyti, ką konkrečiai turėtumėme patikslinti.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6F4F5" w14:textId="77777777" w:rsidR="005F20F0" w:rsidRPr="00F72307" w:rsidRDefault="005F20F0" w:rsidP="00EF56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230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91A79">
              <w:rPr>
                <w:rFonts w:ascii="Times New Roman" w:eastAsia="Times New Roman" w:hAnsi="Times New Roman" w:cs="Times New Roman"/>
              </w:rPr>
              <w:t xml:space="preserve">Sutarties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C91A79">
              <w:rPr>
                <w:rFonts w:ascii="Times New Roman" w:eastAsia="Times New Roman" w:hAnsi="Times New Roman" w:cs="Times New Roman"/>
              </w:rPr>
              <w:t xml:space="preserve">pecialiosios dalies7.2 p. numatyta, kad netesybos skaičiuojamos nuo Pradinės sutarties vertės. Siūlome netesybas taikyti nuo nesuteiktų paslaugų vertės (nesant galimybės nustatyti </w:t>
            </w:r>
            <w:r>
              <w:rPr>
                <w:rFonts w:ascii="Times New Roman" w:eastAsia="Times New Roman" w:hAnsi="Times New Roman" w:cs="Times New Roman"/>
              </w:rPr>
              <w:t xml:space="preserve">laiku </w:t>
            </w:r>
            <w:r w:rsidRPr="00C91A79">
              <w:rPr>
                <w:rFonts w:ascii="Times New Roman" w:eastAsia="Times New Roman" w:hAnsi="Times New Roman" w:cs="Times New Roman"/>
              </w:rPr>
              <w:t>nesuteiktų paslaugų vertės, netesybas taikyti nuo Pradinės sutarties vertės).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4B76" w14:textId="2CA7CB47" w:rsidR="005F20F0" w:rsidRPr="005F20F0" w:rsidRDefault="005F20F0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20F0">
              <w:rPr>
                <w:rFonts w:ascii="Times New Roman" w:eastAsia="Times New Roman" w:hAnsi="Times New Roman" w:cs="Times New Roman"/>
              </w:rPr>
              <w:t>Atsižvelgiant į projekto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F20F0">
              <w:rPr>
                <w:rFonts w:ascii="Times New Roman" w:eastAsia="Times New Roman" w:hAnsi="Times New Roman" w:cs="Times New Roman"/>
              </w:rPr>
              <w:t>svarbą perkanči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5F20F0">
              <w:rPr>
                <w:rFonts w:ascii="Times New Roman" w:eastAsia="Times New Roman" w:hAnsi="Times New Roman" w:cs="Times New Roman"/>
              </w:rPr>
              <w:t>jai organizacijai ir vi</w:t>
            </w:r>
            <w:r>
              <w:rPr>
                <w:rFonts w:ascii="Times New Roman" w:eastAsia="Times New Roman" w:hAnsi="Times New Roman" w:cs="Times New Roman"/>
              </w:rPr>
              <w:t>suomenei bei siekį užbaigti projektą laiku 7.2 punktas nekeičiamas.</w:t>
            </w:r>
            <w:r w:rsidRPr="005F20F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F20F0" w:rsidRPr="00F72307" w14:paraId="67E3DA92" w14:textId="0475AA57" w:rsidTr="005F20F0">
        <w:trPr>
          <w:trHeight w:val="3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9703A" w14:textId="77777777" w:rsidR="005F20F0" w:rsidRPr="00F72307" w:rsidRDefault="005F20F0" w:rsidP="00EF56C1">
            <w:pPr>
              <w:spacing w:after="0" w:line="240" w:lineRule="auto"/>
              <w:ind w:left="360" w:right="-63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30BD0" w14:textId="77777777" w:rsidR="005F20F0" w:rsidRPr="00F72307" w:rsidRDefault="005F20F0" w:rsidP="00EF56C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color w:val="000000"/>
              </w:rPr>
              <w:t>Kiti siūlymai / pastebėjimai</w:t>
            </w:r>
            <w:r w:rsidRPr="00F723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92F98" w14:textId="51116A09" w:rsidR="005F20F0" w:rsidRPr="00F72307" w:rsidRDefault="005F20F0" w:rsidP="00EF56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F7230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C10242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6F20" w14:textId="4CE7874C" w:rsidR="005F20F0" w:rsidRPr="00F72307" w:rsidRDefault="00E7692A" w:rsidP="00EF5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</w:tbl>
    <w:p w14:paraId="29DB5A1B" w14:textId="77777777" w:rsidR="005F20F0" w:rsidRDefault="005F20F0"/>
    <w:sectPr w:rsidR="005F20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F0"/>
    <w:rsid w:val="005F20F0"/>
    <w:rsid w:val="008E740B"/>
    <w:rsid w:val="00C10242"/>
    <w:rsid w:val="00CA74EA"/>
    <w:rsid w:val="00E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C70E"/>
  <w15:chartTrackingRefBased/>
  <w15:docId w15:val="{2ADB663E-93A9-43B2-B2BF-7D088369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0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0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0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0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0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0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0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0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0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0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0F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0F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2134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Žiukas</dc:creator>
  <cp:keywords/>
  <dc:description/>
  <cp:lastModifiedBy>Mindaugas Žiukas</cp:lastModifiedBy>
  <cp:revision>4</cp:revision>
  <dcterms:created xsi:type="dcterms:W3CDTF">2025-01-31T19:58:00Z</dcterms:created>
  <dcterms:modified xsi:type="dcterms:W3CDTF">2025-01-31T20:08:00Z</dcterms:modified>
</cp:coreProperties>
</file>