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7870C" w14:textId="77777777" w:rsidR="00F44E23" w:rsidRPr="00F15E38" w:rsidRDefault="00F44E23" w:rsidP="00F44E23">
      <w:pPr>
        <w:jc w:val="center"/>
        <w:rPr>
          <w:b/>
          <w:noProof/>
        </w:rPr>
      </w:pPr>
      <w:r w:rsidRPr="00F15E38">
        <w:rPr>
          <w:b/>
          <w:noProof/>
        </w:rPr>
        <w:t>TECHNINĖ SPECIFIKACIJA</w:t>
      </w:r>
    </w:p>
    <w:p w14:paraId="7CF4DCF4" w14:textId="77777777" w:rsidR="00F44E23" w:rsidRPr="00F15E38" w:rsidRDefault="00F44E23" w:rsidP="00F44E23">
      <w:pPr>
        <w:jc w:val="center"/>
        <w:rPr>
          <w:b/>
          <w:szCs w:val="24"/>
        </w:rPr>
      </w:pPr>
    </w:p>
    <w:p w14:paraId="58CD77BF" w14:textId="754888B7" w:rsidR="00F44E23" w:rsidRPr="00F15E38" w:rsidRDefault="00F44E23" w:rsidP="00F44E23">
      <w:pPr>
        <w:ind w:firstLine="426"/>
        <w:jc w:val="both"/>
        <w:rPr>
          <w:szCs w:val="24"/>
        </w:rPr>
      </w:pPr>
      <w:r w:rsidRPr="00F15E38">
        <w:rPr>
          <w:szCs w:val="24"/>
        </w:rPr>
        <w:t>Nacionalinė teismų administracija (toliau – Administracija arba Perkančioji organizacija) numato įsigyti turimų elektroninio pašto ir bendradarbiavimo sistemos „</w:t>
      </w:r>
      <w:proofErr w:type="spellStart"/>
      <w:r w:rsidRPr="00F15E38">
        <w:rPr>
          <w:szCs w:val="24"/>
        </w:rPr>
        <w:t>Zimbra</w:t>
      </w:r>
      <w:proofErr w:type="spellEnd"/>
      <w:r w:rsidRPr="00F15E38">
        <w:rPr>
          <w:szCs w:val="24"/>
        </w:rPr>
        <w:t xml:space="preserve"> </w:t>
      </w:r>
      <w:proofErr w:type="spellStart"/>
      <w:r w:rsidRPr="00F15E38">
        <w:rPr>
          <w:szCs w:val="24"/>
        </w:rPr>
        <w:t>Collaboration</w:t>
      </w:r>
      <w:proofErr w:type="spellEnd"/>
      <w:r w:rsidRPr="00F15E38">
        <w:rPr>
          <w:szCs w:val="24"/>
        </w:rPr>
        <w:t xml:space="preserve"> </w:t>
      </w:r>
      <w:proofErr w:type="spellStart"/>
      <w:r w:rsidRPr="00F15E38">
        <w:rPr>
          <w:szCs w:val="24"/>
        </w:rPr>
        <w:t>Suite</w:t>
      </w:r>
      <w:proofErr w:type="spellEnd"/>
      <w:r w:rsidRPr="00F15E38">
        <w:rPr>
          <w:szCs w:val="24"/>
        </w:rPr>
        <w:t xml:space="preserve"> Professional Edition“ nuolatinio galiojimo (angl. </w:t>
      </w:r>
      <w:proofErr w:type="spellStart"/>
      <w:r w:rsidRPr="00F15E38">
        <w:rPr>
          <w:szCs w:val="24"/>
        </w:rPr>
        <w:t>perpetual</w:t>
      </w:r>
      <w:proofErr w:type="spellEnd"/>
      <w:r w:rsidRPr="00F15E38">
        <w:rPr>
          <w:szCs w:val="24"/>
        </w:rPr>
        <w:t xml:space="preserve">) licencijų gamintojo techninio palaikymo pratęsimą 36 mėnesiams ir 200 (du šimtus) papildomų tos pačios Professional Edition licencijų su 36 mėnesių gamintojo palaikymu (toliau kartu – Licencijos ir Palaikymas). Pirkimo tikslas – nepertraukiamai pratęsti gamintojo palaikymą turimai </w:t>
      </w:r>
      <w:proofErr w:type="spellStart"/>
      <w:r w:rsidRPr="00F15E38">
        <w:rPr>
          <w:szCs w:val="24"/>
        </w:rPr>
        <w:t>Zimbra</w:t>
      </w:r>
      <w:proofErr w:type="spellEnd"/>
      <w:r w:rsidRPr="00F15E38">
        <w:rPr>
          <w:szCs w:val="24"/>
        </w:rPr>
        <w:t xml:space="preserve"> platformai, išsaugoti teisę gauti gamintojo programinės įrangos pataisas, saugumo atnaujinimus ir versijų naujinimus pagal gamintojo taikomą palaikymo politiką bei padidinti turimų Professional Edition pašto dėžučių licencijų skaičių nuo 4 000 iki 4 200.</w:t>
      </w:r>
    </w:p>
    <w:p w14:paraId="5D77C502" w14:textId="77777777" w:rsidR="00F44E23" w:rsidRPr="00F15E38" w:rsidRDefault="00F44E23" w:rsidP="00F44E23">
      <w:pPr>
        <w:ind w:firstLine="426"/>
        <w:jc w:val="both"/>
        <w:rPr>
          <w:szCs w:val="24"/>
        </w:rPr>
      </w:pPr>
    </w:p>
    <w:p w14:paraId="56CDC9C6" w14:textId="77777777" w:rsidR="00F44E23" w:rsidRPr="00C72C0C" w:rsidRDefault="00F44E23" w:rsidP="00F44E23">
      <w:pPr>
        <w:pStyle w:val="body"/>
        <w:numPr>
          <w:ilvl w:val="0"/>
          <w:numId w:val="1"/>
        </w:numPr>
        <w:tabs>
          <w:tab w:val="left" w:pos="709"/>
        </w:tabs>
        <w:spacing w:before="0" w:after="0"/>
        <w:rPr>
          <w:rFonts w:ascii="Times New Roman" w:hAnsi="Times New Roman"/>
          <w:b/>
          <w:lang w:val="lt-LT" w:eastAsia="fr-FR"/>
        </w:rPr>
      </w:pPr>
      <w:r w:rsidRPr="00C72C0C">
        <w:rPr>
          <w:rFonts w:ascii="Times New Roman" w:hAnsi="Times New Roman"/>
          <w:b/>
          <w:lang w:val="lt-LT" w:eastAsia="fr-FR"/>
        </w:rPr>
        <w:t>Perkamos licencijos ir palaikymas:</w:t>
      </w:r>
    </w:p>
    <w:p w14:paraId="2FC287EC" w14:textId="77777777" w:rsidR="00F44E23" w:rsidRPr="00C72C0C" w:rsidRDefault="00F44E23" w:rsidP="00F44E23">
      <w:pPr>
        <w:pStyle w:val="body"/>
        <w:tabs>
          <w:tab w:val="left" w:pos="709"/>
        </w:tabs>
        <w:spacing w:before="0" w:after="0"/>
        <w:ind w:left="360"/>
        <w:rPr>
          <w:rFonts w:ascii="Times New Roman" w:hAnsi="Times New Roman"/>
          <w:b/>
          <w:lang w:val="lt-LT" w:eastAsia="fr-FR"/>
        </w:rPr>
      </w:pPr>
    </w:p>
    <w:p w14:paraId="54E53E27" w14:textId="77777777" w:rsidR="00F44E23" w:rsidRPr="00C72C0C" w:rsidRDefault="00F44E23" w:rsidP="00F44E23">
      <w:pPr>
        <w:ind w:firstLine="426"/>
        <w:jc w:val="both"/>
        <w:rPr>
          <w:szCs w:val="24"/>
        </w:rPr>
      </w:pPr>
      <w:r w:rsidRPr="00C72C0C">
        <w:rPr>
          <w:szCs w:val="24"/>
        </w:rPr>
        <w:t>1.1. Perkančioji organizacija turi 4 000 „</w:t>
      </w:r>
      <w:proofErr w:type="spellStart"/>
      <w:r w:rsidRPr="00C72C0C">
        <w:rPr>
          <w:szCs w:val="24"/>
        </w:rPr>
        <w:t>Zimbra</w:t>
      </w:r>
      <w:proofErr w:type="spellEnd"/>
      <w:r w:rsidRPr="00C72C0C">
        <w:rPr>
          <w:szCs w:val="24"/>
        </w:rPr>
        <w:t xml:space="preserve"> </w:t>
      </w:r>
      <w:proofErr w:type="spellStart"/>
      <w:r w:rsidRPr="00C72C0C">
        <w:rPr>
          <w:szCs w:val="24"/>
        </w:rPr>
        <w:t>Collaboration</w:t>
      </w:r>
      <w:proofErr w:type="spellEnd"/>
      <w:r w:rsidRPr="00C72C0C">
        <w:rPr>
          <w:szCs w:val="24"/>
        </w:rPr>
        <w:t xml:space="preserve"> </w:t>
      </w:r>
      <w:proofErr w:type="spellStart"/>
      <w:r w:rsidRPr="00C72C0C">
        <w:rPr>
          <w:szCs w:val="24"/>
        </w:rPr>
        <w:t>Suite</w:t>
      </w:r>
      <w:proofErr w:type="spellEnd"/>
      <w:r w:rsidRPr="00C72C0C">
        <w:rPr>
          <w:szCs w:val="24"/>
        </w:rPr>
        <w:t xml:space="preserve"> Professional Edition“ nuolatinio galiojimo licencijų, licencijuojamų pagal pašto dėžučių (angl. per </w:t>
      </w:r>
      <w:proofErr w:type="spellStart"/>
      <w:r w:rsidRPr="00C72C0C">
        <w:rPr>
          <w:szCs w:val="24"/>
        </w:rPr>
        <w:t>mailbox</w:t>
      </w:r>
      <w:proofErr w:type="spellEnd"/>
      <w:r w:rsidRPr="00C72C0C">
        <w:rPr>
          <w:szCs w:val="24"/>
        </w:rPr>
        <w:t xml:space="preserve">) skaičių. Perkamas palaikymas turi būti priskirtas būtent šioms turimoms licencijoms, o papildomos licencijos turi išplėsti tos pačios </w:t>
      </w:r>
      <w:proofErr w:type="spellStart"/>
      <w:r w:rsidRPr="00C72C0C">
        <w:rPr>
          <w:szCs w:val="24"/>
        </w:rPr>
        <w:t>Zimbra</w:t>
      </w:r>
      <w:proofErr w:type="spellEnd"/>
      <w:r w:rsidRPr="00C72C0C">
        <w:rPr>
          <w:szCs w:val="24"/>
        </w:rPr>
        <w:t xml:space="preserve"> licencinės aplinkos leistiną pašto dėžučių skaičių.</w:t>
      </w:r>
    </w:p>
    <w:p w14:paraId="0A1CEAAF" w14:textId="5C168385" w:rsidR="00F44E23" w:rsidRPr="00C72C0C" w:rsidRDefault="00F44E23" w:rsidP="00F44E23">
      <w:pPr>
        <w:ind w:firstLine="426"/>
        <w:jc w:val="both"/>
        <w:rPr>
          <w:szCs w:val="24"/>
        </w:rPr>
      </w:pPr>
      <w:r w:rsidRPr="00C72C0C">
        <w:rPr>
          <w:szCs w:val="24"/>
        </w:rPr>
        <w:t>1.</w:t>
      </w:r>
      <w:r w:rsidR="00904964" w:rsidRPr="00C72C0C">
        <w:rPr>
          <w:szCs w:val="24"/>
        </w:rPr>
        <w:t>2</w:t>
      </w:r>
      <w:r w:rsidRPr="00C72C0C">
        <w:rPr>
          <w:szCs w:val="24"/>
        </w:rPr>
        <w:t>. Papildomos 200 licencijų turi būti prijungtos prie Perkančiosios organizacijos, kaip galutinio kliento, licencinės apskaitos ir naudojamos „</w:t>
      </w:r>
      <w:proofErr w:type="spellStart"/>
      <w:r w:rsidRPr="00C72C0C">
        <w:rPr>
          <w:szCs w:val="24"/>
        </w:rPr>
        <w:t>Zimbra</w:t>
      </w:r>
      <w:proofErr w:type="spellEnd"/>
      <w:r w:rsidRPr="00C72C0C">
        <w:rPr>
          <w:szCs w:val="24"/>
        </w:rPr>
        <w:t xml:space="preserve"> Professional Edition“ aplinkos. Negali būti siūloma atskira, tarpusavyje nesusieta licencinė bazė ar kita licencinė aplinka, kurios naudojimui reikėtų atskirai administruoti naudotojus ar perkelti duomenis.</w:t>
      </w:r>
    </w:p>
    <w:p w14:paraId="1263F366" w14:textId="7DBBCB71" w:rsidR="00F44E23" w:rsidRPr="00C72C0C" w:rsidRDefault="00F44E23" w:rsidP="00F44E23">
      <w:pPr>
        <w:ind w:firstLine="426"/>
        <w:jc w:val="both"/>
        <w:rPr>
          <w:szCs w:val="24"/>
        </w:rPr>
      </w:pPr>
      <w:r w:rsidRPr="00C72C0C">
        <w:rPr>
          <w:szCs w:val="24"/>
        </w:rPr>
        <w:t>1.</w:t>
      </w:r>
      <w:r w:rsidR="00904964" w:rsidRPr="00C72C0C">
        <w:rPr>
          <w:szCs w:val="24"/>
        </w:rPr>
        <w:t>3</w:t>
      </w:r>
      <w:r w:rsidRPr="00C72C0C">
        <w:rPr>
          <w:szCs w:val="24"/>
        </w:rPr>
        <w:t>. Licencijų ir palaikymo aktyvavimas neturi reikalauti papildomų trečiųjų šalių programinės įrangos licencijų, naujos atskiros valdymo sistemos ar papildomos aparatinės įrangos vien tam, kad būtų pasiektas šio pirkimo rezultatas. Jei gamintojo oficialus licencijavimo pakeitimas objektyviai lemia papildomą techninį reikalavimą, tiekėjas turi tai aiškiai nurodyti pasiūlyme ir visas būtinas išlaidas įtraukti į pasiūlymo kainą.</w:t>
      </w:r>
    </w:p>
    <w:p w14:paraId="1F7D4FE5" w14:textId="28789CB9" w:rsidR="00F44E23" w:rsidRPr="00C72C0C" w:rsidRDefault="00F44E23" w:rsidP="00F44E23">
      <w:pPr>
        <w:ind w:firstLine="426"/>
        <w:jc w:val="both"/>
        <w:rPr>
          <w:szCs w:val="24"/>
        </w:rPr>
      </w:pPr>
      <w:r w:rsidRPr="00C72C0C">
        <w:rPr>
          <w:szCs w:val="24"/>
        </w:rPr>
        <w:t>1.</w:t>
      </w:r>
      <w:r w:rsidR="00904964" w:rsidRPr="00C72C0C">
        <w:rPr>
          <w:szCs w:val="24"/>
        </w:rPr>
        <w:t>4</w:t>
      </w:r>
      <w:r w:rsidRPr="00C72C0C">
        <w:rPr>
          <w:szCs w:val="24"/>
        </w:rPr>
        <w:t>. Jei tiekėjas siūlo ne techninėje specifikacijoje nurodytą gamintojo produkto kodą, kartu su pasiūlymu turi būti pateikta gamintojo dokumentacija, leidžianti objektyviai nustatyti, kad siūlomas kodas yra nurodyto produkto tęsinys, pakaitalas ar kitu būdu suteikia reikalaujamas licencines ir palaikymo teises esamai Perkančiosios organizacijos „</w:t>
      </w:r>
      <w:proofErr w:type="spellStart"/>
      <w:r w:rsidRPr="00C72C0C">
        <w:rPr>
          <w:szCs w:val="24"/>
        </w:rPr>
        <w:t>Zimbra</w:t>
      </w:r>
      <w:proofErr w:type="spellEnd"/>
      <w:r w:rsidRPr="00C72C0C">
        <w:rPr>
          <w:szCs w:val="24"/>
        </w:rPr>
        <w:t>“ aplinkai.</w:t>
      </w:r>
    </w:p>
    <w:p w14:paraId="345923E9" w14:textId="214F1453" w:rsidR="00904964" w:rsidRPr="00C72C0C" w:rsidRDefault="00904964" w:rsidP="00904964">
      <w:pPr>
        <w:ind w:firstLine="426"/>
        <w:jc w:val="both"/>
        <w:rPr>
          <w:szCs w:val="24"/>
        </w:rPr>
      </w:pPr>
      <w:r w:rsidRPr="00C72C0C">
        <w:rPr>
          <w:szCs w:val="24"/>
        </w:rPr>
        <w:t>1.5. Jeigu siūlomas alternatyvus sprendimas, kuriam įgyvendinti būtinas perėjimas nuo Perkančiosios organizacijos šiuo metu naudojamos „</w:t>
      </w:r>
      <w:proofErr w:type="spellStart"/>
      <w:r w:rsidRPr="00C72C0C">
        <w:rPr>
          <w:szCs w:val="24"/>
        </w:rPr>
        <w:t>Zimbra</w:t>
      </w:r>
      <w:proofErr w:type="spellEnd"/>
      <w:r w:rsidRPr="00C72C0C">
        <w:rPr>
          <w:szCs w:val="24"/>
        </w:rPr>
        <w:t xml:space="preserve"> </w:t>
      </w:r>
      <w:proofErr w:type="spellStart"/>
      <w:r w:rsidRPr="00C72C0C">
        <w:rPr>
          <w:szCs w:val="24"/>
        </w:rPr>
        <w:t>Collaboration</w:t>
      </w:r>
      <w:proofErr w:type="spellEnd"/>
      <w:r w:rsidRPr="00C72C0C">
        <w:rPr>
          <w:szCs w:val="24"/>
        </w:rPr>
        <w:t xml:space="preserve"> </w:t>
      </w:r>
      <w:proofErr w:type="spellStart"/>
      <w:r w:rsidRPr="00C72C0C">
        <w:rPr>
          <w:szCs w:val="24"/>
        </w:rPr>
        <w:t>Suite</w:t>
      </w:r>
      <w:proofErr w:type="spellEnd"/>
      <w:r w:rsidRPr="00C72C0C">
        <w:rPr>
          <w:szCs w:val="24"/>
        </w:rPr>
        <w:t xml:space="preserve"> Professional Edition“ aplinkos į kitą elektroninio pašto platformą ar sprendimą, Tiekėjas savo lėšomis ir atsakomybe privalo atlikti visus tokiam perėjimui būtinus darbus (t. y. perkelti visas perkančiosios organizacijos turimas 4 000 licencijų pagal </w:t>
      </w:r>
      <w:proofErr w:type="spellStart"/>
      <w:r w:rsidRPr="00C72C0C">
        <w:rPr>
          <w:szCs w:val="24"/>
        </w:rPr>
        <w:t>Zimbra</w:t>
      </w:r>
      <w:proofErr w:type="spellEnd"/>
      <w:r w:rsidRPr="00C72C0C">
        <w:rPr>
          <w:szCs w:val="24"/>
        </w:rPr>
        <w:t xml:space="preserve"> licencijavimo principus), įskaitant migravimo planavimą, parengimą, duomenų perkėlimą, konfigūravimą, testavimą ir sprendimo paleidimą.</w:t>
      </w:r>
    </w:p>
    <w:p w14:paraId="5AC37EDB" w14:textId="77777777" w:rsidR="00904964" w:rsidRPr="00C72C0C" w:rsidRDefault="00904964" w:rsidP="00904964">
      <w:pPr>
        <w:ind w:firstLine="426"/>
        <w:jc w:val="both"/>
        <w:rPr>
          <w:szCs w:val="24"/>
        </w:rPr>
      </w:pPr>
      <w:r w:rsidRPr="00C72C0C">
        <w:rPr>
          <w:szCs w:val="24"/>
        </w:rPr>
        <w:t xml:space="preserve">Tiekėjas privalo užtikrinti visų Perkančiosios organizacijos naudojamoje elektroninio pašto aplinkoje esančių ir veiklai reikalingų duomenų, objektų bei nustatymų perkėlimą, įskaitant, bet neapsiribojant: naudotojų paskyras ir jų pašto dėžutes, elektroninius laiškus ir jų priedus, kontaktus, adresų knygas, platinimo grupes, el. pašto adresų sinonimus (angl. </w:t>
      </w:r>
      <w:proofErr w:type="spellStart"/>
      <w:r w:rsidRPr="00C72C0C">
        <w:rPr>
          <w:szCs w:val="24"/>
        </w:rPr>
        <w:t>aliases</w:t>
      </w:r>
      <w:proofErr w:type="spellEnd"/>
      <w:r w:rsidRPr="00C72C0C">
        <w:rPr>
          <w:szCs w:val="24"/>
        </w:rPr>
        <w:t>), kalendorius ir kalendoriaus įrašus, užduotis, aplankų struktūrą, prieigos teises, bendrinamus išteklius, taisykles, nustatymus ir kitus duomenis, reikalingus esamam funkcionalumui išlaikyti.</w:t>
      </w:r>
    </w:p>
    <w:p w14:paraId="18E66FE7" w14:textId="77777777" w:rsidR="00904964" w:rsidRPr="00C72C0C" w:rsidRDefault="00904964" w:rsidP="00904964">
      <w:pPr>
        <w:ind w:firstLine="426"/>
        <w:jc w:val="both"/>
        <w:rPr>
          <w:szCs w:val="24"/>
        </w:rPr>
      </w:pPr>
      <w:r w:rsidRPr="00C72C0C">
        <w:rPr>
          <w:szCs w:val="24"/>
        </w:rPr>
        <w:t>Migravimas turi būti atliktas taip, kad būtų užtikrintas Perkančiosios organizacijos ir teismų veiklos tęstinumas, duomenų vientisumas ir prieinamumas bei išvengta nepagrįstų elektroninio pašto ir susijusių paslaugų veikimo sutrikimų. Po migravimo naudotojams turi būti užtikrintas ne mažesnis funkcionalumas, nei nustatyta pirkimo dokumentuose.</w:t>
      </w:r>
    </w:p>
    <w:p w14:paraId="39A02DFB" w14:textId="5B5FAA50" w:rsidR="00904964" w:rsidRPr="00F15E38" w:rsidRDefault="00904964" w:rsidP="00904964">
      <w:pPr>
        <w:ind w:firstLine="426"/>
        <w:jc w:val="both"/>
        <w:rPr>
          <w:szCs w:val="24"/>
        </w:rPr>
      </w:pPr>
      <w:r w:rsidRPr="00C72C0C">
        <w:rPr>
          <w:szCs w:val="24"/>
        </w:rPr>
        <w:t>Kartu su pasiūlymu Tiekėjas turi pateikti dokumentus ir kitą informaciją, pagrindžiančią siūlomo alternatyvaus sprendimo lygiavertiškumą bei jo atitiktį pirkimo dokumentuose nustatytiems reikalavimams.</w:t>
      </w:r>
    </w:p>
    <w:p w14:paraId="256ED4BE" w14:textId="77777777" w:rsidR="00F44E23" w:rsidRPr="00F15E38" w:rsidRDefault="00F44E23" w:rsidP="00F44E23">
      <w:pPr>
        <w:ind w:firstLine="426"/>
        <w:jc w:val="both"/>
        <w:rPr>
          <w:szCs w:val="24"/>
        </w:rPr>
      </w:pPr>
    </w:p>
    <w:p w14:paraId="79A97EB6" w14:textId="1711E176" w:rsidR="00F44E23" w:rsidRPr="00F15E38" w:rsidRDefault="00F44E23">
      <w:pPr>
        <w:ind w:firstLine="426"/>
        <w:jc w:val="both"/>
        <w:rPr>
          <w:rFonts w:asciiTheme="majorBidi" w:hAnsiTheme="majorBidi" w:cstheme="majorBidi"/>
        </w:rPr>
      </w:pPr>
      <w:r w:rsidRPr="00F15E38">
        <w:rPr>
          <w:rFonts w:asciiTheme="majorBidi" w:hAnsiTheme="majorBidi" w:cstheme="majorBidi"/>
        </w:rPr>
        <w:t>Paslaugos turi būti teikiamos</w:t>
      </w:r>
      <w:r w:rsidR="00F15E38" w:rsidRPr="00F15E38">
        <w:rPr>
          <w:rFonts w:asciiTheme="majorBidi" w:hAnsiTheme="majorBidi" w:cstheme="majorBidi"/>
        </w:rPr>
        <w:t xml:space="preserve"> </w:t>
      </w:r>
      <w:r w:rsidR="00B57332" w:rsidRPr="00F15E38">
        <w:rPr>
          <w:rFonts w:asciiTheme="majorBidi" w:hAnsiTheme="majorBidi" w:cstheme="majorBidi"/>
        </w:rPr>
        <w:t>nuo 2026 m. gruodžio 1</w:t>
      </w:r>
      <w:r w:rsidR="00CD4B4C" w:rsidRPr="00F15E38">
        <w:rPr>
          <w:rFonts w:asciiTheme="majorBidi" w:hAnsiTheme="majorBidi" w:cstheme="majorBidi"/>
        </w:rPr>
        <w:t>1</w:t>
      </w:r>
      <w:r w:rsidR="00B57332" w:rsidRPr="00F15E38">
        <w:rPr>
          <w:rFonts w:asciiTheme="majorBidi" w:hAnsiTheme="majorBidi" w:cstheme="majorBidi"/>
        </w:rPr>
        <w:t xml:space="preserve"> d. ir turi būti teikiamos 36 mėnesius</w:t>
      </w:r>
      <w:r w:rsidR="00B02015" w:rsidRPr="00F15E38">
        <w:rPr>
          <w:rFonts w:asciiTheme="majorBidi" w:hAnsiTheme="majorBidi" w:cstheme="majorBidi"/>
        </w:rPr>
        <w:t>.</w:t>
      </w:r>
    </w:p>
    <w:p w14:paraId="146521B3" w14:textId="415C9020" w:rsidR="008574EA" w:rsidRPr="00F15E38" w:rsidRDefault="008574EA" w:rsidP="005818AB">
      <w:pPr>
        <w:ind w:firstLine="426"/>
        <w:jc w:val="both"/>
        <w:rPr>
          <w:rFonts w:asciiTheme="majorBidi" w:hAnsiTheme="majorBidi" w:cstheme="majorBidi"/>
        </w:rPr>
      </w:pPr>
      <w:r w:rsidRPr="00F15E38">
        <w:rPr>
          <w:rFonts w:asciiTheme="majorBidi" w:hAnsiTheme="majorBidi" w:cstheme="majorBidi"/>
        </w:rPr>
        <w:t xml:space="preserve">Gamintojo palaikymo pratęsimo laikotarpis skaičiuojamas tęstinai nuo esamo gamintojo palaikymo galiojimo pabaigos – 2026 m. gruodžio 11 d. </w:t>
      </w:r>
    </w:p>
    <w:p w14:paraId="766EF89C" w14:textId="77777777" w:rsidR="00F44E23" w:rsidRPr="00F15E38" w:rsidRDefault="00F44E23" w:rsidP="00F44E23">
      <w:pPr>
        <w:ind w:firstLine="426"/>
        <w:jc w:val="both"/>
        <w:rPr>
          <w:rFonts w:asciiTheme="majorBidi" w:hAnsiTheme="majorBidi" w:cstheme="majorBidi"/>
        </w:rPr>
      </w:pPr>
      <w:r w:rsidRPr="00F15E38">
        <w:rPr>
          <w:rFonts w:asciiTheme="majorBidi" w:hAnsiTheme="majorBidi" w:cstheme="majorBidi"/>
        </w:rPr>
        <w:t>Paslaugos turi būti teikiamos 1 punkte nurodytos programinės ir aparatinės įrangos eksploatacijos vietoje, L. Sapiegos g. 15, Vilnius.</w:t>
      </w:r>
    </w:p>
    <w:p w14:paraId="1A44797A" w14:textId="77777777" w:rsidR="00F44E23" w:rsidRPr="00F15E38" w:rsidRDefault="00F44E23" w:rsidP="00F44E23">
      <w:pPr>
        <w:tabs>
          <w:tab w:val="left" w:pos="1134"/>
        </w:tabs>
        <w:ind w:firstLine="680"/>
        <w:contextualSpacing/>
        <w:jc w:val="both"/>
        <w:rPr>
          <w:szCs w:val="24"/>
        </w:rPr>
      </w:pPr>
    </w:p>
    <w:p w14:paraId="4FF4FA16" w14:textId="77777777" w:rsidR="00F44E23" w:rsidRPr="00F15E38" w:rsidRDefault="00F44E23" w:rsidP="00F44E23">
      <w:pPr>
        <w:pStyle w:val="body"/>
        <w:numPr>
          <w:ilvl w:val="0"/>
          <w:numId w:val="1"/>
        </w:numPr>
        <w:tabs>
          <w:tab w:val="left" w:pos="709"/>
        </w:tabs>
        <w:spacing w:before="0" w:after="0"/>
        <w:rPr>
          <w:rFonts w:ascii="Times New Roman" w:hAnsi="Times New Roman"/>
          <w:b/>
          <w:lang w:val="lt-LT" w:eastAsia="fr-FR"/>
        </w:rPr>
      </w:pPr>
      <w:r w:rsidRPr="00F15E38">
        <w:rPr>
          <w:rFonts w:ascii="Times New Roman" w:hAnsi="Times New Roman"/>
          <w:b/>
          <w:lang w:val="lt-LT" w:eastAsia="fr-FR"/>
        </w:rPr>
        <w:t>Perkamos licencijos ir palaikymas:</w:t>
      </w:r>
    </w:p>
    <w:p w14:paraId="042B03C0" w14:textId="77777777" w:rsidR="00F44E23" w:rsidRPr="00F15E38" w:rsidRDefault="00F44E23" w:rsidP="00F44E23">
      <w:pPr>
        <w:tabs>
          <w:tab w:val="left" w:pos="993"/>
        </w:tabs>
        <w:ind w:firstLine="680"/>
        <w:contextualSpacing/>
        <w:jc w:val="both"/>
        <w:rPr>
          <w:b/>
          <w:szCs w:val="24"/>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2"/>
        <w:gridCol w:w="5603"/>
        <w:gridCol w:w="1134"/>
        <w:gridCol w:w="1422"/>
      </w:tblGrid>
      <w:tr w:rsidR="00F44E23" w:rsidRPr="00F15E38" w14:paraId="48252B88" w14:textId="77777777" w:rsidTr="0093512D">
        <w:trPr>
          <w:trHeight w:val="20"/>
          <w:jc w:val="center"/>
        </w:trPr>
        <w:tc>
          <w:tcPr>
            <w:tcW w:w="1622" w:type="dxa"/>
            <w:vAlign w:val="center"/>
          </w:tcPr>
          <w:p w14:paraId="013B837E" w14:textId="77777777" w:rsidR="00F44E23" w:rsidRPr="00F15E38" w:rsidRDefault="00F44E23" w:rsidP="0093512D">
            <w:pPr>
              <w:contextualSpacing/>
              <w:jc w:val="center"/>
              <w:rPr>
                <w:b/>
                <w:szCs w:val="24"/>
              </w:rPr>
            </w:pPr>
            <w:r w:rsidRPr="00F15E38">
              <w:rPr>
                <w:b/>
                <w:szCs w:val="24"/>
              </w:rPr>
              <w:t>Produkto kodas</w:t>
            </w:r>
          </w:p>
        </w:tc>
        <w:tc>
          <w:tcPr>
            <w:tcW w:w="5603" w:type="dxa"/>
            <w:vAlign w:val="center"/>
          </w:tcPr>
          <w:p w14:paraId="633028BA" w14:textId="77777777" w:rsidR="00F44E23" w:rsidRPr="00F15E38" w:rsidRDefault="00F44E23" w:rsidP="0093512D">
            <w:pPr>
              <w:contextualSpacing/>
              <w:jc w:val="center"/>
              <w:rPr>
                <w:b/>
                <w:szCs w:val="24"/>
              </w:rPr>
            </w:pPr>
            <w:r w:rsidRPr="00F15E38">
              <w:rPr>
                <w:b/>
                <w:szCs w:val="24"/>
              </w:rPr>
              <w:t>Pavadinimas</w:t>
            </w:r>
          </w:p>
        </w:tc>
        <w:tc>
          <w:tcPr>
            <w:tcW w:w="1134" w:type="dxa"/>
            <w:vAlign w:val="center"/>
          </w:tcPr>
          <w:p w14:paraId="49974B00" w14:textId="77777777" w:rsidR="00F44E23" w:rsidRPr="00F15E38" w:rsidRDefault="00F44E23" w:rsidP="0093512D">
            <w:pPr>
              <w:contextualSpacing/>
              <w:jc w:val="center"/>
              <w:rPr>
                <w:b/>
                <w:szCs w:val="24"/>
              </w:rPr>
            </w:pPr>
            <w:r w:rsidRPr="00F15E38">
              <w:rPr>
                <w:b/>
                <w:szCs w:val="24"/>
              </w:rPr>
              <w:t>Kiekis</w:t>
            </w:r>
          </w:p>
        </w:tc>
        <w:tc>
          <w:tcPr>
            <w:tcW w:w="1422" w:type="dxa"/>
            <w:vAlign w:val="center"/>
          </w:tcPr>
          <w:p w14:paraId="4C2525BA" w14:textId="77777777" w:rsidR="00F44E23" w:rsidRPr="00F15E38" w:rsidRDefault="00F44E23" w:rsidP="0093512D">
            <w:pPr>
              <w:ind w:left="-108"/>
              <w:contextualSpacing/>
              <w:jc w:val="center"/>
              <w:rPr>
                <w:b/>
                <w:szCs w:val="24"/>
              </w:rPr>
            </w:pPr>
            <w:r w:rsidRPr="00F15E38">
              <w:rPr>
                <w:b/>
                <w:szCs w:val="24"/>
              </w:rPr>
              <w:t>Laikotarpis</w:t>
            </w:r>
          </w:p>
        </w:tc>
      </w:tr>
      <w:tr w:rsidR="00F44E23" w:rsidRPr="00F15E38" w14:paraId="2D453FCF" w14:textId="77777777" w:rsidTr="0093512D">
        <w:trPr>
          <w:trHeight w:val="20"/>
          <w:jc w:val="center"/>
        </w:trPr>
        <w:tc>
          <w:tcPr>
            <w:tcW w:w="1622" w:type="dxa"/>
            <w:vAlign w:val="center"/>
          </w:tcPr>
          <w:p w14:paraId="5503EDE0" w14:textId="77777777" w:rsidR="00F44E23" w:rsidRPr="00F15E38" w:rsidRDefault="00F44E23" w:rsidP="0093512D">
            <w:pPr>
              <w:contextualSpacing/>
              <w:rPr>
                <w:szCs w:val="24"/>
              </w:rPr>
            </w:pPr>
            <w:r w:rsidRPr="00F15E38">
              <w:rPr>
                <w:i/>
                <w:iCs/>
                <w:lang w:val="en-US"/>
              </w:rPr>
              <w:t>ZCSPE-T3-SSUP-G</w:t>
            </w:r>
          </w:p>
        </w:tc>
        <w:tc>
          <w:tcPr>
            <w:tcW w:w="5603" w:type="dxa"/>
            <w:vAlign w:val="center"/>
          </w:tcPr>
          <w:p w14:paraId="12C992AE" w14:textId="77777777" w:rsidR="00F44E23" w:rsidRPr="00F15E38" w:rsidRDefault="00F44E23" w:rsidP="0093512D">
            <w:pPr>
              <w:spacing w:line="100" w:lineRule="atLeast"/>
              <w:rPr>
                <w:szCs w:val="24"/>
              </w:rPr>
            </w:pPr>
            <w:r w:rsidRPr="00F15E38">
              <w:t>Turimų 4000 „</w:t>
            </w:r>
            <w:proofErr w:type="spellStart"/>
            <w:r w:rsidRPr="00F15E38">
              <w:t>Zimbra</w:t>
            </w:r>
            <w:proofErr w:type="spellEnd"/>
            <w:r w:rsidRPr="00F15E38">
              <w:t xml:space="preserve"> </w:t>
            </w:r>
            <w:proofErr w:type="spellStart"/>
            <w:r w:rsidRPr="00F15E38">
              <w:t>Collaboration</w:t>
            </w:r>
            <w:proofErr w:type="spellEnd"/>
            <w:r w:rsidRPr="00F15E38">
              <w:t xml:space="preserve"> </w:t>
            </w:r>
            <w:proofErr w:type="spellStart"/>
            <w:r w:rsidRPr="00F15E38">
              <w:t>Suite</w:t>
            </w:r>
            <w:proofErr w:type="spellEnd"/>
            <w:r w:rsidRPr="00F15E38">
              <w:t xml:space="preserve"> – Professional Edition“ licencijų gamintojo Standard </w:t>
            </w:r>
            <w:proofErr w:type="spellStart"/>
            <w:r w:rsidRPr="00F15E38">
              <w:t>Support</w:t>
            </w:r>
            <w:proofErr w:type="spellEnd"/>
            <w:r w:rsidRPr="00F15E38">
              <w:t xml:space="preserve"> pratęsimas.</w:t>
            </w:r>
          </w:p>
        </w:tc>
        <w:tc>
          <w:tcPr>
            <w:tcW w:w="1134" w:type="dxa"/>
            <w:vAlign w:val="center"/>
          </w:tcPr>
          <w:p w14:paraId="5A0CCAB1" w14:textId="77777777" w:rsidR="00F44E23" w:rsidRPr="00F15E38" w:rsidRDefault="00F44E23" w:rsidP="0093512D">
            <w:pPr>
              <w:ind w:left="34"/>
              <w:contextualSpacing/>
              <w:jc w:val="center"/>
              <w:rPr>
                <w:szCs w:val="24"/>
              </w:rPr>
            </w:pPr>
            <w:r w:rsidRPr="00F15E38">
              <w:rPr>
                <w:szCs w:val="24"/>
              </w:rPr>
              <w:t xml:space="preserve">1 </w:t>
            </w:r>
            <w:proofErr w:type="spellStart"/>
            <w:r w:rsidRPr="00F15E38">
              <w:rPr>
                <w:szCs w:val="24"/>
              </w:rPr>
              <w:t>kompl</w:t>
            </w:r>
            <w:proofErr w:type="spellEnd"/>
            <w:r w:rsidRPr="00F15E38">
              <w:rPr>
                <w:szCs w:val="24"/>
              </w:rPr>
              <w:t>.</w:t>
            </w:r>
          </w:p>
        </w:tc>
        <w:tc>
          <w:tcPr>
            <w:tcW w:w="1422" w:type="dxa"/>
            <w:vAlign w:val="center"/>
          </w:tcPr>
          <w:p w14:paraId="37C8CBF5" w14:textId="4B971A84" w:rsidR="00F44E23" w:rsidRPr="00F15E38" w:rsidRDefault="006F3E9A" w:rsidP="0093512D">
            <w:pPr>
              <w:ind w:left="-108"/>
              <w:contextualSpacing/>
              <w:jc w:val="center"/>
              <w:rPr>
                <w:szCs w:val="24"/>
              </w:rPr>
            </w:pPr>
            <w:r w:rsidRPr="00F15E38">
              <w:rPr>
                <w:rFonts w:asciiTheme="majorBidi" w:hAnsiTheme="majorBidi" w:cstheme="majorBidi"/>
              </w:rPr>
              <w:t xml:space="preserve">nuo 2026 m. gruodžio 11 d. </w:t>
            </w:r>
            <w:r w:rsidR="00495330" w:rsidRPr="00F15E38">
              <w:rPr>
                <w:rFonts w:asciiTheme="majorBidi" w:hAnsiTheme="majorBidi" w:cstheme="majorBidi"/>
              </w:rPr>
              <w:t xml:space="preserve"> ir galioja </w:t>
            </w:r>
            <w:r w:rsidR="00F44E23" w:rsidRPr="00F15E38">
              <w:rPr>
                <w:color w:val="000000"/>
                <w:szCs w:val="24"/>
              </w:rPr>
              <w:t>36 mėn.</w:t>
            </w:r>
          </w:p>
        </w:tc>
      </w:tr>
      <w:tr w:rsidR="00F44E23" w:rsidRPr="00F15E38" w14:paraId="447D91FF" w14:textId="77777777" w:rsidTr="0093512D">
        <w:trPr>
          <w:trHeight w:val="20"/>
          <w:jc w:val="center"/>
        </w:trPr>
        <w:tc>
          <w:tcPr>
            <w:tcW w:w="1622" w:type="dxa"/>
            <w:vAlign w:val="center"/>
          </w:tcPr>
          <w:p w14:paraId="54ADBED1" w14:textId="77777777" w:rsidR="00F44E23" w:rsidRPr="00F15E38" w:rsidRDefault="00F44E23" w:rsidP="0093512D">
            <w:pPr>
              <w:contextualSpacing/>
              <w:rPr>
                <w:rFonts w:eastAsia="Calibri"/>
                <w:szCs w:val="24"/>
                <w:lang w:eastAsia="lt-LT"/>
              </w:rPr>
            </w:pPr>
            <w:r w:rsidRPr="00F15E38">
              <w:rPr>
                <w:i/>
                <w:iCs/>
                <w:lang w:val="fr-FR"/>
              </w:rPr>
              <w:t>ZCSPE-T3-PL-G, ZCSPE-T3-SSUP-G</w:t>
            </w:r>
          </w:p>
        </w:tc>
        <w:tc>
          <w:tcPr>
            <w:tcW w:w="5603" w:type="dxa"/>
            <w:vAlign w:val="center"/>
          </w:tcPr>
          <w:p w14:paraId="287E30DE" w14:textId="77777777" w:rsidR="00F44E23" w:rsidRPr="00F15E38" w:rsidRDefault="00F44E23" w:rsidP="0093512D">
            <w:pPr>
              <w:spacing w:line="100" w:lineRule="atLeast"/>
            </w:pPr>
            <w:r w:rsidRPr="00F15E38">
              <w:t>Papildomos 200 „</w:t>
            </w:r>
            <w:proofErr w:type="spellStart"/>
            <w:r w:rsidRPr="00F15E38">
              <w:t>Zimbra</w:t>
            </w:r>
            <w:proofErr w:type="spellEnd"/>
            <w:r w:rsidRPr="00F15E38">
              <w:t xml:space="preserve"> </w:t>
            </w:r>
            <w:proofErr w:type="spellStart"/>
            <w:r w:rsidRPr="00F15E38">
              <w:t>Collaboration</w:t>
            </w:r>
            <w:proofErr w:type="spellEnd"/>
            <w:r w:rsidRPr="00F15E38">
              <w:t xml:space="preserve"> </w:t>
            </w:r>
            <w:proofErr w:type="spellStart"/>
            <w:r w:rsidRPr="00F15E38">
              <w:t>Suite</w:t>
            </w:r>
            <w:proofErr w:type="spellEnd"/>
            <w:r w:rsidRPr="00F15E38">
              <w:t xml:space="preserve"> – Professional Edition“ nuolatinio galiojimo pašto dėžučių licencijos, kartu su gamintojo Standard </w:t>
            </w:r>
            <w:proofErr w:type="spellStart"/>
            <w:r w:rsidRPr="00F15E38">
              <w:t>Support</w:t>
            </w:r>
            <w:proofErr w:type="spellEnd"/>
            <w:r w:rsidRPr="00F15E38">
              <w:t xml:space="preserve"> visoms 200 papildomų Professional Edition licencijų.</w:t>
            </w:r>
          </w:p>
        </w:tc>
        <w:tc>
          <w:tcPr>
            <w:tcW w:w="1134" w:type="dxa"/>
            <w:vAlign w:val="center"/>
          </w:tcPr>
          <w:p w14:paraId="0C257F6E" w14:textId="77777777" w:rsidR="00F44E23" w:rsidRPr="00F15E38" w:rsidRDefault="00F44E23" w:rsidP="0093512D">
            <w:pPr>
              <w:ind w:left="34"/>
              <w:contextualSpacing/>
              <w:jc w:val="center"/>
              <w:rPr>
                <w:rFonts w:eastAsia="Calibri"/>
                <w:szCs w:val="24"/>
                <w:lang w:eastAsia="lt-LT"/>
              </w:rPr>
            </w:pPr>
            <w:r w:rsidRPr="00F15E38">
              <w:rPr>
                <w:rFonts w:eastAsia="Calibri"/>
                <w:szCs w:val="24"/>
                <w:lang w:eastAsia="lt-LT"/>
              </w:rPr>
              <w:t xml:space="preserve">1 </w:t>
            </w:r>
            <w:proofErr w:type="spellStart"/>
            <w:r w:rsidRPr="00F15E38">
              <w:rPr>
                <w:rFonts w:eastAsia="Calibri"/>
                <w:szCs w:val="24"/>
                <w:lang w:eastAsia="lt-LT"/>
              </w:rPr>
              <w:t>kompl</w:t>
            </w:r>
            <w:proofErr w:type="spellEnd"/>
            <w:r w:rsidRPr="00F15E38">
              <w:rPr>
                <w:rFonts w:eastAsia="Calibri"/>
                <w:szCs w:val="24"/>
                <w:lang w:eastAsia="lt-LT"/>
              </w:rPr>
              <w:t>.</w:t>
            </w:r>
          </w:p>
        </w:tc>
        <w:tc>
          <w:tcPr>
            <w:tcW w:w="1422" w:type="dxa"/>
            <w:vAlign w:val="center"/>
          </w:tcPr>
          <w:p w14:paraId="15965D14" w14:textId="1CA5B1DD" w:rsidR="00F44E23" w:rsidRPr="00F15E38" w:rsidRDefault="00F44E23" w:rsidP="0093512D">
            <w:pPr>
              <w:ind w:left="-108"/>
              <w:contextualSpacing/>
              <w:jc w:val="center"/>
              <w:rPr>
                <w:color w:val="000000"/>
                <w:szCs w:val="24"/>
              </w:rPr>
            </w:pPr>
            <w:r w:rsidRPr="00F15E38">
              <w:rPr>
                <w:color w:val="000000"/>
                <w:szCs w:val="24"/>
              </w:rPr>
              <w:t xml:space="preserve">Licencijos – nuolatinio galiojimo; palaikymo laikotarpis – </w:t>
            </w:r>
            <w:r w:rsidR="006F3E9A" w:rsidRPr="00F15E38">
              <w:rPr>
                <w:rFonts w:asciiTheme="majorBidi" w:hAnsiTheme="majorBidi" w:cstheme="majorBidi"/>
              </w:rPr>
              <w:t xml:space="preserve">nuo 2026 m. gruodžio 11 d. </w:t>
            </w:r>
            <w:r w:rsidR="00495330" w:rsidRPr="00F15E38">
              <w:rPr>
                <w:rFonts w:asciiTheme="majorBidi" w:hAnsiTheme="majorBidi" w:cstheme="majorBidi"/>
              </w:rPr>
              <w:t xml:space="preserve"> ir galioja </w:t>
            </w:r>
            <w:r w:rsidRPr="00F15E38">
              <w:rPr>
                <w:color w:val="000000"/>
                <w:szCs w:val="24"/>
              </w:rPr>
              <w:t>36 mėn.</w:t>
            </w:r>
          </w:p>
        </w:tc>
      </w:tr>
    </w:tbl>
    <w:p w14:paraId="2056B34A" w14:textId="77777777" w:rsidR="00F44E23" w:rsidRPr="00F15E38" w:rsidRDefault="00F44E23" w:rsidP="00F44E23">
      <w:pPr>
        <w:jc w:val="both"/>
      </w:pPr>
    </w:p>
    <w:p w14:paraId="3928D495" w14:textId="77777777" w:rsidR="00F44E23" w:rsidRPr="00F15E38" w:rsidRDefault="00F44E23" w:rsidP="00F44E23">
      <w:pPr>
        <w:pStyle w:val="ListParagraph"/>
        <w:numPr>
          <w:ilvl w:val="0"/>
          <w:numId w:val="2"/>
        </w:numPr>
        <w:contextualSpacing w:val="0"/>
        <w:jc w:val="both"/>
        <w:rPr>
          <w:vanish/>
          <w:szCs w:val="24"/>
        </w:rPr>
      </w:pPr>
    </w:p>
    <w:p w14:paraId="6E702288" w14:textId="77777777" w:rsidR="00F44E23" w:rsidRPr="00F15E38" w:rsidRDefault="00F44E23" w:rsidP="00F44E23">
      <w:pPr>
        <w:pStyle w:val="ListParagraph"/>
        <w:numPr>
          <w:ilvl w:val="0"/>
          <w:numId w:val="2"/>
        </w:numPr>
        <w:contextualSpacing w:val="0"/>
        <w:jc w:val="both"/>
        <w:rPr>
          <w:vanish/>
          <w:szCs w:val="24"/>
        </w:rPr>
      </w:pPr>
    </w:p>
    <w:p w14:paraId="5EE9A368" w14:textId="77777777" w:rsidR="00F44E23" w:rsidRPr="00F15E38" w:rsidRDefault="00F44E23" w:rsidP="00F44E23">
      <w:pPr>
        <w:ind w:firstLine="426"/>
        <w:jc w:val="both"/>
        <w:rPr>
          <w:szCs w:val="24"/>
        </w:rPr>
      </w:pPr>
      <w:r w:rsidRPr="00F15E38">
        <w:rPr>
          <w:szCs w:val="24"/>
        </w:rPr>
        <w:t xml:space="preserve"> 2.1 </w:t>
      </w:r>
      <w:r w:rsidRPr="00F15E38">
        <w:rPr>
          <w:rFonts w:asciiTheme="majorBidi" w:hAnsiTheme="majorBidi" w:cstheme="majorBidi"/>
        </w:rPr>
        <w:t xml:space="preserve">Po pirkimo įvykdymo gamintojo palaikymu turi būti padengtos visos 4 200 Administracijos naudojamos </w:t>
      </w:r>
      <w:proofErr w:type="spellStart"/>
      <w:r w:rsidRPr="00F15E38">
        <w:rPr>
          <w:rFonts w:asciiTheme="majorBidi" w:hAnsiTheme="majorBidi" w:cstheme="majorBidi"/>
        </w:rPr>
        <w:t>Zimbra</w:t>
      </w:r>
      <w:proofErr w:type="spellEnd"/>
      <w:r w:rsidRPr="00F15E38">
        <w:rPr>
          <w:rFonts w:asciiTheme="majorBidi" w:hAnsiTheme="majorBidi" w:cstheme="majorBidi"/>
        </w:rPr>
        <w:t xml:space="preserve"> Professional Edition pašto dėžučių licencijos.</w:t>
      </w:r>
    </w:p>
    <w:p w14:paraId="442EAB1E" w14:textId="1A8E1EE0" w:rsidR="00F44E23" w:rsidRPr="00F15E38" w:rsidRDefault="00F44E23" w:rsidP="00F44E23">
      <w:pPr>
        <w:ind w:firstLine="426"/>
        <w:jc w:val="both"/>
        <w:rPr>
          <w:rFonts w:asciiTheme="majorBidi" w:hAnsiTheme="majorBidi" w:cstheme="majorBidi"/>
        </w:rPr>
      </w:pPr>
      <w:r w:rsidRPr="00F15E38">
        <w:rPr>
          <w:rFonts w:asciiTheme="majorBidi" w:hAnsiTheme="majorBidi" w:cstheme="majorBidi"/>
        </w:rPr>
        <w:t>2.2 Papildomų 200 licencijų ir jų palaikymo pradžios data turi būti suderinta su turimų 4 000 licencijų palaikymo pratęsimo pradžia taip, kad visų 4 200 licencijų palaikymas galiotų vienodą 36 mėnesių laikotarpį ir turėtų bendrą palaikymo pabaigos datą.</w:t>
      </w:r>
    </w:p>
    <w:p w14:paraId="4D676BAC" w14:textId="77777777" w:rsidR="00F44E23" w:rsidRPr="00F15E38" w:rsidRDefault="00F44E23" w:rsidP="00F44E23">
      <w:pPr>
        <w:ind w:firstLine="426"/>
        <w:jc w:val="both"/>
        <w:rPr>
          <w:rFonts w:asciiTheme="majorBidi" w:hAnsiTheme="majorBidi" w:cstheme="majorBidi"/>
        </w:rPr>
      </w:pPr>
      <w:r w:rsidRPr="00F15E38">
        <w:rPr>
          <w:rFonts w:asciiTheme="majorBidi" w:hAnsiTheme="majorBidi" w:cstheme="majorBidi"/>
        </w:rPr>
        <w:t>2.3 Pirkimo įvykdymo rezultatas turi būti viena nuosekli 4 200 Professional Edition pašto dėžučių licencinė bazė, kuriai galioja gamintojo palaikymas pagal šio dokumento reikalavimus. Tiekėjas atsako už tai, kad jo pasiūlytas licencijų ir palaikymo derinys būtų tarpusavyje suderinamas.</w:t>
      </w:r>
    </w:p>
    <w:p w14:paraId="139A9428" w14:textId="77777777" w:rsidR="00F44E23" w:rsidRPr="00F15E38" w:rsidRDefault="00F44E23" w:rsidP="00F44E23">
      <w:pPr>
        <w:ind w:firstLine="426"/>
        <w:jc w:val="both"/>
        <w:rPr>
          <w:rFonts w:asciiTheme="majorBidi" w:hAnsiTheme="majorBidi" w:cstheme="majorBidi"/>
        </w:rPr>
      </w:pPr>
      <w:r w:rsidRPr="00F15E38">
        <w:rPr>
          <w:rFonts w:asciiTheme="majorBidi" w:hAnsiTheme="majorBidi" w:cstheme="majorBidi"/>
        </w:rPr>
        <w:t>2.4 Pirkimo objektas į dalis neskaidomas. Pasiūlymas turi būti pateiktas visai apimčiai, turimų 4 000 licencijų palaikymo pratęsimui, 200 papildomų licencijų ir jų palaikymui, kuris sudarys vieną techniškai ir licenciniu požiūriu susijusį rezultatą. Po sutarties įvykdymo visos 4 200 licencijų turi būti priskirtos Perkančiosios organizacijos „</w:t>
      </w:r>
      <w:proofErr w:type="spellStart"/>
      <w:r w:rsidRPr="00F15E38">
        <w:rPr>
          <w:rFonts w:asciiTheme="majorBidi" w:hAnsiTheme="majorBidi" w:cstheme="majorBidi"/>
        </w:rPr>
        <w:t>Zimbra</w:t>
      </w:r>
      <w:proofErr w:type="spellEnd"/>
      <w:r w:rsidRPr="00F15E38">
        <w:rPr>
          <w:rFonts w:asciiTheme="majorBidi" w:hAnsiTheme="majorBidi" w:cstheme="majorBidi"/>
        </w:rPr>
        <w:t xml:space="preserve"> Professional Edition“ licencinei aplinkai, papildomos licencijos įdiegtos, bei turėti suderintą palaikymo statusą ir bendrą palaikymo pabaigos datą. Sistema turi būti atnaujinta iki naujausios programinės įrangos versijos pagal su Perkančiąja organizacija suderintą darbų grafiką. </w:t>
      </w:r>
    </w:p>
    <w:p w14:paraId="0CE0CF85" w14:textId="0B633078" w:rsidR="009B0B7A" w:rsidRPr="00F15E38" w:rsidRDefault="009B0B7A" w:rsidP="009B0B7A">
      <w:pPr>
        <w:ind w:firstLine="426"/>
        <w:jc w:val="both"/>
        <w:rPr>
          <w:rFonts w:asciiTheme="majorBidi" w:hAnsiTheme="majorBidi" w:cstheme="majorBidi"/>
        </w:rPr>
      </w:pPr>
      <w:r w:rsidRPr="004F0739">
        <w:rPr>
          <w:rFonts w:asciiTheme="majorBidi" w:hAnsiTheme="majorBidi" w:cstheme="majorBidi"/>
        </w:rPr>
        <w:t>2.5 Tiekėjas turi būti siūlomos įrangos gamintojas, arba, jei pats siūlomos įrangos negamina,  turi turėti rašytinį susitarimą su gamintoju dėl prekybos siūloma programine įranga. Kartu su pasiūlymu tiekėjas turi pateikti dokumentą, patvirtinantį, kad tiekėjas yra siūlomos įrangos gamintojas arba rašytinį susitarimą su gamintoju dėl prekybos siūloma programine įranga</w:t>
      </w:r>
      <w:r w:rsidR="00420685" w:rsidRPr="004F0739">
        <w:rPr>
          <w:rFonts w:asciiTheme="majorBidi" w:hAnsiTheme="majorBidi" w:cstheme="majorBidi"/>
        </w:rPr>
        <w:t xml:space="preserve"> ar lygiavertį dokumentą</w:t>
      </w:r>
      <w:r w:rsidRPr="004F0739">
        <w:rPr>
          <w:rFonts w:asciiTheme="majorBidi" w:hAnsiTheme="majorBidi" w:cstheme="majorBidi"/>
        </w:rPr>
        <w:t>.</w:t>
      </w:r>
    </w:p>
    <w:p w14:paraId="2886C9A6" w14:textId="77777777" w:rsidR="00F44E23" w:rsidRPr="00F15E38" w:rsidRDefault="00F44E23" w:rsidP="00F44E23">
      <w:pPr>
        <w:ind w:firstLine="426"/>
        <w:jc w:val="both"/>
        <w:rPr>
          <w:rFonts w:asciiTheme="majorBidi" w:hAnsiTheme="majorBidi" w:cstheme="majorBidi"/>
        </w:rPr>
      </w:pPr>
    </w:p>
    <w:p w14:paraId="355B70D6" w14:textId="77777777" w:rsidR="00F44E23" w:rsidRPr="00F15E38" w:rsidRDefault="00F44E23" w:rsidP="00F44E23">
      <w:pPr>
        <w:pStyle w:val="body"/>
        <w:numPr>
          <w:ilvl w:val="0"/>
          <w:numId w:val="1"/>
        </w:numPr>
        <w:tabs>
          <w:tab w:val="left" w:pos="709"/>
        </w:tabs>
        <w:spacing w:before="0" w:after="0"/>
        <w:rPr>
          <w:rFonts w:ascii="Times New Roman" w:hAnsi="Times New Roman"/>
          <w:b/>
          <w:lang w:val="lt-LT" w:eastAsia="fr-FR"/>
        </w:rPr>
      </w:pPr>
      <w:r w:rsidRPr="00F15E38">
        <w:rPr>
          <w:rFonts w:ascii="Times New Roman" w:hAnsi="Times New Roman"/>
          <w:b/>
          <w:lang w:val="lt-LT" w:eastAsia="fr-FR"/>
        </w:rPr>
        <w:t>Aplinkosaugos reikalavimai:</w:t>
      </w:r>
    </w:p>
    <w:p w14:paraId="1004924B" w14:textId="77777777" w:rsidR="00F44E23" w:rsidRPr="00F15E38" w:rsidRDefault="00F44E23" w:rsidP="00F44E23">
      <w:pPr>
        <w:pStyle w:val="ListParagraph"/>
        <w:ind w:left="360"/>
        <w:jc w:val="both"/>
        <w:rPr>
          <w:b/>
          <w:bCs/>
          <w:szCs w:val="24"/>
          <w:lang w:eastAsia="lt-LT"/>
        </w:rPr>
      </w:pPr>
    </w:p>
    <w:tbl>
      <w:tblPr>
        <w:tblStyle w:val="TableGrid"/>
        <w:tblW w:w="5000" w:type="pct"/>
        <w:jc w:val="center"/>
        <w:tblLook w:val="04A0" w:firstRow="1" w:lastRow="0" w:firstColumn="1" w:lastColumn="0" w:noHBand="0" w:noVBand="1"/>
      </w:tblPr>
      <w:tblGrid>
        <w:gridCol w:w="750"/>
        <w:gridCol w:w="4833"/>
        <w:gridCol w:w="4379"/>
      </w:tblGrid>
      <w:tr w:rsidR="00F44E23" w:rsidRPr="00F15E38" w14:paraId="0DE7F497" w14:textId="77777777" w:rsidTr="0093512D">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A6D04D7" w14:textId="77777777" w:rsidR="00F44E23" w:rsidRPr="00F15E38" w:rsidRDefault="00F44E23" w:rsidP="0093512D">
            <w:pPr>
              <w:pStyle w:val="NormalWeb"/>
              <w:spacing w:before="0" w:beforeAutospacing="0" w:after="0" w:afterAutospacing="0" w:line="240" w:lineRule="atLeast"/>
              <w:jc w:val="center"/>
              <w:rPr>
                <w:b/>
                <w:bCs/>
                <w:szCs w:val="20"/>
                <w:lang w:val="lt-LT"/>
              </w:rPr>
            </w:pPr>
            <w:r w:rsidRPr="00F15E38">
              <w:rPr>
                <w:b/>
                <w:bCs/>
                <w:szCs w:val="20"/>
                <w:lang w:val="lt-LT"/>
              </w:rPr>
              <w:t>Eil. Nr.</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35F6B6B" w14:textId="77777777" w:rsidR="00F44E23" w:rsidRPr="00F15E38" w:rsidRDefault="00F44E23" w:rsidP="0093512D">
            <w:pPr>
              <w:pStyle w:val="NormalWeb"/>
              <w:spacing w:before="0" w:beforeAutospacing="0" w:after="0" w:afterAutospacing="0" w:line="240" w:lineRule="atLeast"/>
              <w:jc w:val="center"/>
              <w:rPr>
                <w:b/>
                <w:bCs/>
                <w:szCs w:val="20"/>
                <w:lang w:val="lt-LT"/>
              </w:rPr>
            </w:pPr>
            <w:r w:rsidRPr="00F15E38">
              <w:rPr>
                <w:b/>
                <w:bCs/>
                <w:szCs w:val="20"/>
                <w:lang w:val="lt-LT"/>
              </w:rPr>
              <w:t>Aplinkos apsaugos kriterijai</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EA8D45E" w14:textId="77777777" w:rsidR="00F44E23" w:rsidRPr="00F15E38" w:rsidRDefault="00F44E23" w:rsidP="0093512D">
            <w:pPr>
              <w:pStyle w:val="NormalWeb"/>
              <w:spacing w:before="0" w:beforeAutospacing="0" w:after="0" w:afterAutospacing="0" w:line="240" w:lineRule="atLeast"/>
              <w:jc w:val="center"/>
              <w:rPr>
                <w:b/>
                <w:bCs/>
                <w:szCs w:val="20"/>
                <w:lang w:val="lt-LT"/>
              </w:rPr>
            </w:pPr>
            <w:r w:rsidRPr="00F15E38">
              <w:rPr>
                <w:b/>
                <w:bCs/>
                <w:szCs w:val="20"/>
                <w:lang w:val="lt-LT"/>
              </w:rPr>
              <w:t>Atitiktį kriterijams įrodantys dokumentai</w:t>
            </w:r>
          </w:p>
        </w:tc>
      </w:tr>
      <w:tr w:rsidR="00F44E23" w:rsidRPr="00720168" w14:paraId="39040634" w14:textId="77777777" w:rsidTr="0093512D">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69F018D" w14:textId="77777777" w:rsidR="00F44E23" w:rsidRPr="00F15E38" w:rsidRDefault="00F44E23" w:rsidP="0093512D">
            <w:pPr>
              <w:pStyle w:val="NormalWeb"/>
              <w:spacing w:before="120" w:beforeAutospacing="0" w:after="0" w:afterAutospacing="0" w:line="240" w:lineRule="atLeast"/>
              <w:rPr>
                <w:szCs w:val="20"/>
                <w:lang w:val="lt-LT"/>
              </w:rPr>
            </w:pPr>
            <w:r w:rsidRPr="00F15E38">
              <w:rPr>
                <w:szCs w:val="20"/>
                <w:lang w:val="lt-LT"/>
              </w:rPr>
              <w:lastRenderedPageBreak/>
              <w:t>2.</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D0B36A4" w14:textId="492C1937" w:rsidR="00F44E23" w:rsidRPr="00F15E38" w:rsidRDefault="00F44E23" w:rsidP="00621C61">
            <w:pPr>
              <w:pStyle w:val="NormalWeb"/>
              <w:spacing w:before="0" w:beforeAutospacing="0" w:after="120" w:afterAutospacing="0" w:line="240" w:lineRule="atLeast"/>
              <w:jc w:val="both"/>
              <w:rPr>
                <w:szCs w:val="20"/>
                <w:lang w:val="lt-LT"/>
              </w:rPr>
            </w:pPr>
            <w:r w:rsidRPr="00F15E38">
              <w:rPr>
                <w:rFonts w:eastAsia="Calibri"/>
                <w:szCs w:val="20"/>
                <w:lang w:val="lt-LT"/>
              </w:rPr>
              <w:t>Pirkimui taikomi aplinkosauginiai reikalavimai vadovaujantis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 p. perkama tik nematerialaus pobūdžio (intelektinė) ar kitokia paslauga, nesusijusi su materialaus objekto sukūrimu, kurios teikimo metu nėra numatomas reikšmingas neigiamas poveikis aplinkai, nesukuriamas taršos šaltinis ir negeneruojamos atliekos</w:t>
            </w:r>
            <w:r w:rsidR="00621C61" w:rsidRPr="00F15E38">
              <w:rPr>
                <w:rFonts w:eastAsia="Calibri"/>
                <w:szCs w:val="20"/>
                <w:lang w:val="lt-LT"/>
              </w:rPr>
              <w:t xml:space="preserve"> arba perkama prekė: programinė įranga, programinės įrangos nuoma, licencijos, elektroniniai leidiniai ar elektroninės knygos</w:t>
            </w:r>
            <w:r w:rsidRPr="00F15E38">
              <w:rPr>
                <w:rFonts w:eastAsia="Calibri"/>
                <w:szCs w:val="20"/>
                <w:lang w:val="lt-LT"/>
              </w:rPr>
              <w:t>.</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23C2929" w14:textId="77777777" w:rsidR="00F44E23" w:rsidRPr="00A127AA" w:rsidRDefault="00F44E23" w:rsidP="0093512D">
            <w:pPr>
              <w:pStyle w:val="NormalWeb"/>
              <w:spacing w:before="0" w:beforeAutospacing="0" w:after="0" w:afterAutospacing="0" w:line="240" w:lineRule="atLeast"/>
              <w:rPr>
                <w:color w:val="000000"/>
                <w:szCs w:val="20"/>
                <w:lang w:val="lt-LT"/>
              </w:rPr>
            </w:pPr>
            <w:r w:rsidRPr="00F15E38">
              <w:rPr>
                <w:color w:val="000000"/>
                <w:szCs w:val="20"/>
                <w:lang w:val="lt-LT"/>
              </w:rPr>
              <w:t>Dokumentų pateikti nereikalaujama</w:t>
            </w:r>
          </w:p>
        </w:tc>
      </w:tr>
    </w:tbl>
    <w:p w14:paraId="6A6EB97A" w14:textId="77777777" w:rsidR="00F44E23" w:rsidRPr="00225DDF" w:rsidRDefault="00F44E23" w:rsidP="00F44E23">
      <w:pPr>
        <w:pStyle w:val="ListParagraph"/>
        <w:ind w:left="360"/>
        <w:jc w:val="both"/>
        <w:rPr>
          <w:b/>
          <w:bCs/>
          <w:lang w:eastAsia="lt-LT"/>
        </w:rPr>
      </w:pPr>
    </w:p>
    <w:p w14:paraId="34CE6D30" w14:textId="77777777" w:rsidR="00F44E23" w:rsidRPr="00225DDF" w:rsidRDefault="00F44E23" w:rsidP="00F44E23"/>
    <w:p w14:paraId="421AAA86" w14:textId="77777777" w:rsidR="0054051E" w:rsidRDefault="0054051E"/>
    <w:sectPr w:rsidR="0054051E" w:rsidSect="00F44E23">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B46B7"/>
    <w:multiLevelType w:val="multilevel"/>
    <w:tmpl w:val="72A0E5FE"/>
    <w:lvl w:ilvl="0">
      <w:start w:val="1"/>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56A23F45"/>
    <w:multiLevelType w:val="multilevel"/>
    <w:tmpl w:val="0082D2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C9627FB"/>
    <w:multiLevelType w:val="hybridMultilevel"/>
    <w:tmpl w:val="758AD306"/>
    <w:lvl w:ilvl="0" w:tplc="9DEE37F8">
      <w:start w:val="2026"/>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20981522">
    <w:abstractNumId w:val="0"/>
  </w:num>
  <w:num w:numId="2" w16cid:durableId="1800685676">
    <w:abstractNumId w:val="1"/>
  </w:num>
  <w:num w:numId="3" w16cid:durableId="884178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E23"/>
    <w:rsid w:val="00005468"/>
    <w:rsid w:val="000A710A"/>
    <w:rsid w:val="000B33B1"/>
    <w:rsid w:val="000D1B9C"/>
    <w:rsid w:val="00134FD7"/>
    <w:rsid w:val="00137082"/>
    <w:rsid w:val="00145030"/>
    <w:rsid w:val="0016434D"/>
    <w:rsid w:val="00167E61"/>
    <w:rsid w:val="001A63A8"/>
    <w:rsid w:val="001E6742"/>
    <w:rsid w:val="00203BF6"/>
    <w:rsid w:val="00205DDC"/>
    <w:rsid w:val="0021714B"/>
    <w:rsid w:val="00220FDA"/>
    <w:rsid w:val="002275CD"/>
    <w:rsid w:val="00254C0D"/>
    <w:rsid w:val="002834B3"/>
    <w:rsid w:val="002B4657"/>
    <w:rsid w:val="00324895"/>
    <w:rsid w:val="00342281"/>
    <w:rsid w:val="003A2B32"/>
    <w:rsid w:val="003E6920"/>
    <w:rsid w:val="00420685"/>
    <w:rsid w:val="00421A0E"/>
    <w:rsid w:val="004649EB"/>
    <w:rsid w:val="00495330"/>
    <w:rsid w:val="004B0678"/>
    <w:rsid w:val="004C6DFC"/>
    <w:rsid w:val="004F0739"/>
    <w:rsid w:val="0051428D"/>
    <w:rsid w:val="0052016C"/>
    <w:rsid w:val="00523885"/>
    <w:rsid w:val="0053445D"/>
    <w:rsid w:val="00537541"/>
    <w:rsid w:val="0054051E"/>
    <w:rsid w:val="005463AC"/>
    <w:rsid w:val="005556D2"/>
    <w:rsid w:val="005818AB"/>
    <w:rsid w:val="00584B7E"/>
    <w:rsid w:val="00585FB6"/>
    <w:rsid w:val="005A14AC"/>
    <w:rsid w:val="005C779E"/>
    <w:rsid w:val="005D700B"/>
    <w:rsid w:val="00621C61"/>
    <w:rsid w:val="00627795"/>
    <w:rsid w:val="00633F9E"/>
    <w:rsid w:val="006F3E9A"/>
    <w:rsid w:val="00724BA6"/>
    <w:rsid w:val="00757282"/>
    <w:rsid w:val="00765C53"/>
    <w:rsid w:val="00784A1F"/>
    <w:rsid w:val="0079491D"/>
    <w:rsid w:val="007E5D6C"/>
    <w:rsid w:val="00821874"/>
    <w:rsid w:val="008263C2"/>
    <w:rsid w:val="00847766"/>
    <w:rsid w:val="008503DF"/>
    <w:rsid w:val="008574EA"/>
    <w:rsid w:val="00880514"/>
    <w:rsid w:val="008A6688"/>
    <w:rsid w:val="008C16C1"/>
    <w:rsid w:val="00904964"/>
    <w:rsid w:val="009162DE"/>
    <w:rsid w:val="009568B4"/>
    <w:rsid w:val="00961090"/>
    <w:rsid w:val="0097092F"/>
    <w:rsid w:val="009B0B7A"/>
    <w:rsid w:val="009B266E"/>
    <w:rsid w:val="009C611B"/>
    <w:rsid w:val="009F4034"/>
    <w:rsid w:val="00A127AA"/>
    <w:rsid w:val="00A33C64"/>
    <w:rsid w:val="00A4788A"/>
    <w:rsid w:val="00A85C24"/>
    <w:rsid w:val="00AA4D4F"/>
    <w:rsid w:val="00AD4398"/>
    <w:rsid w:val="00B02015"/>
    <w:rsid w:val="00B11479"/>
    <w:rsid w:val="00B57332"/>
    <w:rsid w:val="00B7424C"/>
    <w:rsid w:val="00BA2C52"/>
    <w:rsid w:val="00BC1D15"/>
    <w:rsid w:val="00BE1455"/>
    <w:rsid w:val="00C2093B"/>
    <w:rsid w:val="00C50C74"/>
    <w:rsid w:val="00C72C0C"/>
    <w:rsid w:val="00CA7A94"/>
    <w:rsid w:val="00CB2153"/>
    <w:rsid w:val="00CB489C"/>
    <w:rsid w:val="00CB7DB8"/>
    <w:rsid w:val="00CD4B4C"/>
    <w:rsid w:val="00CE4DB6"/>
    <w:rsid w:val="00D316E3"/>
    <w:rsid w:val="00D37783"/>
    <w:rsid w:val="00D379C1"/>
    <w:rsid w:val="00D549C5"/>
    <w:rsid w:val="00D93123"/>
    <w:rsid w:val="00DC5085"/>
    <w:rsid w:val="00DD3337"/>
    <w:rsid w:val="00E65918"/>
    <w:rsid w:val="00F02C87"/>
    <w:rsid w:val="00F15E38"/>
    <w:rsid w:val="00F44E23"/>
    <w:rsid w:val="00F91C90"/>
    <w:rsid w:val="00FA67C5"/>
    <w:rsid w:val="00FB2E32"/>
    <w:rsid w:val="00FF1251"/>
    <w:rsid w:val="00FF2E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3219"/>
  <w15:chartTrackingRefBased/>
  <w15:docId w15:val="{55B4D730-29D2-4CF3-A71E-BA9B03140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E23"/>
    <w:pPr>
      <w:spacing w:after="0" w:line="240" w:lineRule="auto"/>
    </w:pPr>
    <w:rPr>
      <w:rFonts w:ascii="Times New Roman" w:eastAsia="Times New Roman" w:hAnsi="Times New Roman" w:cs="Times New Roman"/>
      <w:kern w:val="0"/>
      <w:szCs w:val="20"/>
      <w:lang w:val="lt-LT"/>
      <w14:ligatures w14:val="none"/>
    </w:rPr>
  </w:style>
  <w:style w:type="paragraph" w:styleId="Heading1">
    <w:name w:val="heading 1"/>
    <w:basedOn w:val="Normal"/>
    <w:next w:val="Normal"/>
    <w:link w:val="Heading1Char"/>
    <w:uiPriority w:val="9"/>
    <w:qFormat/>
    <w:rsid w:val="00F44E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4E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4E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4E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4E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4E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E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E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E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E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4E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4E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4E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4E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4E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E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E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E23"/>
    <w:rPr>
      <w:rFonts w:eastAsiaTheme="majorEastAsia" w:cstheme="majorBidi"/>
      <w:color w:val="272727" w:themeColor="text1" w:themeTint="D8"/>
    </w:rPr>
  </w:style>
  <w:style w:type="paragraph" w:styleId="Title">
    <w:name w:val="Title"/>
    <w:basedOn w:val="Normal"/>
    <w:next w:val="Normal"/>
    <w:link w:val="TitleChar"/>
    <w:uiPriority w:val="10"/>
    <w:qFormat/>
    <w:rsid w:val="00F44E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E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E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E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E23"/>
    <w:pPr>
      <w:spacing w:before="160"/>
      <w:jc w:val="center"/>
    </w:pPr>
    <w:rPr>
      <w:i/>
      <w:iCs/>
      <w:color w:val="404040" w:themeColor="text1" w:themeTint="BF"/>
    </w:rPr>
  </w:style>
  <w:style w:type="character" w:customStyle="1" w:styleId="QuoteChar">
    <w:name w:val="Quote Char"/>
    <w:basedOn w:val="DefaultParagraphFont"/>
    <w:link w:val="Quote"/>
    <w:uiPriority w:val="29"/>
    <w:rsid w:val="00F44E23"/>
    <w:rPr>
      <w:i/>
      <w:iCs/>
      <w:color w:val="404040" w:themeColor="text1" w:themeTint="BF"/>
    </w:rPr>
  </w:style>
  <w:style w:type="paragraph" w:styleId="ListParagraph">
    <w:name w:val="List Paragraph"/>
    <w:aliases w:val="List Paragraph21,Buletai,Bullet EY,List Paragraph2,lp1,Bullet 1,Use Case List Paragraph,Numbering,ERP-List Paragraph,List Paragraph11,List Paragraph111,Paragraph,List Paragraph Red,Sąrašo pastraipa1,List Paragraph3,Lentele"/>
    <w:basedOn w:val="Normal"/>
    <w:link w:val="ListParagraphChar"/>
    <w:uiPriority w:val="34"/>
    <w:qFormat/>
    <w:rsid w:val="00F44E23"/>
    <w:pPr>
      <w:ind w:left="720"/>
      <w:contextualSpacing/>
    </w:pPr>
  </w:style>
  <w:style w:type="character" w:styleId="IntenseEmphasis">
    <w:name w:val="Intense Emphasis"/>
    <w:basedOn w:val="DefaultParagraphFont"/>
    <w:uiPriority w:val="21"/>
    <w:qFormat/>
    <w:rsid w:val="00F44E23"/>
    <w:rPr>
      <w:i/>
      <w:iCs/>
      <w:color w:val="2F5496" w:themeColor="accent1" w:themeShade="BF"/>
    </w:rPr>
  </w:style>
  <w:style w:type="paragraph" w:styleId="IntenseQuote">
    <w:name w:val="Intense Quote"/>
    <w:basedOn w:val="Normal"/>
    <w:next w:val="Normal"/>
    <w:link w:val="IntenseQuoteChar"/>
    <w:uiPriority w:val="30"/>
    <w:qFormat/>
    <w:rsid w:val="00F44E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4E23"/>
    <w:rPr>
      <w:i/>
      <w:iCs/>
      <w:color w:val="2F5496" w:themeColor="accent1" w:themeShade="BF"/>
    </w:rPr>
  </w:style>
  <w:style w:type="character" w:styleId="IntenseReference">
    <w:name w:val="Intense Reference"/>
    <w:basedOn w:val="DefaultParagraphFont"/>
    <w:uiPriority w:val="32"/>
    <w:qFormat/>
    <w:rsid w:val="00F44E23"/>
    <w:rPr>
      <w:b/>
      <w:bCs/>
      <w:smallCaps/>
      <w:color w:val="2F5496" w:themeColor="accent1" w:themeShade="BF"/>
      <w:spacing w:val="5"/>
    </w:rPr>
  </w:style>
  <w:style w:type="table" w:styleId="TableGrid">
    <w:name w:val="Table Grid"/>
    <w:basedOn w:val="TableNormal"/>
    <w:uiPriority w:val="39"/>
    <w:rsid w:val="00F44E23"/>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21 Char,Buletai Char,Bullet EY Char,List Paragraph2 Char,lp1 Char,Bullet 1 Char,Use Case List Paragraph Char,Numbering Char,ERP-List Paragraph Char,List Paragraph11 Char,List Paragraph111 Char,Paragraph Char"/>
    <w:link w:val="ListParagraph"/>
    <w:uiPriority w:val="34"/>
    <w:qFormat/>
    <w:locked/>
    <w:rsid w:val="00F44E23"/>
  </w:style>
  <w:style w:type="paragraph" w:styleId="NormalWeb">
    <w:name w:val="Normal (Web)"/>
    <w:basedOn w:val="Normal"/>
    <w:uiPriority w:val="99"/>
    <w:semiHidden/>
    <w:unhideWhenUsed/>
    <w:rsid w:val="00F44E23"/>
    <w:pPr>
      <w:spacing w:before="100" w:beforeAutospacing="1" w:after="100" w:afterAutospacing="1"/>
    </w:pPr>
    <w:rPr>
      <w:szCs w:val="24"/>
      <w:lang w:val="en-US"/>
    </w:rPr>
  </w:style>
  <w:style w:type="character" w:customStyle="1" w:styleId="bodyCar">
    <w:name w:val="body Car"/>
    <w:link w:val="body"/>
    <w:semiHidden/>
    <w:locked/>
    <w:rsid w:val="00F44E23"/>
    <w:rPr>
      <w:rFonts w:ascii="Arial" w:eastAsia="Times New Roman" w:hAnsi="Arial" w:cs="Times New Roman"/>
      <w:lang w:val="en-GB"/>
    </w:rPr>
  </w:style>
  <w:style w:type="paragraph" w:customStyle="1" w:styleId="body">
    <w:name w:val="body"/>
    <w:basedOn w:val="Normal"/>
    <w:link w:val="bodyCar"/>
    <w:semiHidden/>
    <w:rsid w:val="00F44E23"/>
    <w:pPr>
      <w:spacing w:before="120" w:after="120"/>
      <w:jc w:val="both"/>
    </w:pPr>
    <w:rPr>
      <w:rFonts w:ascii="Arial" w:hAnsi="Arial"/>
      <w:kern w:val="2"/>
      <w:szCs w:val="24"/>
      <w:lang w:val="en-GB"/>
      <w14:ligatures w14:val="standardContextual"/>
    </w:rPr>
  </w:style>
  <w:style w:type="character" w:styleId="CommentReference">
    <w:name w:val="annotation reference"/>
    <w:basedOn w:val="DefaultParagraphFont"/>
    <w:uiPriority w:val="99"/>
    <w:semiHidden/>
    <w:unhideWhenUsed/>
    <w:rsid w:val="00E65918"/>
    <w:rPr>
      <w:sz w:val="16"/>
      <w:szCs w:val="16"/>
    </w:rPr>
  </w:style>
  <w:style w:type="paragraph" w:styleId="CommentText">
    <w:name w:val="annotation text"/>
    <w:basedOn w:val="Normal"/>
    <w:link w:val="CommentTextChar"/>
    <w:uiPriority w:val="99"/>
    <w:unhideWhenUsed/>
    <w:rsid w:val="00E65918"/>
    <w:rPr>
      <w:sz w:val="20"/>
    </w:rPr>
  </w:style>
  <w:style w:type="character" w:customStyle="1" w:styleId="CommentTextChar">
    <w:name w:val="Comment Text Char"/>
    <w:basedOn w:val="DefaultParagraphFont"/>
    <w:link w:val="CommentText"/>
    <w:uiPriority w:val="99"/>
    <w:rsid w:val="00E65918"/>
    <w:rPr>
      <w:rFonts w:ascii="Times New Roman" w:eastAsia="Times New Roman" w:hAnsi="Times New Roman" w:cs="Times New Roman"/>
      <w:kern w:val="0"/>
      <w:sz w:val="20"/>
      <w:szCs w:val="20"/>
      <w:lang w:val="lt-LT"/>
      <w14:ligatures w14:val="none"/>
    </w:rPr>
  </w:style>
  <w:style w:type="paragraph" w:styleId="CommentSubject">
    <w:name w:val="annotation subject"/>
    <w:basedOn w:val="CommentText"/>
    <w:next w:val="CommentText"/>
    <w:link w:val="CommentSubjectChar"/>
    <w:uiPriority w:val="99"/>
    <w:semiHidden/>
    <w:unhideWhenUsed/>
    <w:rsid w:val="00E65918"/>
    <w:rPr>
      <w:b/>
      <w:bCs/>
    </w:rPr>
  </w:style>
  <w:style w:type="character" w:customStyle="1" w:styleId="CommentSubjectChar">
    <w:name w:val="Comment Subject Char"/>
    <w:basedOn w:val="CommentTextChar"/>
    <w:link w:val="CommentSubject"/>
    <w:uiPriority w:val="99"/>
    <w:semiHidden/>
    <w:rsid w:val="00E65918"/>
    <w:rPr>
      <w:rFonts w:ascii="Times New Roman" w:eastAsia="Times New Roman" w:hAnsi="Times New Roman" w:cs="Times New Roman"/>
      <w:b/>
      <w:bCs/>
      <w:kern w:val="0"/>
      <w:sz w:val="20"/>
      <w:szCs w:val="20"/>
      <w:lang w:val="lt-LT"/>
      <w14:ligatures w14:val="none"/>
    </w:rPr>
  </w:style>
  <w:style w:type="paragraph" w:styleId="Revision">
    <w:name w:val="Revision"/>
    <w:hidden/>
    <w:uiPriority w:val="99"/>
    <w:semiHidden/>
    <w:rsid w:val="00621C61"/>
    <w:pPr>
      <w:spacing w:after="0" w:line="240" w:lineRule="auto"/>
    </w:pPr>
    <w:rPr>
      <w:rFonts w:ascii="Times New Roman" w:eastAsia="Times New Roman" w:hAnsi="Times New Roman" w:cs="Times New Roman"/>
      <w:kern w:val="0"/>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3</Pages>
  <Words>4989</Words>
  <Characters>2844</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Eduardas Tuchta</dc:creator>
  <cp:keywords/>
  <dc:description/>
  <cp:lastModifiedBy>Eglė Gaidelytė-Karpavičienė</cp:lastModifiedBy>
  <cp:revision>93</cp:revision>
  <dcterms:created xsi:type="dcterms:W3CDTF">2026-09-18T10:06:00Z</dcterms:created>
  <dcterms:modified xsi:type="dcterms:W3CDTF">2026-10-14T13:57:00Z</dcterms:modified>
</cp:coreProperties>
</file>