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9771"/>
        <w:gridCol w:w="614"/>
      </w:tblGrid>
      <w:tr w:rsidR="0053453D" w14:paraId="085F1E46" w14:textId="77777777">
        <w:trPr>
          <w:trHeight w:val="99"/>
        </w:trPr>
        <w:tc>
          <w:tcPr>
            <w:tcW w:w="638" w:type="dxa"/>
          </w:tcPr>
          <w:p w14:paraId="085F1E43" w14:textId="77777777" w:rsidR="0053453D" w:rsidRDefault="0053453D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 w14:paraId="085F1E44" w14:textId="77777777" w:rsidR="0053453D" w:rsidRDefault="0053453D"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 w14:paraId="085F1E45" w14:textId="77777777" w:rsidR="0053453D" w:rsidRDefault="0053453D">
            <w:pPr>
              <w:pStyle w:val="EmptyCellLayoutStyle"/>
              <w:spacing w:after="0" w:line="240" w:lineRule="auto"/>
            </w:pPr>
          </w:p>
        </w:tc>
      </w:tr>
      <w:tr w:rsidR="0053453D" w14:paraId="085F1E89" w14:textId="77777777">
        <w:tc>
          <w:tcPr>
            <w:tcW w:w="638" w:type="dxa"/>
          </w:tcPr>
          <w:p w14:paraId="085F1E47" w14:textId="77777777" w:rsidR="0053453D" w:rsidRDefault="0053453D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53453D" w14:paraId="085F1E86" w14:textId="77777777">
              <w:trPr>
                <w:trHeight w:val="12889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7"/>
                    <w:gridCol w:w="3257"/>
                    <w:gridCol w:w="3257"/>
                  </w:tblGrid>
                  <w:tr w:rsidR="0053453D" w14:paraId="085F1E4B" w14:textId="77777777">
                    <w:trPr>
                      <w:trHeight w:val="986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48" w14:textId="77777777" w:rsidR="0053453D" w:rsidRDefault="005345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5F1E49" w14:textId="77777777" w:rsidR="0053453D" w:rsidRDefault="000F13E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85F1E8F" wp14:editId="085F1E90">
                              <wp:extent cx="2068344" cy="406073"/>
                              <wp:effectExtent l="0" t="0" r="0" b="0"/>
                              <wp:docPr id="1981583811" name="img2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jp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8344" cy="4060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4A" w14:textId="77777777" w:rsidR="0053453D" w:rsidRDefault="0053453D">
                        <w:pPr>
                          <w:spacing w:after="0" w:line="240" w:lineRule="auto"/>
                        </w:pPr>
                      </w:p>
                    </w:tc>
                  </w:tr>
                  <w:tr w:rsidR="000F13E0" w14:paraId="085F1E4F" w14:textId="77777777" w:rsidTr="000F13E0">
                    <w:trPr>
                      <w:trHeight w:val="1076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4C" w14:textId="77777777" w:rsidR="0053453D" w:rsidRDefault="0053453D">
                        <w:pPr>
                          <w:spacing w:after="0" w:line="240" w:lineRule="auto"/>
                        </w:pPr>
                      </w:p>
                    </w:tc>
                  </w:tr>
                  <w:tr w:rsidR="0053453D" w14:paraId="085F1E57" w14:textId="77777777">
                    <w:trPr>
                      <w:trHeight w:val="1751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50" w14:textId="77777777" w:rsidR="0053453D" w:rsidRDefault="005345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51" w14:textId="77777777" w:rsidR="0053453D" w:rsidRDefault="005345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52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TVIRTINU:</w:t>
                        </w:r>
                      </w:p>
                      <w:p w14:paraId="085F1E53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Martynas Gedaminskas</w:t>
                        </w:r>
                      </w:p>
                      <w:p w14:paraId="085F1E54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(Vardo raidė, pavardė, parašas)</w:t>
                        </w:r>
                      </w:p>
                      <w:p w14:paraId="085F1E55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____________________</w:t>
                        </w:r>
                      </w:p>
                      <w:p w14:paraId="085F1E56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(data)</w:t>
                        </w:r>
                      </w:p>
                    </w:tc>
                  </w:tr>
                  <w:tr w:rsidR="000F13E0" w14:paraId="085F1E5C" w14:textId="77777777" w:rsidTr="000F13E0">
                    <w:trPr>
                      <w:trHeight w:val="136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58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TECHNINĖ UŽDUOTIS VALSTYBINĖS REIKŠMĖS KELIŲ IR</w:t>
                        </w:r>
                      </w:p>
                      <w:p w14:paraId="085F1E59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/ ARBA JŲ ELEMENTŲ PROJEKTAVIMUI</w:t>
                        </w:r>
                      </w:p>
                    </w:tc>
                  </w:tr>
                  <w:tr w:rsidR="0053453D" w14:paraId="085F1E60" w14:textId="77777777">
                    <w:trPr>
                      <w:trHeight w:val="990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5D" w14:textId="77777777" w:rsidR="0053453D" w:rsidRDefault="005345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5E" w14:textId="77777777" w:rsidR="0053453D" w:rsidRDefault="005345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5F" w14:textId="77777777" w:rsidR="0053453D" w:rsidRDefault="0053453D">
                        <w:pPr>
                          <w:spacing w:after="0" w:line="240" w:lineRule="auto"/>
                        </w:pPr>
                      </w:p>
                    </w:tc>
                  </w:tr>
                  <w:tr w:rsidR="000F13E0" w14:paraId="085F1E64" w14:textId="77777777" w:rsidTr="000F13E0">
                    <w:trPr>
                      <w:trHeight w:val="457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61" w14:textId="77777777" w:rsidR="0053453D" w:rsidRDefault="000F13E0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1. Statytojas: </w:t>
                        </w:r>
                        <w:r>
                          <w:rPr>
                            <w:color w:val="000000"/>
                            <w:sz w:val="24"/>
                          </w:rPr>
                          <w:t>Akcinė bendrovė Via Lietuva.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2. Užsakovas: </w:t>
                        </w:r>
                        <w:r>
                          <w:rPr>
                            <w:color w:val="000000"/>
                            <w:sz w:val="24"/>
                          </w:rPr>
                          <w:t>Akcinė bendrovė Via Lietuva.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3. Projekto pavadinimas: </w:t>
                        </w:r>
                        <w:r>
                          <w:rPr>
                            <w:color w:val="000000"/>
                            <w:sz w:val="24"/>
                          </w:rPr>
                          <w:t>Valstybinės reikšmės rajoninio kelio Nr. 4903 Utena–Pakalniai–Alanta ruožo nuo 0 iki 10,319 km rekonstravimas, suremontuojant ir įrengiant taką, projektiniai pasiūlymai.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4. Statybos rūšis: </w:t>
                        </w:r>
                        <w:r>
                          <w:rPr>
                            <w:color w:val="000000"/>
                            <w:sz w:val="24"/>
                          </w:rPr>
                          <w:t>rekonstravimas.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5. Etapas: </w:t>
                        </w:r>
                        <w:r>
                          <w:rPr>
                            <w:color w:val="000000"/>
                            <w:sz w:val="24"/>
                          </w:rPr>
                          <w:t>Projektiniai pasiūlymai.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6. Statinio kategorija: </w:t>
                        </w:r>
                        <w:r>
                          <w:rPr>
                            <w:color w:val="000000"/>
                            <w:sz w:val="24"/>
                          </w:rPr>
                          <w:t>ypatingasis statinys.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7. Statinio rūšis: </w:t>
                        </w:r>
                        <w:r>
                          <w:rPr>
                            <w:color w:val="000000"/>
                            <w:sz w:val="24"/>
                          </w:rPr>
                          <w:t>inžinerinis statinys.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8. Inžinerinių statinių grupė: </w:t>
                        </w:r>
                        <w:r>
                          <w:rPr>
                            <w:color w:val="000000"/>
                            <w:sz w:val="24"/>
                          </w:rPr>
                          <w:t>susisiekimo komunikacijos.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9. Inžinerinių statin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ių pogrupis: </w:t>
                        </w:r>
                        <w:r>
                          <w:rPr>
                            <w:color w:val="000000"/>
                            <w:sz w:val="24"/>
                          </w:rPr>
                          <w:t>keliai; kiti transporto statiniai.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</w:p>
                    </w:tc>
                  </w:tr>
                  <w:tr w:rsidR="000F13E0" w14:paraId="085F1E68" w14:textId="77777777" w:rsidTr="000F13E0">
                    <w:trPr>
                      <w:trHeight w:val="446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65" w14:textId="77777777" w:rsidR="0053453D" w:rsidRDefault="000F13E0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10. Nurodymai statinių ir / arba jų elementų projektavimui ir jų techniniai parametrai:</w:t>
                        </w:r>
                      </w:p>
                    </w:tc>
                  </w:tr>
                  <w:tr w:rsidR="000F13E0" w14:paraId="085F1E6C" w14:textId="77777777" w:rsidTr="000F13E0">
                    <w:trPr>
                      <w:trHeight w:val="43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69" w14:textId="7389D5FC" w:rsidR="0053453D" w:rsidRDefault="000F13E0">
                        <w:pPr>
                          <w:spacing w:after="0" w:line="240" w:lineRule="auto"/>
                          <w:ind w:left="720" w:hanging="360"/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10.1. numatoma darbų vykdymo riba: </w:t>
                        </w:r>
                        <w:r>
                          <w:rPr>
                            <w:color w:val="000000"/>
                            <w:sz w:val="24"/>
                          </w:rPr>
                          <w:t>Valstybinės reikšmės rajoninio kelio Nr. 4903 Utena–Pakalniai–Alanta ruožas nuo 0 iki 10,319 km (vieta tikslinama projektavimo metu);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10.2. kelio (gatvės) kategorija: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pagal VĮ Registrų centro duomenis (gyvenvietėje projektuojama pagal STR 2.06.04:2014 „Gatvės ir vietinės reikšmės keliai. Bendrieji </w:t>
                        </w:r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>reikalavimai“, įvertinus esamą užstatymą, greta kelio esančius sklypus, atstumus tarp jų;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10.3. projektavimo paslaugų apimtis: </w:t>
                        </w:r>
                        <w:r>
                          <w:rPr>
                            <w:color w:val="000000"/>
                            <w:sz w:val="24"/>
                          </w:rPr>
                          <w:t>nurodytame kelio ruože suprojektuoti taką, nuovažas, pagal poreikį ir autobusų susto</w:t>
                        </w:r>
                        <w:r>
                          <w:rPr>
                            <w:color w:val="000000"/>
                            <w:sz w:val="24"/>
                          </w:rPr>
                          <w:t>jimo aikšteles. Įvertinus poreikį, numatyti saugaus eismo ir pėsčiųjų perėjimo per kelią organizavimo priemonių įrengimą ir / ar jų sutvarkymą, taip pat aktualias pėsčiųjų infrastruktūros jungtis (takus);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10.4. tilto / viaduko / estakados apkrovos: </w:t>
                        </w:r>
                        <w:r>
                          <w:rPr>
                            <w:color w:val="000000"/>
                            <w:sz w:val="24"/>
                          </w:rPr>
                          <w:t>0,989 km esantis tiltas neremontuojamas;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10.5. pėstiesiems ir (arba) dviratininkams skirta infrastruktūra: </w:t>
                        </w:r>
                        <w:r>
                          <w:rPr>
                            <w:color w:val="000000"/>
                            <w:sz w:val="24"/>
                          </w:rPr>
                          <w:t>pagal dviračių ir pėsčiųjų eismo infrastruktūros planavimo ir projektavimo taisykles;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10.6. pėstiesiems ir (arba) dviratininkams skirtos infrastruktūros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plotis: </w:t>
                        </w:r>
                        <w:r>
                          <w:rPr>
                            <w:color w:val="000000"/>
                            <w:sz w:val="24"/>
                          </w:rPr>
                          <w:t>pagal dviračių ir pėsčiųjų eismo infrastruktūros planavimo ir projektavimo taisykles;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10.7. dangos konstrukcijos klasė: </w:t>
                        </w:r>
                        <w:r>
                          <w:rPr>
                            <w:color w:val="000000"/>
                            <w:sz w:val="24"/>
                          </w:rPr>
                          <w:t>projektuoti pagal Automobilių kelių standartizuotų dangų konstrukcijų projektavimo taisykles KPT SDK 19;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10.8. nuovažų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10.9. numatomi / rekonstruojami inžineriniai tinklai: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10.10. vandens pralaidos: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esamų tvarkymas ar </w:t>
                        </w:r>
                        <w:r>
                          <w:rPr>
                            <w:color w:val="000000"/>
                            <w:sz w:val="24"/>
                          </w:rPr>
                          <w:t>naujų įrengimas nustatomas projektavimo metu (neprojektuoti pralaidų už kelio sklypo / statinio ribos);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10.11. vandens nuleidimas nuo kelio: </w:t>
                        </w:r>
                        <w:r>
                          <w:rPr>
                            <w:color w:val="000000"/>
                            <w:sz w:val="24"/>
                          </w:rPr>
                          <w:t>spręsti lietaus vandens surinkimą ir nuvedimą projektavimo metu (neprojektuoti lietaus vandens nuvedimo į privačias teritorijas). Esant poreikiui suprojektuoti uždarą lietaus vandens nuvedimo sistemą, kuri po statybos darbų bus registruojama atskirai;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10.12. pėsčiųjų perėjimo per kelią organizavimo priemonės vieta: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10.13. pėsčiųjų perėji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mo per kelią organizavimo priemonės tipas: </w:t>
                        </w:r>
                        <w:r>
                          <w:rPr>
                            <w:color w:val="000000"/>
                            <w:sz w:val="24"/>
                          </w:rPr>
                          <w:t>poreikį nustatyti projektavimo metu, vadovaujantis Pėsčiųjų perėjimo per kelius ir gatves organizavimo taisyklėmis;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10.14. pėsčiųjų perėjimo per kelią organizavimo priemonės kryptinis apšvietimas: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10.15. autobusų sustojimo aikštelių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10.16. autobusų sustojimo aikštelių paviljonų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10.17. inžinerinės eismo saugos priemonės: </w:t>
                        </w:r>
                        <w:r>
                          <w:rPr>
                            <w:color w:val="000000"/>
                            <w:sz w:val="24"/>
                          </w:rPr>
                          <w:t>poreikį nustatyti projektavimo metu, vadovaujantis Inžinerinių eismo saugumo priemonių įgyvendinimo rekomendacijomis;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10.18. apšvietimas: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numatyti per urbanizuotas teritorijas. </w:t>
                        </w:r>
                        <w:r>
                          <w:rPr>
                            <w:color w:val="000000"/>
                            <w:sz w:val="24"/>
                          </w:rPr>
                          <w:t>Apšvietimo apskaita turi būti atskira nuo savivaldybės tinklų;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lastRenderedPageBreak/>
                          <w:t xml:space="preserve">10.19. kiti reikalavimai: </w:t>
                        </w:r>
                        <w:r>
                          <w:rPr>
                            <w:color w:val="000000"/>
                            <w:sz w:val="24"/>
                          </w:rPr>
                          <w:t>darbai turi būti atliekami esamoje kelio juostoje (žemės sklypo ribose). Esant poreikiui, gauti Nacionalinės žemės tarnybos prie Žemės ūkio ministerijos sutikimą dėl statinių statybos valstybinėje žemėje.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0F13E0" w14:paraId="085F1E70" w14:textId="77777777" w:rsidTr="000F13E0">
                    <w:trPr>
                      <w:trHeight w:val="48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6D" w14:textId="77777777" w:rsidR="0053453D" w:rsidRDefault="000F13E0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lastRenderedPageBreak/>
                          <w:t>11. Projektuojant vadovautis šiais dokumentais:</w:t>
                        </w:r>
                      </w:p>
                    </w:tc>
                  </w:tr>
                  <w:tr w:rsidR="000F13E0" w14:paraId="085F1E74" w14:textId="77777777" w:rsidTr="000F13E0">
                    <w:trPr>
                      <w:trHeight w:val="58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71" w14:textId="05AF636C" w:rsidR="0053453D" w:rsidRDefault="000F13E0">
                        <w:pPr>
                          <w:spacing w:after="0" w:line="240" w:lineRule="auto"/>
                          <w:ind w:left="720" w:hanging="360"/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11.1. Lietuvos Respublikos kelių įstatymu, Lietuvos Respublikos statybos įstatymu, kelių techniniu reglamentu, statybos techniniais reglamentais, higienos normomis, kitais poįstatyminiais teisės aktais: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11.2. kitais galiojančiais įstatymais, teisės aktais ir normatyviniais statybos techniniais dokumentais, įskaitant, bet neapsiribojant, nurodytais Akcinės bendrovės Lietuvos automobilių kelių direkcijos interneto svetainėje adresu http://lakd.lt/lt/paslaugos/normatyviniai-dokumentai 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11.3. pro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jekto rengimo dokumentais: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11.4. prisijungimo sąlygomis: </w:t>
                        </w:r>
                        <w:r>
                          <w:rPr>
                            <w:color w:val="000000"/>
                            <w:sz w:val="24"/>
                          </w:rPr>
                          <w:t>Taip.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0F13E0" w14:paraId="085F1E78" w14:textId="77777777" w:rsidTr="000F13E0">
                    <w:trPr>
                      <w:trHeight w:val="1135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8226D8" w14:textId="77777777" w:rsidR="000F13E0" w:rsidRDefault="000F13E0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12. Finansavimo šaltinis: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Kelių priežiūros ir plėtros programos lėšos.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13. Projekto apimtis: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Pagal STR 1.04.04:2017 „Statinio projektavimas, projekto ekspertizė“.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14. Papildomos paslaugos (paslaugos, deleguotos Statytojo projektuotojui):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Atlikti kitas papildomas paslaugas kaip tai numato Techninė specifikacija ir Sutarties sąlygos.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15. Su šia užduotimi pateikiami Statytojo privalomieji ir kiti dokumentai projektui rengti bei šių dokumentų pateikimo laikotarpis: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Priedas Nr. 1. Techninė specifikacija; Priedas Nr. 2. Kadastrinių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 matavimų bylos (pateikiama pasirašius paslaugų sutartį); 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16. Žemės sklypo statinio teisinės registracijos Nekilnojamojo turto registre duomenys: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– žemės sklypo unikalus numeris: 4400-4107-3445; 4400-4252-1420; 4400-4019-8790;</w:t>
                        </w:r>
                      </w:p>
                      <w:p w14:paraId="085F1E75" w14:textId="3485DD28" w:rsidR="0053453D" w:rsidRDefault="000F13E0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 – inžinerinio statinio unikalus numeris: 4400-3919-8080; 4400-3927-0048.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53453D" w14:paraId="085F1E84" w14:textId="77777777">
                    <w:trPr>
                      <w:trHeight w:val="2256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79" w14:textId="77777777" w:rsidR="0053453D" w:rsidRDefault="0053453D">
                        <w:pPr>
                          <w:spacing w:after="0" w:line="240" w:lineRule="auto"/>
                          <w:jc w:val="center"/>
                        </w:pPr>
                      </w:p>
                      <w:p w14:paraId="085F1E7A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STATYTOJAS</w:t>
                        </w:r>
                      </w:p>
                      <w:p w14:paraId="085F1E7B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Akcinė bendrovė Via Lietuva</w:t>
                        </w:r>
                      </w:p>
                      <w:p w14:paraId="085F1E7C" w14:textId="77777777" w:rsidR="0053453D" w:rsidRDefault="0053453D">
                        <w:pPr>
                          <w:spacing w:after="0" w:line="240" w:lineRule="auto"/>
                          <w:jc w:val="center"/>
                        </w:pPr>
                      </w:p>
                      <w:p w14:paraId="085F1E7D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(vardas, pavardė, parašas, data)</w:t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7E" w14:textId="77777777" w:rsidR="0053453D" w:rsidRDefault="005345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F1E7F" w14:textId="77777777" w:rsidR="0053453D" w:rsidRDefault="0053453D">
                        <w:pPr>
                          <w:spacing w:after="0" w:line="240" w:lineRule="auto"/>
                          <w:jc w:val="center"/>
                        </w:pPr>
                      </w:p>
                      <w:p w14:paraId="085F1E80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PROJEKTUOTOJAS</w:t>
                        </w:r>
                      </w:p>
                      <w:p w14:paraId="085F1E81" w14:textId="77777777" w:rsidR="0053453D" w:rsidRDefault="0053453D">
                        <w:pPr>
                          <w:spacing w:after="0" w:line="240" w:lineRule="auto"/>
                          <w:jc w:val="center"/>
                        </w:pPr>
                      </w:p>
                      <w:p w14:paraId="085F1E82" w14:textId="77777777" w:rsidR="0053453D" w:rsidRDefault="0053453D">
                        <w:pPr>
                          <w:spacing w:after="0" w:line="240" w:lineRule="auto"/>
                          <w:jc w:val="center"/>
                        </w:pPr>
                      </w:p>
                      <w:p w14:paraId="085F1E83" w14:textId="77777777" w:rsidR="0053453D" w:rsidRDefault="000F13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(vardas, pavardė, parašas, data)</w:t>
                        </w:r>
                      </w:p>
                    </w:tc>
                  </w:tr>
                </w:tbl>
                <w:p w14:paraId="085F1E85" w14:textId="77777777" w:rsidR="0053453D" w:rsidRDefault="0053453D">
                  <w:pPr>
                    <w:spacing w:after="0" w:line="240" w:lineRule="auto"/>
                  </w:pPr>
                </w:p>
              </w:tc>
            </w:tr>
          </w:tbl>
          <w:p w14:paraId="085F1E87" w14:textId="77777777" w:rsidR="0053453D" w:rsidRDefault="0053453D">
            <w:pPr>
              <w:spacing w:after="0" w:line="240" w:lineRule="auto"/>
            </w:pPr>
          </w:p>
        </w:tc>
        <w:tc>
          <w:tcPr>
            <w:tcW w:w="614" w:type="dxa"/>
          </w:tcPr>
          <w:p w14:paraId="085F1E88" w14:textId="77777777" w:rsidR="0053453D" w:rsidRDefault="0053453D">
            <w:pPr>
              <w:pStyle w:val="EmptyCellLayoutStyle"/>
              <w:spacing w:after="0" w:line="240" w:lineRule="auto"/>
            </w:pPr>
          </w:p>
        </w:tc>
      </w:tr>
      <w:tr w:rsidR="0053453D" w14:paraId="085F1E8D" w14:textId="77777777">
        <w:trPr>
          <w:trHeight w:val="952"/>
        </w:trPr>
        <w:tc>
          <w:tcPr>
            <w:tcW w:w="638" w:type="dxa"/>
          </w:tcPr>
          <w:p w14:paraId="085F1E8A" w14:textId="77777777" w:rsidR="0053453D" w:rsidRDefault="0053453D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 w14:paraId="085F1E8B" w14:textId="77777777" w:rsidR="0053453D" w:rsidRDefault="0053453D"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 w14:paraId="085F1E8C" w14:textId="77777777" w:rsidR="0053453D" w:rsidRDefault="0053453D">
            <w:pPr>
              <w:pStyle w:val="EmptyCellLayoutStyle"/>
              <w:spacing w:after="0" w:line="240" w:lineRule="auto"/>
            </w:pPr>
          </w:p>
        </w:tc>
      </w:tr>
    </w:tbl>
    <w:p w14:paraId="085F1E8E" w14:textId="77777777" w:rsidR="0053453D" w:rsidRDefault="0053453D">
      <w:pPr>
        <w:spacing w:after="0" w:line="240" w:lineRule="auto"/>
      </w:pPr>
    </w:p>
    <w:sectPr w:rsidR="0053453D">
      <w:pgSz w:w="12584" w:h="16837"/>
      <w:pgMar w:top="1559" w:right="566" w:bottom="1133" w:left="992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0751367">
    <w:abstractNumId w:val="0"/>
  </w:num>
  <w:num w:numId="2" w16cid:durableId="1076854442">
    <w:abstractNumId w:val="1"/>
  </w:num>
  <w:num w:numId="3" w16cid:durableId="1954165627">
    <w:abstractNumId w:val="2"/>
  </w:num>
  <w:num w:numId="4" w16cid:durableId="257108022">
    <w:abstractNumId w:val="3"/>
  </w:num>
  <w:num w:numId="5" w16cid:durableId="491415870">
    <w:abstractNumId w:val="4"/>
  </w:num>
  <w:num w:numId="6" w16cid:durableId="418917091">
    <w:abstractNumId w:val="5"/>
  </w:num>
  <w:num w:numId="7" w16cid:durableId="1120998339">
    <w:abstractNumId w:val="6"/>
  </w:num>
  <w:num w:numId="8" w16cid:durableId="334189665">
    <w:abstractNumId w:val="7"/>
  </w:num>
  <w:num w:numId="9" w16cid:durableId="1256401346">
    <w:abstractNumId w:val="8"/>
  </w:num>
  <w:num w:numId="10" w16cid:durableId="1023281681">
    <w:abstractNumId w:val="9"/>
  </w:num>
  <w:num w:numId="11" w16cid:durableId="914242042">
    <w:abstractNumId w:val="10"/>
  </w:num>
  <w:num w:numId="12" w16cid:durableId="918102423">
    <w:abstractNumId w:val="11"/>
  </w:num>
  <w:num w:numId="13" w16cid:durableId="1728916917">
    <w:abstractNumId w:val="12"/>
  </w:num>
  <w:num w:numId="14" w16cid:durableId="1925872389">
    <w:abstractNumId w:val="13"/>
  </w:num>
  <w:num w:numId="15" w16cid:durableId="599920018">
    <w:abstractNumId w:val="14"/>
  </w:num>
  <w:num w:numId="16" w16cid:durableId="2047169601">
    <w:abstractNumId w:val="15"/>
  </w:num>
  <w:num w:numId="17" w16cid:durableId="1075591389">
    <w:abstractNumId w:val="16"/>
  </w:num>
  <w:num w:numId="18" w16cid:durableId="1126965077">
    <w:abstractNumId w:val="17"/>
  </w:num>
  <w:num w:numId="19" w16cid:durableId="901057860">
    <w:abstractNumId w:val="18"/>
  </w:num>
  <w:num w:numId="20" w16cid:durableId="1477526430">
    <w:abstractNumId w:val="19"/>
  </w:num>
  <w:num w:numId="21" w16cid:durableId="662781114">
    <w:abstractNumId w:val="20"/>
  </w:num>
  <w:num w:numId="22" w16cid:durableId="1535313797">
    <w:abstractNumId w:val="21"/>
  </w:num>
  <w:num w:numId="23" w16cid:durableId="2114133191">
    <w:abstractNumId w:val="22"/>
  </w:num>
  <w:num w:numId="24" w16cid:durableId="3519521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1296"/>
  <w:hyphenationZone w:val="396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53D"/>
    <w:rsid w:val="000F13E0"/>
    <w:rsid w:val="0053453D"/>
    <w:rsid w:val="007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1E43"/>
  <w15:docId w15:val="{BEFE327C-A3AA-4B2B-811B-D8F30C72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3454</Words>
  <Characters>1970</Characters>
  <Application>Microsoft Office Word</Application>
  <DocSecurity>0</DocSecurity>
  <Lines>16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Technine uzduotis</dc:title>
  <dc:creator/>
  <dc:description/>
  <cp:lastModifiedBy>Valdemaras Bikulčius</cp:lastModifiedBy>
  <cp:revision>2</cp:revision>
  <dcterms:created xsi:type="dcterms:W3CDTF">2025-01-13T12:02:00Z</dcterms:created>
  <dcterms:modified xsi:type="dcterms:W3CDTF">2025-01-13T12:08:00Z</dcterms:modified>
</cp:coreProperties>
</file>