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6C6C" w14:textId="33D2DFED" w:rsidR="00BB1129" w:rsidRPr="00CB6B98" w:rsidRDefault="002A599E">
      <w:pPr>
        <w:rPr>
          <w:rFonts w:ascii="Times New Roman" w:hAnsi="Times New Roman" w:cs="Times New Roman"/>
          <w:sz w:val="24"/>
          <w:szCs w:val="24"/>
        </w:rPr>
      </w:pPr>
      <w:r w:rsidRPr="00CB6B98">
        <w:rPr>
          <w:rFonts w:ascii="Times New Roman" w:hAnsi="Times New Roman" w:cs="Times New Roman"/>
          <w:sz w:val="24"/>
          <w:szCs w:val="24"/>
        </w:rPr>
        <w:t>BENDRIEJI REIKALAVIMAI</w:t>
      </w:r>
    </w:p>
    <w:tbl>
      <w:tblPr>
        <w:tblStyle w:val="Lentelstinklelis"/>
        <w:tblW w:w="13423" w:type="dxa"/>
        <w:tblLook w:val="04A0" w:firstRow="1" w:lastRow="0" w:firstColumn="1" w:lastColumn="0" w:noHBand="0" w:noVBand="1"/>
      </w:tblPr>
      <w:tblGrid>
        <w:gridCol w:w="911"/>
        <w:gridCol w:w="12501"/>
        <w:gridCol w:w="11"/>
      </w:tblGrid>
      <w:tr w:rsidR="002A599E" w:rsidRPr="00CB6B98" w14:paraId="671F8290" w14:textId="77777777" w:rsidTr="00CB6B98">
        <w:trPr>
          <w:gridAfter w:val="1"/>
          <w:wAfter w:w="11" w:type="dxa"/>
          <w:trHeight w:val="384"/>
        </w:trPr>
        <w:tc>
          <w:tcPr>
            <w:tcW w:w="911" w:type="dxa"/>
            <w:noWrap/>
            <w:hideMark/>
          </w:tcPr>
          <w:p w14:paraId="0C66A685"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1.</w:t>
            </w:r>
          </w:p>
        </w:tc>
        <w:tc>
          <w:tcPr>
            <w:tcW w:w="12501" w:type="dxa"/>
            <w:noWrap/>
            <w:hideMark/>
          </w:tcPr>
          <w:p w14:paraId="290CB243" w14:textId="12C1433A"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 xml:space="preserve">Reagentai ir priemonės turi būti tinkami naudoti su turima įranga </w:t>
            </w:r>
            <w:proofErr w:type="spellStart"/>
            <w:r w:rsidRPr="00CB6B98">
              <w:rPr>
                <w:rFonts w:ascii="Times New Roman" w:hAnsi="Times New Roman" w:cs="Times New Roman"/>
                <w:lang w:val="lt-LT"/>
              </w:rPr>
              <w:t>GeneXpert</w:t>
            </w:r>
            <w:proofErr w:type="spellEnd"/>
            <w:r w:rsidRPr="00CB6B98">
              <w:rPr>
                <w:rFonts w:ascii="Times New Roman" w:hAnsi="Times New Roman" w:cs="Times New Roman"/>
                <w:lang w:val="lt-LT"/>
              </w:rPr>
              <w:t xml:space="preserve"> System sistema. </w:t>
            </w:r>
          </w:p>
        </w:tc>
      </w:tr>
      <w:tr w:rsidR="002A599E" w:rsidRPr="00CB6B98" w14:paraId="59946312" w14:textId="77777777" w:rsidTr="007B413B">
        <w:trPr>
          <w:trHeight w:val="570"/>
        </w:trPr>
        <w:tc>
          <w:tcPr>
            <w:tcW w:w="911" w:type="dxa"/>
            <w:noWrap/>
            <w:hideMark/>
          </w:tcPr>
          <w:p w14:paraId="3EE0C06E"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2.</w:t>
            </w:r>
          </w:p>
        </w:tc>
        <w:tc>
          <w:tcPr>
            <w:tcW w:w="12512" w:type="dxa"/>
            <w:gridSpan w:val="2"/>
            <w:hideMark/>
          </w:tcPr>
          <w:p w14:paraId="4F4307F0" w14:textId="77777777"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 xml:space="preserve">Reagentai, </w:t>
            </w:r>
            <w:proofErr w:type="spellStart"/>
            <w:r w:rsidRPr="00CB6B98">
              <w:rPr>
                <w:rFonts w:ascii="Times New Roman" w:hAnsi="Times New Roman" w:cs="Times New Roman"/>
                <w:lang w:val="lt-LT"/>
              </w:rPr>
              <w:t>kalibracinės</w:t>
            </w:r>
            <w:proofErr w:type="spellEnd"/>
            <w:r w:rsidRPr="00CB6B98">
              <w:rPr>
                <w:rFonts w:ascii="Times New Roman" w:hAnsi="Times New Roman" w:cs="Times New Roman"/>
                <w:lang w:val="lt-LT"/>
              </w:rPr>
              <w:t xml:space="preserve">, kontrolinės ir kitos eksploatacinės medžiagos - turi būti vieno gamintojo ir vieno tiekėjo, medicinos priemonių gamintojo rekomenduoti arba adaptuoti (pateikti tai įrodančius dokumentus). </w:t>
            </w:r>
          </w:p>
        </w:tc>
      </w:tr>
      <w:tr w:rsidR="002A599E" w:rsidRPr="00CB6B98" w14:paraId="61C2F2CC" w14:textId="77777777" w:rsidTr="0098137F">
        <w:trPr>
          <w:trHeight w:val="398"/>
        </w:trPr>
        <w:tc>
          <w:tcPr>
            <w:tcW w:w="911" w:type="dxa"/>
            <w:noWrap/>
            <w:hideMark/>
          </w:tcPr>
          <w:p w14:paraId="2CA97E0F"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3.</w:t>
            </w:r>
          </w:p>
        </w:tc>
        <w:tc>
          <w:tcPr>
            <w:tcW w:w="12512" w:type="dxa"/>
            <w:gridSpan w:val="2"/>
            <w:hideMark/>
          </w:tcPr>
          <w:p w14:paraId="7D55DB17" w14:textId="77777777"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Pasiūlyme turi būti pateiktos visos tyrimui atlikti būtinos eksploatacinės medžiagos, pagal numatytas gamintojo.</w:t>
            </w:r>
          </w:p>
        </w:tc>
      </w:tr>
      <w:tr w:rsidR="002A599E" w:rsidRPr="00CB6B98" w14:paraId="67E4173A" w14:textId="77777777" w:rsidTr="007B413B">
        <w:trPr>
          <w:trHeight w:val="570"/>
        </w:trPr>
        <w:tc>
          <w:tcPr>
            <w:tcW w:w="911" w:type="dxa"/>
            <w:noWrap/>
            <w:hideMark/>
          </w:tcPr>
          <w:p w14:paraId="0EE95640"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4.</w:t>
            </w:r>
          </w:p>
        </w:tc>
        <w:tc>
          <w:tcPr>
            <w:tcW w:w="12512" w:type="dxa"/>
            <w:gridSpan w:val="2"/>
            <w:hideMark/>
          </w:tcPr>
          <w:p w14:paraId="289E9C6F" w14:textId="77777777"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 xml:space="preserve">Tiekėjai turi pasiūlyti tokias reagentų, </w:t>
            </w:r>
            <w:proofErr w:type="spellStart"/>
            <w:r w:rsidRPr="00CB6B98">
              <w:rPr>
                <w:rFonts w:ascii="Times New Roman" w:hAnsi="Times New Roman" w:cs="Times New Roman"/>
                <w:lang w:val="lt-LT"/>
              </w:rPr>
              <w:t>kalibracinių</w:t>
            </w:r>
            <w:proofErr w:type="spellEnd"/>
            <w:r w:rsidRPr="00CB6B98">
              <w:rPr>
                <w:rFonts w:ascii="Times New Roman" w:hAnsi="Times New Roman" w:cs="Times New Roman"/>
                <w:lang w:val="lt-LT"/>
              </w:rPr>
              <w:t xml:space="preserve">, kontrolinių medžiagų ir visų kitų eksploatacinių medžiagų pakuotes, kurios būtų racionaliai/ekonomiškai panaudotos, garantuojant reagentų ir eksploatacinių medžiagų stabilumą nuo atidarymo. </w:t>
            </w:r>
          </w:p>
        </w:tc>
      </w:tr>
      <w:tr w:rsidR="002A599E" w:rsidRPr="00CB6B98" w14:paraId="46420698" w14:textId="77777777" w:rsidTr="007B413B">
        <w:trPr>
          <w:trHeight w:val="330"/>
        </w:trPr>
        <w:tc>
          <w:tcPr>
            <w:tcW w:w="911" w:type="dxa"/>
            <w:noWrap/>
            <w:hideMark/>
          </w:tcPr>
          <w:p w14:paraId="345C0229"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5.</w:t>
            </w:r>
          </w:p>
        </w:tc>
        <w:tc>
          <w:tcPr>
            <w:tcW w:w="12512" w:type="dxa"/>
            <w:gridSpan w:val="2"/>
            <w:hideMark/>
          </w:tcPr>
          <w:p w14:paraId="48CB9C8F" w14:textId="4D07415F"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Reagentų   galiojimo laikas - turi būti ne mažiau 6 mėn</w:t>
            </w:r>
            <w:r w:rsidR="0098137F">
              <w:rPr>
                <w:rFonts w:ascii="Times New Roman" w:hAnsi="Times New Roman" w:cs="Times New Roman"/>
                <w:lang w:val="lt-LT"/>
              </w:rPr>
              <w:t>.</w:t>
            </w:r>
          </w:p>
        </w:tc>
      </w:tr>
      <w:tr w:rsidR="002A599E" w:rsidRPr="00CB6B98" w14:paraId="5F3D7170" w14:textId="77777777" w:rsidTr="007B413B">
        <w:trPr>
          <w:trHeight w:val="615"/>
        </w:trPr>
        <w:tc>
          <w:tcPr>
            <w:tcW w:w="911" w:type="dxa"/>
            <w:noWrap/>
            <w:hideMark/>
          </w:tcPr>
          <w:p w14:paraId="6E03DD97"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6.</w:t>
            </w:r>
          </w:p>
        </w:tc>
        <w:tc>
          <w:tcPr>
            <w:tcW w:w="12512" w:type="dxa"/>
            <w:gridSpan w:val="2"/>
            <w:hideMark/>
          </w:tcPr>
          <w:p w14:paraId="2558EB09" w14:textId="77777777"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Tiekėjai privalo pateikti visų  eksploatacinių medžiagų (reagentai, plovikliai, buferiai ir  kitos) gamintojo deklaruojamą  stabilumą atidarius, specifinius reikalavimus paruošimui, laikymui, naudojimui.</w:t>
            </w:r>
          </w:p>
        </w:tc>
      </w:tr>
      <w:tr w:rsidR="002A599E" w:rsidRPr="00CB6B98" w14:paraId="6BA25DBD" w14:textId="77777777" w:rsidTr="007B413B">
        <w:trPr>
          <w:trHeight w:val="540"/>
        </w:trPr>
        <w:tc>
          <w:tcPr>
            <w:tcW w:w="911" w:type="dxa"/>
            <w:noWrap/>
            <w:hideMark/>
          </w:tcPr>
          <w:p w14:paraId="5335C63B"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7.</w:t>
            </w:r>
          </w:p>
        </w:tc>
        <w:tc>
          <w:tcPr>
            <w:tcW w:w="12512" w:type="dxa"/>
            <w:gridSpan w:val="2"/>
            <w:hideMark/>
          </w:tcPr>
          <w:p w14:paraId="51029887" w14:textId="77777777"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 xml:space="preserve">Visi reagentai ir priemonės turi būti sertifikuoti naudojimui Europos sąjungoje, ženklinti CE žyme (CE ženklinimas pagal </w:t>
            </w:r>
            <w:proofErr w:type="spellStart"/>
            <w:r w:rsidRPr="00CB6B98">
              <w:rPr>
                <w:rFonts w:ascii="Times New Roman" w:hAnsi="Times New Roman" w:cs="Times New Roman"/>
                <w:lang w:val="lt-LT"/>
              </w:rPr>
              <w:t>invitro</w:t>
            </w:r>
            <w:proofErr w:type="spellEnd"/>
            <w:r w:rsidRPr="00CB6B98">
              <w:rPr>
                <w:rFonts w:ascii="Times New Roman" w:hAnsi="Times New Roman" w:cs="Times New Roman"/>
                <w:lang w:val="lt-LT"/>
              </w:rPr>
              <w:t xml:space="preserve"> diagnostikos prietaisų direktyvą 98/79 /EC)</w:t>
            </w:r>
          </w:p>
        </w:tc>
      </w:tr>
      <w:tr w:rsidR="002A599E" w:rsidRPr="00CB6B98" w14:paraId="18C4A983" w14:textId="77777777" w:rsidTr="007B413B">
        <w:trPr>
          <w:trHeight w:val="660"/>
        </w:trPr>
        <w:tc>
          <w:tcPr>
            <w:tcW w:w="911" w:type="dxa"/>
            <w:noWrap/>
            <w:hideMark/>
          </w:tcPr>
          <w:p w14:paraId="4EF30EAD"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8.</w:t>
            </w:r>
          </w:p>
        </w:tc>
        <w:tc>
          <w:tcPr>
            <w:tcW w:w="12512" w:type="dxa"/>
            <w:gridSpan w:val="2"/>
            <w:hideMark/>
          </w:tcPr>
          <w:p w14:paraId="5D86D5CB" w14:textId="06ECBC24"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 xml:space="preserve">Tiekėjai turi pateikti lietuvių kalba reagentų, kalibravimo ir kontrolinių medžiagų, kitų eksploatacinių medžiagų naudojimo instrukcijas, darbo metodikas bei saugos duomenų lapus. </w:t>
            </w:r>
          </w:p>
        </w:tc>
      </w:tr>
      <w:tr w:rsidR="002A599E" w:rsidRPr="00CB6B98" w14:paraId="4A6BE470" w14:textId="77777777" w:rsidTr="007B413B">
        <w:trPr>
          <w:trHeight w:val="765"/>
        </w:trPr>
        <w:tc>
          <w:tcPr>
            <w:tcW w:w="911" w:type="dxa"/>
            <w:noWrap/>
            <w:hideMark/>
          </w:tcPr>
          <w:p w14:paraId="4BA7B51F"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9.</w:t>
            </w:r>
          </w:p>
        </w:tc>
        <w:tc>
          <w:tcPr>
            <w:tcW w:w="12512" w:type="dxa"/>
            <w:gridSpan w:val="2"/>
            <w:hideMark/>
          </w:tcPr>
          <w:p w14:paraId="7BDC3861" w14:textId="77777777" w:rsidR="002A599E" w:rsidRPr="00CB6B98" w:rsidRDefault="002A599E" w:rsidP="007B413B">
            <w:pPr>
              <w:tabs>
                <w:tab w:val="left" w:pos="13892"/>
              </w:tabs>
              <w:rPr>
                <w:rFonts w:ascii="Times New Roman" w:hAnsi="Times New Roman" w:cs="Times New Roman"/>
                <w:lang w:val="lt-LT"/>
              </w:rPr>
            </w:pPr>
            <w:r w:rsidRPr="00CB6B98">
              <w:rPr>
                <w:rFonts w:ascii="Times New Roman" w:hAnsi="Times New Roman" w:cs="Times New Roman"/>
                <w:lang w:val="lt-LT"/>
              </w:rPr>
              <w:t>Tiekėjai privalo garantuoti lanksčią nepertraukiamą reagentų tiekimo pagal poreikį sistemą (iš karto gavus užsakymą ar pagal iš anksto nurodytą tikslų grafiką, bet ne rečiau, kaip 2-3 kartus per mėnesį, bei galimybė gauti skubų užsakymą).</w:t>
            </w:r>
          </w:p>
        </w:tc>
      </w:tr>
      <w:tr w:rsidR="002A599E" w:rsidRPr="00CB6B98" w14:paraId="20BEDCD0" w14:textId="77777777" w:rsidTr="007B413B">
        <w:trPr>
          <w:trHeight w:val="855"/>
        </w:trPr>
        <w:tc>
          <w:tcPr>
            <w:tcW w:w="911" w:type="dxa"/>
            <w:noWrap/>
            <w:hideMark/>
          </w:tcPr>
          <w:p w14:paraId="282778A0"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10.</w:t>
            </w:r>
          </w:p>
        </w:tc>
        <w:tc>
          <w:tcPr>
            <w:tcW w:w="12512" w:type="dxa"/>
            <w:gridSpan w:val="2"/>
            <w:hideMark/>
          </w:tcPr>
          <w:p w14:paraId="0D4B6719" w14:textId="5F085B1C" w:rsidR="002A599E" w:rsidRPr="00CB6B98" w:rsidRDefault="0098137F" w:rsidP="007B413B">
            <w:pPr>
              <w:tabs>
                <w:tab w:val="left" w:pos="13892"/>
              </w:tabs>
              <w:rPr>
                <w:rFonts w:ascii="Times New Roman" w:hAnsi="Times New Roman" w:cs="Times New Roman"/>
                <w:lang w:val="lt-LT"/>
              </w:rPr>
            </w:pPr>
            <w:r w:rsidRPr="0098137F">
              <w:rPr>
                <w:rFonts w:ascii="Times New Roman" w:hAnsi="Times New Roman" w:cs="Times New Roman"/>
                <w:lang w:val="lt-LT"/>
              </w:rPr>
              <w:t>Perkančioji organizacija prekes planuoja pirkti pagal poreikį, kuris priklauso nuo aplinkybių, neprognozuojamų pirkimo metu (perkamų prekių kiekis priklauso nuo sutarties vykdymo metu iškylančio poreikio, keičiantis ligoninės poreikiams, pacientų skaičiui). Perkančioji organizacija neįsipareigoja išpirkti viso prekių kiekio.</w:t>
            </w:r>
          </w:p>
        </w:tc>
      </w:tr>
      <w:tr w:rsidR="002A599E" w:rsidRPr="00CB6B98" w14:paraId="46E1255E" w14:textId="77777777" w:rsidTr="007B413B">
        <w:trPr>
          <w:trHeight w:val="1065"/>
        </w:trPr>
        <w:tc>
          <w:tcPr>
            <w:tcW w:w="911" w:type="dxa"/>
            <w:noWrap/>
            <w:hideMark/>
          </w:tcPr>
          <w:p w14:paraId="5529C9EA" w14:textId="77777777" w:rsidR="002A599E" w:rsidRPr="00CB6B98" w:rsidRDefault="002A599E" w:rsidP="007B413B">
            <w:pPr>
              <w:tabs>
                <w:tab w:val="left" w:pos="13892"/>
              </w:tabs>
              <w:rPr>
                <w:rFonts w:ascii="Times New Roman" w:hAnsi="Times New Roman" w:cs="Times New Roman"/>
              </w:rPr>
            </w:pPr>
            <w:r w:rsidRPr="00CB6B98">
              <w:rPr>
                <w:rFonts w:ascii="Times New Roman" w:hAnsi="Times New Roman" w:cs="Times New Roman"/>
              </w:rPr>
              <w:t>11.</w:t>
            </w:r>
          </w:p>
        </w:tc>
        <w:tc>
          <w:tcPr>
            <w:tcW w:w="12512" w:type="dxa"/>
            <w:gridSpan w:val="2"/>
            <w:hideMark/>
          </w:tcPr>
          <w:p w14:paraId="3F33F23F" w14:textId="15FF5511" w:rsidR="002A599E" w:rsidRPr="00CB6B98" w:rsidRDefault="0098137F" w:rsidP="007B413B">
            <w:pPr>
              <w:tabs>
                <w:tab w:val="left" w:pos="13892"/>
              </w:tabs>
              <w:rPr>
                <w:rFonts w:ascii="Times New Roman" w:hAnsi="Times New Roman" w:cs="Times New Roman"/>
                <w:lang w:val="lt-LT"/>
              </w:rPr>
            </w:pPr>
            <w:r w:rsidRPr="0098137F">
              <w:rPr>
                <w:rFonts w:ascii="Times New Roman" w:hAnsi="Times New Roman" w:cs="Times New Roman"/>
                <w:lang w:val="lt-LT"/>
              </w:rPr>
              <w:t>Tiekėjas įsipareigoja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ir/arba anglų kalba vertimo netikslumams išsiaiškinti.</w:t>
            </w:r>
          </w:p>
        </w:tc>
      </w:tr>
    </w:tbl>
    <w:p w14:paraId="49A0D81F" w14:textId="77777777" w:rsidR="002A599E" w:rsidRDefault="002A599E"/>
    <w:sectPr w:rsidR="002A599E" w:rsidSect="002A599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9E"/>
    <w:rsid w:val="002A599E"/>
    <w:rsid w:val="004E0B9E"/>
    <w:rsid w:val="005135E0"/>
    <w:rsid w:val="0098137F"/>
    <w:rsid w:val="00BB1129"/>
    <w:rsid w:val="00CB6B98"/>
    <w:rsid w:val="00F24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8D83"/>
  <w15:chartTrackingRefBased/>
  <w15:docId w15:val="{859017FE-C291-4E7A-8D0C-91E394A8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A5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A59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A59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A59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A59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9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9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9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9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A59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A59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A59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A59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A59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9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9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9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9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9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9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9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99E"/>
    <w:rPr>
      <w:i/>
      <w:iCs/>
      <w:color w:val="404040" w:themeColor="text1" w:themeTint="BF"/>
    </w:rPr>
  </w:style>
  <w:style w:type="paragraph" w:styleId="Sraopastraipa">
    <w:name w:val="List Paragraph"/>
    <w:basedOn w:val="prastasis"/>
    <w:uiPriority w:val="34"/>
    <w:qFormat/>
    <w:rsid w:val="002A599E"/>
    <w:pPr>
      <w:ind w:left="720"/>
      <w:contextualSpacing/>
    </w:pPr>
  </w:style>
  <w:style w:type="character" w:styleId="Rykuspabraukimas">
    <w:name w:val="Intense Emphasis"/>
    <w:basedOn w:val="Numatytasispastraiposriftas"/>
    <w:uiPriority w:val="21"/>
    <w:qFormat/>
    <w:rsid w:val="002A599E"/>
    <w:rPr>
      <w:i/>
      <w:iCs/>
      <w:color w:val="2F5496" w:themeColor="accent1" w:themeShade="BF"/>
    </w:rPr>
  </w:style>
  <w:style w:type="paragraph" w:styleId="Iskirtacitata">
    <w:name w:val="Intense Quote"/>
    <w:basedOn w:val="prastasis"/>
    <w:next w:val="prastasis"/>
    <w:link w:val="IskirtacitataDiagrama"/>
    <w:uiPriority w:val="30"/>
    <w:qFormat/>
    <w:rsid w:val="002A5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A599E"/>
    <w:rPr>
      <w:i/>
      <w:iCs/>
      <w:color w:val="2F5496" w:themeColor="accent1" w:themeShade="BF"/>
    </w:rPr>
  </w:style>
  <w:style w:type="character" w:styleId="Rykinuoroda">
    <w:name w:val="Intense Reference"/>
    <w:basedOn w:val="Numatytasispastraiposriftas"/>
    <w:uiPriority w:val="32"/>
    <w:qFormat/>
    <w:rsid w:val="002A599E"/>
    <w:rPr>
      <w:b/>
      <w:bCs/>
      <w:smallCaps/>
      <w:color w:val="2F5496" w:themeColor="accent1" w:themeShade="BF"/>
      <w:spacing w:val="5"/>
    </w:rPr>
  </w:style>
  <w:style w:type="table" w:styleId="Lentelstinklelis">
    <w:name w:val="Table Grid"/>
    <w:basedOn w:val="prastojilentel"/>
    <w:uiPriority w:val="39"/>
    <w:rsid w:val="002A599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1536</Words>
  <Characters>877</Characters>
  <Application>Microsoft Office Word</Application>
  <DocSecurity>0</DocSecurity>
  <Lines>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Kul ligonine</cp:lastModifiedBy>
  <cp:revision>3</cp:revision>
  <dcterms:created xsi:type="dcterms:W3CDTF">2025-02-03T08:13:00Z</dcterms:created>
  <dcterms:modified xsi:type="dcterms:W3CDTF">2025-02-03T08:22:00Z</dcterms:modified>
</cp:coreProperties>
</file>