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3FFC1DF0" w:rsidR="001160AB" w:rsidRPr="00432475" w:rsidRDefault="00890023" w:rsidP="00A9381B">
      <w:pPr>
        <w:spacing w:line="259" w:lineRule="auto"/>
        <w:jc w:val="center"/>
        <w:rPr>
          <w:b/>
          <w:caps/>
          <w:sz w:val="20"/>
        </w:rPr>
      </w:pPr>
      <w:r>
        <w:rPr>
          <w:b/>
          <w:caps/>
          <w:sz w:val="20"/>
        </w:rPr>
        <w:t>REAGENTAI INFEKCINIŲ LIGŲ MOLEKULINEI DIAGNOSTIKAI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F590ADB" w:rsidR="00E04D88" w:rsidRPr="00C83F9F" w:rsidRDefault="007E6BFE" w:rsidP="00370518">
            <w:pPr>
              <w:jc w:val="center"/>
              <w:rPr>
                <w:b/>
                <w:kern w:val="2"/>
                <w:sz w:val="22"/>
                <w:szCs w:val="22"/>
              </w:rPr>
            </w:pPr>
            <w:r>
              <w:rPr>
                <w:b/>
                <w:sz w:val="22"/>
                <w:szCs w:val="22"/>
              </w:rPr>
              <w:t>Reagentai infekcinių ligų molekulinei diagnostikai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r w:rsidRPr="000D629B">
              <w:rPr>
                <w:kern w:val="2"/>
                <w:sz w:val="22"/>
                <w:szCs w:val="22"/>
              </w:rPr>
              <w:t>kulig</w:t>
            </w:r>
            <w:r w:rsidRPr="000D629B">
              <w:rPr>
                <w:kern w:val="2"/>
                <w:sz w:val="22"/>
                <w:szCs w:val="22"/>
                <w:lang w:val="en-US"/>
              </w:rPr>
              <w:t>@</w:t>
            </w:r>
            <w:r w:rsidRPr="000D629B">
              <w:rPr>
                <w:kern w:val="2"/>
                <w:sz w:val="22"/>
                <w:szCs w:val="22"/>
              </w:rPr>
              <w:t>kulig.lt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77777777" w:rsidR="005A35E4" w:rsidRPr="004C5E61" w:rsidRDefault="005A35E4" w:rsidP="005A35E4">
            <w:pPr>
              <w:autoSpaceDE w:val="0"/>
              <w:autoSpaceDN w:val="0"/>
              <w:adjustRightInd w:val="0"/>
              <w:rPr>
                <w:rFonts w:eastAsia="TimesNewRomanPSMT"/>
                <w:sz w:val="22"/>
                <w:szCs w:val="22"/>
              </w:rPr>
            </w:pPr>
            <w:r>
              <w:rPr>
                <w:rFonts w:eastAsia="TimesNewRomanPSMT"/>
                <w:sz w:val="22"/>
                <w:szCs w:val="22"/>
              </w:rPr>
              <w:t>....................................................................................................</w:t>
            </w:r>
            <w:r w:rsidRPr="00437AFC">
              <w:rPr>
                <w:sz w:val="22"/>
                <w:szCs w:val="22"/>
              </w:rPr>
              <w:t xml:space="preserve">, tel. Nr. </w:t>
            </w:r>
            <w:r>
              <w:rPr>
                <w:sz w:val="22"/>
                <w:szCs w:val="22"/>
              </w:rPr>
              <w:t>..................................,</w:t>
            </w:r>
            <w:r w:rsidRPr="00437AFC">
              <w:rPr>
                <w:sz w:val="22"/>
                <w:szCs w:val="22"/>
              </w:rPr>
              <w:t xml:space="preserve"> el. paštas:</w:t>
            </w:r>
            <w:r>
              <w:rPr>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16D54CBD"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w:t>
            </w:r>
            <w:r w:rsidRPr="000D629B">
              <w:rPr>
                <w:kern w:val="2"/>
                <w:sz w:val="22"/>
                <w:szCs w:val="22"/>
              </w:rPr>
              <w:t>s</w:t>
            </w:r>
            <w:r>
              <w:rPr>
                <w:kern w:val="2"/>
                <w:sz w:val="22"/>
                <w:szCs w:val="22"/>
              </w:rPr>
              <w:t xml:space="preserve"> reagentus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 xml:space="preserve">3.3. Informacija apie Europos Sąjungos lėšomis </w:t>
            </w:r>
            <w:r w:rsidRPr="00874B3C">
              <w:rPr>
                <w:b/>
                <w:bCs/>
                <w:kern w:val="2"/>
                <w:sz w:val="22"/>
                <w:szCs w:val="22"/>
              </w:rPr>
              <w:lastRenderedPageBreak/>
              <w:t>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lastRenderedPageBreak/>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6ECD282F" w14:textId="77777777" w:rsidR="00436AC2" w:rsidRPr="009A107B" w:rsidRDefault="00436AC2" w:rsidP="00436AC2">
            <w:pPr>
              <w:autoSpaceDE w:val="0"/>
              <w:autoSpaceDN w:val="0"/>
              <w:adjustRightInd w:val="0"/>
              <w:rPr>
                <w:rFonts w:eastAsia="TimesNewRomanPSMT"/>
                <w:sz w:val="22"/>
                <w:szCs w:val="22"/>
              </w:rPr>
            </w:pPr>
            <w:r w:rsidRPr="009A107B">
              <w:rPr>
                <w:rFonts w:eastAsia="TimesNewRomanPSMT"/>
                <w:sz w:val="22"/>
                <w:szCs w:val="22"/>
              </w:rPr>
              <w:t>Tiekėjai turi garantuoti lanksčią nepertraukiamą reagentų ir eksploatacinių</w:t>
            </w:r>
          </w:p>
          <w:p w14:paraId="2E346D69" w14:textId="7F7774B7" w:rsidR="00436AC2" w:rsidRPr="005F7DDB" w:rsidRDefault="00436AC2" w:rsidP="00436AC2">
            <w:pPr>
              <w:autoSpaceDE w:val="0"/>
              <w:autoSpaceDN w:val="0"/>
              <w:adjustRightInd w:val="0"/>
              <w:rPr>
                <w:kern w:val="2"/>
                <w:sz w:val="22"/>
                <w:szCs w:val="22"/>
              </w:rPr>
            </w:pPr>
            <w:r w:rsidRPr="009A107B">
              <w:rPr>
                <w:rFonts w:eastAsia="TimesNewRomanPSMT"/>
                <w:sz w:val="22"/>
                <w:szCs w:val="22"/>
              </w:rPr>
              <w:t xml:space="preserve">medžiagų tiekimo pagal poreikį sistemą: planinis - per </w:t>
            </w:r>
            <w:r>
              <w:rPr>
                <w:rFonts w:eastAsia="TimesNewRomanPSMT"/>
                <w:sz w:val="22"/>
                <w:szCs w:val="22"/>
              </w:rPr>
              <w:t>14</w:t>
            </w:r>
            <w:r w:rsidRPr="009A107B">
              <w:rPr>
                <w:rFonts w:eastAsia="TimesNewRomanPSMT"/>
                <w:sz w:val="22"/>
                <w:szCs w:val="22"/>
              </w:rPr>
              <w:t xml:space="preserve"> (</w:t>
            </w:r>
            <w:r>
              <w:rPr>
                <w:rFonts w:eastAsia="TimesNewRomanPSMT"/>
                <w:sz w:val="22"/>
                <w:szCs w:val="22"/>
              </w:rPr>
              <w:t>keturiolika</w:t>
            </w:r>
            <w:r w:rsidRPr="009A107B">
              <w:rPr>
                <w:rFonts w:eastAsia="TimesNewRomanPSMT"/>
                <w:sz w:val="22"/>
                <w:szCs w:val="22"/>
              </w:rPr>
              <w:t>) darbo</w:t>
            </w:r>
            <w:r>
              <w:rPr>
                <w:rFonts w:eastAsia="TimesNewRomanPSMT"/>
                <w:sz w:val="22"/>
                <w:szCs w:val="22"/>
              </w:rPr>
              <w:t xml:space="preserve"> </w:t>
            </w:r>
            <w:r w:rsidRPr="009A107B">
              <w:rPr>
                <w:rFonts w:eastAsia="TimesNewRomanPSMT"/>
                <w:sz w:val="22"/>
                <w:szCs w:val="22"/>
              </w:rPr>
              <w:t>dien</w:t>
            </w:r>
            <w:r>
              <w:rPr>
                <w:rFonts w:eastAsia="TimesNewRomanPSMT"/>
                <w:sz w:val="22"/>
                <w:szCs w:val="22"/>
              </w:rPr>
              <w:t>ų</w:t>
            </w:r>
            <w:r w:rsidRPr="009A107B">
              <w:rPr>
                <w:rFonts w:eastAsia="TimesNewRomanPSMT"/>
                <w:sz w:val="22"/>
                <w:szCs w:val="22"/>
              </w:rPr>
              <w:t xml:space="preserve"> nuo užsakymo pateikimo; skubus - per </w:t>
            </w:r>
            <w:r>
              <w:rPr>
                <w:rFonts w:eastAsia="TimesNewRomanPSMT"/>
                <w:sz w:val="22"/>
                <w:szCs w:val="22"/>
              </w:rPr>
              <w:t>5</w:t>
            </w:r>
            <w:r w:rsidRPr="009A107B">
              <w:rPr>
                <w:rFonts w:eastAsia="TimesNewRomanPSMT"/>
                <w:sz w:val="22"/>
                <w:szCs w:val="22"/>
              </w:rPr>
              <w:t xml:space="preserve"> (</w:t>
            </w:r>
            <w:r>
              <w:rPr>
                <w:rFonts w:eastAsia="TimesNewRomanPSMT"/>
                <w:sz w:val="22"/>
                <w:szCs w:val="22"/>
              </w:rPr>
              <w:t>penkias</w:t>
            </w:r>
            <w:r w:rsidRPr="009A107B">
              <w:rPr>
                <w:rFonts w:eastAsia="TimesNewRomanPSMT"/>
                <w:sz w:val="22"/>
                <w:szCs w:val="22"/>
              </w:rPr>
              <w:t>) darbo dienas nuo</w:t>
            </w:r>
            <w:r>
              <w:rPr>
                <w:rFonts w:eastAsia="TimesNewRomanPSMT"/>
                <w:sz w:val="22"/>
                <w:szCs w:val="22"/>
              </w:rPr>
              <w:t xml:space="preserve"> </w:t>
            </w:r>
            <w:r w:rsidRPr="009A107B">
              <w:rPr>
                <w:rFonts w:eastAsia="TimesNewRomanPSMT"/>
                <w:sz w:val="22"/>
                <w:szCs w:val="22"/>
              </w:rPr>
              <w:t>užsakymo pateikimo</w:t>
            </w:r>
            <w:r>
              <w:rPr>
                <w:rFonts w:eastAsia="TimesNewRomanPSMT"/>
                <w:sz w:val="22"/>
                <w:szCs w:val="22"/>
              </w:rPr>
              <w:t>,</w:t>
            </w:r>
            <w:r w:rsidRPr="00874B3C">
              <w:rPr>
                <w:kern w:val="2"/>
                <w:sz w:val="22"/>
                <w:szCs w:val="22"/>
              </w:rPr>
              <w:t xml:space="preserve"> </w:t>
            </w:r>
            <w:r w:rsidRPr="00874B3C">
              <w:rPr>
                <w:color w:val="000000"/>
                <w:kern w:val="2"/>
                <w:sz w:val="22"/>
                <w:szCs w:val="22"/>
              </w:rPr>
              <w:t xml:space="preserve">šiuo adresu: </w:t>
            </w:r>
            <w:r w:rsidRPr="00B20210">
              <w:rPr>
                <w:sz w:val="22"/>
                <w:szCs w:val="22"/>
              </w:rPr>
              <w:t xml:space="preserve">VšĮ Klaipėdos universiteto ligoninės </w:t>
            </w:r>
            <w:r>
              <w:rPr>
                <w:sz w:val="22"/>
                <w:szCs w:val="22"/>
              </w:rPr>
              <w:t>v</w:t>
            </w:r>
            <w:r w:rsidRPr="00B20210">
              <w:rPr>
                <w:sz w:val="22"/>
                <w:szCs w:val="22"/>
              </w:rPr>
              <w:t>aistinė, Liepojos g. 4</w:t>
            </w:r>
            <w:r>
              <w:rPr>
                <w:sz w:val="22"/>
                <w:szCs w:val="22"/>
              </w:rPr>
              <w:t>1</w:t>
            </w:r>
            <w:r w:rsidRPr="00B20210">
              <w:rPr>
                <w:sz w:val="22"/>
                <w:szCs w:val="22"/>
              </w:rPr>
              <w:t>, LT-92288, Klaipėda</w:t>
            </w:r>
            <w:r w:rsidRPr="00874B3C">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77777777" w:rsidR="006443AD" w:rsidRPr="00874B3C" w:rsidRDefault="006443AD" w:rsidP="006443AD">
            <w:pPr>
              <w:jc w:val="both"/>
              <w:rPr>
                <w:b/>
                <w:bCs/>
                <w:kern w:val="2"/>
                <w:sz w:val="22"/>
                <w:szCs w:val="22"/>
              </w:rPr>
            </w:pPr>
            <w:r w:rsidRPr="00874B3C">
              <w:rPr>
                <w:b/>
                <w:bCs/>
                <w:kern w:val="2"/>
                <w:sz w:val="22"/>
                <w:szCs w:val="22"/>
              </w:rPr>
              <w:t>5.1. Sutarčiai taikomas kainos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55DCF972" w14:textId="77777777" w:rsidR="006443AD" w:rsidRPr="00754D21" w:rsidRDefault="006443AD" w:rsidP="006443AD">
            <w:pPr>
              <w:rPr>
                <w:kern w:val="2"/>
                <w:sz w:val="22"/>
                <w:szCs w:val="22"/>
              </w:rPr>
            </w:pPr>
            <w:r w:rsidRPr="00754D21">
              <w:rPr>
                <w:kern w:val="2"/>
                <w:sz w:val="22"/>
                <w:szCs w:val="22"/>
              </w:rPr>
              <w:t xml:space="preserve">Pradinės Sutarties vertė yra (nurodyti sumą skaičiais) Eur, (nurodyti sumą žodžiais) be PVM. </w:t>
            </w:r>
          </w:p>
          <w:p w14:paraId="195A665B" w14:textId="77777777" w:rsidR="006443AD" w:rsidRPr="00754D21" w:rsidRDefault="006443AD" w:rsidP="006443AD">
            <w:pPr>
              <w:rPr>
                <w:kern w:val="2"/>
                <w:sz w:val="22"/>
                <w:szCs w:val="22"/>
              </w:rPr>
            </w:pPr>
            <w:r w:rsidRPr="00754D21">
              <w:rPr>
                <w:kern w:val="2"/>
                <w:sz w:val="22"/>
                <w:szCs w:val="22"/>
              </w:rPr>
              <w:t>PVM sudaro (nurodyti sumą skaičiais) Eur, (nurodyti sumą žodžiais).</w:t>
            </w:r>
          </w:p>
          <w:p w14:paraId="3C155FAA" w14:textId="77777777" w:rsidR="006443AD" w:rsidRPr="00754D21" w:rsidRDefault="006443AD" w:rsidP="006443AD">
            <w:pPr>
              <w:rPr>
                <w:kern w:val="2"/>
                <w:sz w:val="22"/>
                <w:szCs w:val="22"/>
              </w:rPr>
            </w:pPr>
            <w:r w:rsidRPr="00754D21">
              <w:rPr>
                <w:kern w:val="2"/>
                <w:sz w:val="22"/>
                <w:szCs w:val="22"/>
              </w:rPr>
              <w:t>Sutarties kaina yra (nurodyti sumą skaičiais) Eur, (nurodyti sumą žodžiais) Eur su PVM.</w:t>
            </w:r>
          </w:p>
          <w:p w14:paraId="1B03D5DA" w14:textId="77777777" w:rsidR="006443AD" w:rsidRPr="00802F62" w:rsidRDefault="006443AD" w:rsidP="006443AD">
            <w:pPr>
              <w:rPr>
                <w:kern w:val="2"/>
                <w:sz w:val="22"/>
                <w:szCs w:val="22"/>
              </w:rPr>
            </w:pPr>
          </w:p>
          <w:p w14:paraId="7D2FBE8B" w14:textId="77777777" w:rsidR="006443AD" w:rsidRDefault="006443AD" w:rsidP="006443AD">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BADDD19" w14:textId="77777777" w:rsidR="006443AD" w:rsidRPr="00874B3C" w:rsidRDefault="006443AD" w:rsidP="006443AD">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4807D2A3" w:rsidR="006443AD" w:rsidRPr="005F7DDB" w:rsidRDefault="006443AD" w:rsidP="006443AD">
            <w:pPr>
              <w:jc w:val="both"/>
              <w:rPr>
                <w:kern w:val="2"/>
                <w:sz w:val="22"/>
                <w:szCs w:val="22"/>
              </w:rPr>
            </w:pPr>
            <w:r w:rsidRPr="00754D21">
              <w:rPr>
                <w:kern w:val="2"/>
                <w:sz w:val="22"/>
                <w:szCs w:val="22"/>
              </w:rPr>
              <w:t>Pirkėjas neįsipareigoja išpirkti maksimalaus Prekių kiekio.</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9D6121"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74826F9E" w:rsidR="00397940" w:rsidRPr="00CD0E20" w:rsidRDefault="00210A16" w:rsidP="0039794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0D629B" w:rsidRDefault="00E12729" w:rsidP="00E12729">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AEAD511" w:rsidR="00E12729" w:rsidRPr="000560DD" w:rsidRDefault="00E12729" w:rsidP="00E12729">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w:t>
            </w:r>
            <w:r w:rsidRPr="00707F1B">
              <w:rPr>
                <w:color w:val="000000"/>
                <w:kern w:val="2"/>
                <w:sz w:val="22"/>
                <w:szCs w:val="22"/>
                <w:shd w:val="clear" w:color="auto" w:fill="FFFFFF"/>
              </w:rPr>
              <w:lastRenderedPageBreak/>
              <w:t>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60DAD"/>
    <w:rsid w:val="00470A63"/>
    <w:rsid w:val="00483AC1"/>
    <w:rsid w:val="00496748"/>
    <w:rsid w:val="004A6CAA"/>
    <w:rsid w:val="004B13E9"/>
    <w:rsid w:val="004C5CCC"/>
    <w:rsid w:val="004C752B"/>
    <w:rsid w:val="004E2F9D"/>
    <w:rsid w:val="005005C4"/>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4C55"/>
    <w:rsid w:val="006F7E87"/>
    <w:rsid w:val="0070050B"/>
    <w:rsid w:val="00706B28"/>
    <w:rsid w:val="00714D48"/>
    <w:rsid w:val="00723109"/>
    <w:rsid w:val="00751609"/>
    <w:rsid w:val="0077739D"/>
    <w:rsid w:val="007B0354"/>
    <w:rsid w:val="007C0C59"/>
    <w:rsid w:val="007D0DCF"/>
    <w:rsid w:val="007E32FE"/>
    <w:rsid w:val="007E6BFE"/>
    <w:rsid w:val="00800FF0"/>
    <w:rsid w:val="00814F9F"/>
    <w:rsid w:val="00825A64"/>
    <w:rsid w:val="00825D41"/>
    <w:rsid w:val="00870C68"/>
    <w:rsid w:val="00874B3C"/>
    <w:rsid w:val="00890023"/>
    <w:rsid w:val="008B6D1A"/>
    <w:rsid w:val="008E2D02"/>
    <w:rsid w:val="008F1294"/>
    <w:rsid w:val="009129FC"/>
    <w:rsid w:val="00916C58"/>
    <w:rsid w:val="00923608"/>
    <w:rsid w:val="00925E90"/>
    <w:rsid w:val="00932CB8"/>
    <w:rsid w:val="00936DEB"/>
    <w:rsid w:val="00951DC5"/>
    <w:rsid w:val="00985B22"/>
    <w:rsid w:val="009C3B1A"/>
    <w:rsid w:val="009D58A1"/>
    <w:rsid w:val="009D58F7"/>
    <w:rsid w:val="009D612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CD0E20"/>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52B0"/>
    <w:rsid w:val="00F579D6"/>
    <w:rsid w:val="00F655CE"/>
    <w:rsid w:val="00F7706D"/>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64606</Words>
  <Characters>36826</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2025-01-30T05:41:00Z</dcterms:created>
  <dcterms:modified xsi:type="dcterms:W3CDTF">2025-02-03T06:05:00Z</dcterms:modified>
</cp:coreProperties>
</file>