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DF510" w14:textId="77777777" w:rsidR="00B776F4" w:rsidRPr="00D230BB" w:rsidRDefault="00000000">
      <w:pPr>
        <w:jc w:val="right"/>
        <w:rPr>
          <w:rFonts w:asciiTheme="majorHAnsi" w:hAnsiTheme="majorHAnsi" w:cstheme="majorHAnsi"/>
          <w:sz w:val="22"/>
          <w:lang w:val="pt-BR"/>
        </w:rPr>
      </w:pPr>
      <w:r w:rsidRPr="00D230BB">
        <w:rPr>
          <w:rFonts w:asciiTheme="majorHAnsi" w:hAnsiTheme="majorHAnsi" w:cstheme="majorHAnsi"/>
          <w:lang w:val="pt-BR"/>
        </w:rPr>
        <w:t>Pirkimo sąlygų 3 priedas</w:t>
      </w:r>
      <w:r w:rsidRPr="00D230BB">
        <w:rPr>
          <w:rFonts w:asciiTheme="majorHAnsi" w:hAnsiTheme="majorHAnsi" w:cstheme="majorHAnsi"/>
          <w:lang w:val="pt-BR"/>
        </w:rPr>
        <w:br/>
      </w:r>
      <w:r w:rsidRPr="00D230BB">
        <w:rPr>
          <w:rFonts w:asciiTheme="majorHAnsi" w:hAnsiTheme="majorHAnsi" w:cstheme="majorHAnsi"/>
          <w:sz w:val="22"/>
          <w:lang w:val="pt-BR"/>
        </w:rPr>
        <w:t>„Tiekėjų pašalinimo pagrindai“</w:t>
      </w:r>
    </w:p>
    <w:p w14:paraId="2D9F6478" w14:textId="77777777" w:rsidR="00B776F4" w:rsidRPr="00D230BB" w:rsidRDefault="00000000">
      <w:pPr>
        <w:jc w:val="center"/>
        <w:rPr>
          <w:rFonts w:asciiTheme="majorHAnsi" w:hAnsiTheme="majorHAnsi" w:cstheme="majorHAnsi"/>
          <w:b/>
          <w:sz w:val="22"/>
          <w:lang w:val="pt-BR"/>
        </w:rPr>
      </w:pPr>
      <w:r w:rsidRPr="00D230BB">
        <w:rPr>
          <w:rFonts w:asciiTheme="majorHAnsi" w:hAnsiTheme="majorHAnsi" w:cstheme="majorHAnsi"/>
          <w:b/>
          <w:sz w:val="22"/>
          <w:lang w:val="pt-BR"/>
        </w:rPr>
        <w:t>TIEKĖJŲ PAŠALINIMO PAGRINDAI</w:t>
      </w:r>
    </w:p>
    <w:p w14:paraId="7E9E73A3" w14:textId="77777777" w:rsidR="00D230BB" w:rsidRPr="00D230BB" w:rsidRDefault="00D230BB">
      <w:pPr>
        <w:jc w:val="center"/>
        <w:rPr>
          <w:rFonts w:asciiTheme="majorHAnsi" w:hAnsiTheme="majorHAnsi" w:cstheme="majorHAnsi"/>
          <w:sz w:val="22"/>
          <w:lang w:val="pt-BR"/>
        </w:rPr>
      </w:pPr>
    </w:p>
    <w:p w14:paraId="56DE1A99" w14:textId="77777777" w:rsidR="00B776F4" w:rsidRPr="00D230BB" w:rsidRDefault="00000000" w:rsidP="00D230BB">
      <w:pPr>
        <w:spacing w:line="276" w:lineRule="auto"/>
        <w:ind w:firstLine="851"/>
        <w:rPr>
          <w:rFonts w:asciiTheme="majorHAnsi" w:hAnsiTheme="majorHAnsi" w:cstheme="majorHAnsi"/>
          <w:sz w:val="22"/>
          <w:lang w:val="pt-BR"/>
        </w:rPr>
      </w:pPr>
      <w:r w:rsidRPr="00D230BB">
        <w:rPr>
          <w:rFonts w:asciiTheme="majorHAnsi" w:hAnsiTheme="majorHAnsi" w:cstheme="majorHAnsi"/>
          <w:sz w:val="22"/>
          <w:lang w:val="pt-BR"/>
        </w:rPr>
        <w:t xml:space="preserve">1. </w:t>
      </w:r>
      <w:r w:rsidRPr="00731DCA">
        <w:rPr>
          <w:rFonts w:asciiTheme="majorHAnsi" w:hAnsiTheme="majorHAnsi" w:cstheme="majorHAnsi"/>
          <w:b/>
          <w:bCs/>
          <w:sz w:val="22"/>
          <w:lang w:val="pt-BR"/>
        </w:rPr>
        <w:t>Su pasiūlymu tiekėjas pateikia Europos bendrąjį viešųjų pirkimų dokumentą (EBVPD),</w:t>
      </w:r>
      <w:r w:rsidRPr="00D230BB">
        <w:rPr>
          <w:rFonts w:asciiTheme="majorHAnsi" w:hAnsiTheme="majorHAnsi" w:cstheme="majorHAnsi"/>
          <w:sz w:val="22"/>
          <w:lang w:val="pt-BR"/>
        </w:rPr>
        <w:t xml:space="preserve"> kuriuo preliminariai patvirtina, kad nėra pirkimo dokumentuose nustatytų pašalinimo pagrindų.</w:t>
      </w:r>
    </w:p>
    <w:p w14:paraId="21AF329B" w14:textId="77777777" w:rsidR="00B776F4" w:rsidRPr="00D230BB" w:rsidRDefault="00000000" w:rsidP="00D230BB">
      <w:pPr>
        <w:spacing w:line="276" w:lineRule="auto"/>
        <w:ind w:firstLine="851"/>
        <w:rPr>
          <w:rFonts w:asciiTheme="majorHAnsi" w:hAnsiTheme="majorHAnsi" w:cstheme="majorHAnsi"/>
          <w:sz w:val="22"/>
          <w:lang w:val="pt-BR"/>
        </w:rPr>
      </w:pPr>
      <w:r w:rsidRPr="00D230BB">
        <w:rPr>
          <w:rFonts w:asciiTheme="majorHAnsi" w:hAnsiTheme="majorHAnsi" w:cstheme="majorHAnsi"/>
          <w:sz w:val="22"/>
          <w:lang w:val="pt-BR"/>
        </w:rPr>
        <w:t>2. Kadangi vykdomas supaprastintas pirkimas, pažymų, patvirtinančių VPĮ 46 straipsnyje nurodytų tiekėjo pašalinimo pagrindų nebuvimą, pateikti nereikalaujama, kai tiekėjas pateikia EBVPD. Perkančioji organizacija tokių pažymų gali reikalauti tik turėdama pagrįstų abejonių dėl tiekėjo patikimumo. Tai neatleidžia perkančiosios organizacijos nuo pareigos patikrinti viešai ir neatlygintinai prieinamą informaciją, kai tokia informacija yra prieinama.</w:t>
      </w:r>
    </w:p>
    <w:p w14:paraId="593521AC" w14:textId="77777777" w:rsidR="00B776F4" w:rsidRPr="00D230BB" w:rsidRDefault="00000000" w:rsidP="00D230BB">
      <w:pPr>
        <w:spacing w:line="276" w:lineRule="auto"/>
        <w:ind w:firstLine="851"/>
        <w:rPr>
          <w:rFonts w:asciiTheme="majorHAnsi" w:hAnsiTheme="majorHAnsi" w:cstheme="majorHAnsi"/>
          <w:sz w:val="22"/>
          <w:lang w:val="pt-BR"/>
        </w:rPr>
      </w:pPr>
      <w:r w:rsidRPr="00D230BB">
        <w:rPr>
          <w:rFonts w:asciiTheme="majorHAnsi" w:hAnsiTheme="majorHAnsi" w:cstheme="majorHAnsi"/>
          <w:sz w:val="22"/>
          <w:lang w:val="pt-BR"/>
        </w:rPr>
        <w:t>3. Pašalinimo pagrindai taikomi tiekėjui, o kai pasiūlymą teikia ūkio subjektų grupė – kiekvienam jos nariui, taip pat ūkio subjektams, kurių pajėgumais tiekėjas remiasi, tiek, kiek tai nustato VPĮ ir pirkimo sąlygos.</w:t>
      </w:r>
    </w:p>
    <w:p w14:paraId="6659BA9E" w14:textId="77777777" w:rsidR="00B776F4" w:rsidRPr="00D230BB" w:rsidRDefault="00000000" w:rsidP="00D230BB">
      <w:pPr>
        <w:spacing w:line="276" w:lineRule="auto"/>
        <w:ind w:firstLine="851"/>
        <w:rPr>
          <w:rFonts w:asciiTheme="majorHAnsi" w:hAnsiTheme="majorHAnsi" w:cstheme="majorHAnsi"/>
          <w:sz w:val="22"/>
          <w:lang w:val="pt-BR"/>
        </w:rPr>
      </w:pPr>
      <w:r w:rsidRPr="00D230BB">
        <w:rPr>
          <w:rFonts w:asciiTheme="majorHAnsi" w:hAnsiTheme="majorHAnsi" w:cstheme="majorHAnsi"/>
          <w:sz w:val="22"/>
          <w:lang w:val="pt-BR"/>
        </w:rPr>
        <w:t>4. Perkančioji organizacija tiekėją pašalina iš pirkimo procedūros bet kuriame pirkimo procedūros etape, jeigu paaiškėja, kad jis atitinka bent vieną pirkimo dokumentuose nustatytą pašalinimo pagrindą, atsižvelgiant į VPĮ 46 straipsnyje nustatytas išimtis, proporcingumo ir „apsivalymo“ taisykles.</w:t>
      </w:r>
    </w:p>
    <w:p w14:paraId="1B593843" w14:textId="77777777" w:rsidR="00B776F4" w:rsidRDefault="00000000" w:rsidP="00D230BB">
      <w:pPr>
        <w:spacing w:line="276" w:lineRule="auto"/>
        <w:ind w:firstLine="851"/>
        <w:rPr>
          <w:rFonts w:asciiTheme="majorHAnsi" w:hAnsiTheme="majorHAnsi" w:cstheme="majorHAnsi"/>
          <w:sz w:val="22"/>
          <w:lang w:val="pt-BR"/>
        </w:rPr>
      </w:pPr>
      <w:r w:rsidRPr="00D230BB">
        <w:rPr>
          <w:rFonts w:asciiTheme="majorHAnsi" w:hAnsiTheme="majorHAnsi" w:cstheme="majorHAnsi"/>
          <w:sz w:val="22"/>
          <w:lang w:val="pt-BR"/>
        </w:rPr>
        <w:t>5. Šiame pirkime VPĮ 46 straipsnio 6 dalyje nustatyti pasirenkamieji pašalinimo pagrindai atskirai nenustatomi. Todėl EBVPD III dalies C1–C9 punktai nežymimi. EBVPD pildomi tik žemiau lentelėje nurodyti punktai.</w:t>
      </w:r>
    </w:p>
    <w:p w14:paraId="76F71680" w14:textId="77777777" w:rsidR="00D230BB" w:rsidRPr="00D230BB" w:rsidRDefault="00D230BB">
      <w:pPr>
        <w:rPr>
          <w:rFonts w:asciiTheme="majorHAnsi" w:hAnsiTheme="majorHAnsi" w:cstheme="majorHAnsi"/>
          <w:sz w:val="22"/>
          <w:lang w:val="pt-BR"/>
        </w:rPr>
      </w:pPr>
    </w:p>
    <w:tbl>
      <w:tblPr>
        <w:tblStyle w:val="Lentelstinklelis"/>
        <w:tblW w:w="0" w:type="auto"/>
        <w:jc w:val="center"/>
        <w:tblLook w:val="04A0" w:firstRow="1" w:lastRow="0" w:firstColumn="1" w:lastColumn="0" w:noHBand="0" w:noVBand="1"/>
      </w:tblPr>
      <w:tblGrid>
        <w:gridCol w:w="629"/>
        <w:gridCol w:w="4525"/>
        <w:gridCol w:w="2084"/>
        <w:gridCol w:w="3184"/>
      </w:tblGrid>
      <w:tr w:rsidR="00B776F4" w:rsidRPr="00D230BB" w14:paraId="573D118F" w14:textId="77777777">
        <w:trPr>
          <w:cantSplit/>
          <w:tblHeader/>
          <w:jc w:val="center"/>
        </w:trPr>
        <w:tc>
          <w:tcPr>
            <w:tcW w:w="737" w:type="dxa"/>
            <w:shd w:val="clear" w:color="auto" w:fill="D9EAF7"/>
            <w:vAlign w:val="center"/>
          </w:tcPr>
          <w:p w14:paraId="48D0154A" w14:textId="77777777" w:rsidR="00B776F4" w:rsidRPr="00D230BB" w:rsidRDefault="00000000">
            <w:pPr>
              <w:jc w:val="center"/>
              <w:rPr>
                <w:rFonts w:asciiTheme="majorHAnsi" w:hAnsiTheme="majorHAnsi" w:cstheme="majorHAnsi"/>
                <w:sz w:val="22"/>
              </w:rPr>
            </w:pPr>
            <w:r w:rsidRPr="00D230BB">
              <w:rPr>
                <w:rFonts w:asciiTheme="majorHAnsi" w:hAnsiTheme="majorHAnsi" w:cstheme="majorHAnsi"/>
                <w:b/>
                <w:sz w:val="22"/>
              </w:rPr>
              <w:t>Eil. Nr.</w:t>
            </w:r>
          </w:p>
        </w:tc>
        <w:tc>
          <w:tcPr>
            <w:tcW w:w="6860" w:type="dxa"/>
            <w:shd w:val="clear" w:color="auto" w:fill="D9EAF7"/>
            <w:vAlign w:val="center"/>
          </w:tcPr>
          <w:p w14:paraId="71CDA580" w14:textId="77777777" w:rsidR="00B776F4" w:rsidRPr="00D230BB" w:rsidRDefault="00000000">
            <w:pPr>
              <w:jc w:val="center"/>
              <w:rPr>
                <w:rFonts w:asciiTheme="majorHAnsi" w:hAnsiTheme="majorHAnsi" w:cstheme="majorHAnsi"/>
                <w:sz w:val="22"/>
              </w:rPr>
            </w:pPr>
            <w:r w:rsidRPr="00D230BB">
              <w:rPr>
                <w:rFonts w:asciiTheme="majorHAnsi" w:hAnsiTheme="majorHAnsi" w:cstheme="majorHAnsi"/>
                <w:b/>
                <w:sz w:val="22"/>
              </w:rPr>
              <w:t>Tiekėjo pašalinimo pagrindas</w:t>
            </w:r>
          </w:p>
        </w:tc>
        <w:tc>
          <w:tcPr>
            <w:tcW w:w="2948" w:type="dxa"/>
            <w:shd w:val="clear" w:color="auto" w:fill="D9EAF7"/>
            <w:vAlign w:val="center"/>
          </w:tcPr>
          <w:p w14:paraId="795315BC" w14:textId="77777777" w:rsidR="00B776F4" w:rsidRPr="00D230BB" w:rsidRDefault="00000000">
            <w:pPr>
              <w:jc w:val="center"/>
              <w:rPr>
                <w:rFonts w:asciiTheme="majorHAnsi" w:hAnsiTheme="majorHAnsi" w:cstheme="majorHAnsi"/>
                <w:sz w:val="22"/>
                <w:lang w:val="pt-BR"/>
              </w:rPr>
            </w:pPr>
            <w:r w:rsidRPr="00D230BB">
              <w:rPr>
                <w:rFonts w:asciiTheme="majorHAnsi" w:hAnsiTheme="majorHAnsi" w:cstheme="majorHAnsi"/>
                <w:b/>
                <w:sz w:val="22"/>
                <w:lang w:val="pt-BR"/>
              </w:rPr>
              <w:t>VPĮ nuostata ir EBVPD dalis</w:t>
            </w:r>
          </w:p>
        </w:tc>
        <w:tc>
          <w:tcPr>
            <w:tcW w:w="4365" w:type="dxa"/>
            <w:shd w:val="clear" w:color="auto" w:fill="D9EAF7"/>
            <w:vAlign w:val="center"/>
          </w:tcPr>
          <w:p w14:paraId="0375BF6B" w14:textId="77777777" w:rsidR="00B776F4" w:rsidRPr="00D230BB" w:rsidRDefault="00000000">
            <w:pPr>
              <w:jc w:val="center"/>
              <w:rPr>
                <w:rFonts w:asciiTheme="majorHAnsi" w:hAnsiTheme="majorHAnsi" w:cstheme="majorHAnsi"/>
                <w:sz w:val="22"/>
              </w:rPr>
            </w:pPr>
            <w:proofErr w:type="spellStart"/>
            <w:r w:rsidRPr="00D230BB">
              <w:rPr>
                <w:rFonts w:asciiTheme="majorHAnsi" w:hAnsiTheme="majorHAnsi" w:cstheme="majorHAnsi"/>
                <w:b/>
                <w:sz w:val="22"/>
              </w:rPr>
              <w:t>Patikrinimas</w:t>
            </w:r>
            <w:proofErr w:type="spellEnd"/>
            <w:r w:rsidRPr="00D230BB">
              <w:rPr>
                <w:rFonts w:asciiTheme="majorHAnsi" w:hAnsiTheme="majorHAnsi" w:cstheme="majorHAnsi"/>
                <w:b/>
                <w:sz w:val="22"/>
              </w:rPr>
              <w:t xml:space="preserve"> / </w:t>
            </w:r>
            <w:proofErr w:type="spellStart"/>
            <w:r w:rsidRPr="00D230BB">
              <w:rPr>
                <w:rFonts w:asciiTheme="majorHAnsi" w:hAnsiTheme="majorHAnsi" w:cstheme="majorHAnsi"/>
                <w:b/>
                <w:sz w:val="22"/>
              </w:rPr>
              <w:t>įrodantys</w:t>
            </w:r>
            <w:proofErr w:type="spellEnd"/>
            <w:r w:rsidRPr="00D230BB">
              <w:rPr>
                <w:rFonts w:asciiTheme="majorHAnsi" w:hAnsiTheme="majorHAnsi" w:cstheme="majorHAnsi"/>
                <w:b/>
                <w:sz w:val="22"/>
              </w:rPr>
              <w:t xml:space="preserve"> </w:t>
            </w:r>
            <w:proofErr w:type="spellStart"/>
            <w:r w:rsidRPr="00D230BB">
              <w:rPr>
                <w:rFonts w:asciiTheme="majorHAnsi" w:hAnsiTheme="majorHAnsi" w:cstheme="majorHAnsi"/>
                <w:b/>
                <w:sz w:val="22"/>
              </w:rPr>
              <w:t>dokumentai</w:t>
            </w:r>
            <w:proofErr w:type="spellEnd"/>
          </w:p>
        </w:tc>
      </w:tr>
      <w:tr w:rsidR="00B776F4" w:rsidRPr="00731DCA" w14:paraId="61F53FB0" w14:textId="77777777">
        <w:trPr>
          <w:cantSplit/>
          <w:jc w:val="center"/>
        </w:trPr>
        <w:tc>
          <w:tcPr>
            <w:tcW w:w="737" w:type="dxa"/>
          </w:tcPr>
          <w:p w14:paraId="5CD782CC"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1.</w:t>
            </w:r>
          </w:p>
        </w:tc>
        <w:tc>
          <w:tcPr>
            <w:tcW w:w="6860" w:type="dxa"/>
          </w:tcPr>
          <w:p w14:paraId="52C1C2DF"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arba VPĮ 46 straipsnio 2 dalies 2 punkte nurodytas jo atsakingas asmuo yra nuteistas už VPĮ 46 straipsnio 1 dalyje nurodytas nusikalstamas veikas: dalyvavimą nusikalstamame susivienijime; kyšininkavimą, prekybą poveikiu ar papirkimą; sukčiavimą ir kitas ES finansiniams interesams kenkiančias nusikalstamas veikas; nusikalstamą bankrotą; teroristinius ar su teroristine veikla susijusius nusikaltimus; nusikalstamu būdu gauto turto legalizavimą; prekybą žmonėmis, vaiko pirkimą ar pardavimą; arba atitinkamą kitos valstybės teisėje nustatytą nusikaltimą.</w:t>
            </w:r>
          </w:p>
        </w:tc>
        <w:tc>
          <w:tcPr>
            <w:tcW w:w="2948" w:type="dxa"/>
          </w:tcPr>
          <w:p w14:paraId="6E5DBB07"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b/>
                <w:sz w:val="22"/>
                <w:lang w:val="pt-BR"/>
              </w:rPr>
              <w:t>VPĮ 46 str. 1 d.</w:t>
            </w:r>
            <w:r w:rsidRPr="00D230BB">
              <w:rPr>
                <w:rFonts w:asciiTheme="majorHAnsi" w:hAnsiTheme="majorHAnsi" w:cstheme="majorHAnsi"/>
                <w:b/>
                <w:sz w:val="22"/>
                <w:lang w:val="pt-BR"/>
              </w:rPr>
              <w:br/>
              <w:t>EBVPD III dalies A1–A6 ir D1 punktai</w:t>
            </w:r>
          </w:p>
        </w:tc>
        <w:tc>
          <w:tcPr>
            <w:tcW w:w="4365" w:type="dxa"/>
          </w:tcPr>
          <w:p w14:paraId="1CDCE977"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Supaprastintame pirkime pažymų nereikalaujama, išskyrus atvejį, kai perkančioji organizacija turi pagrįstų abejonių dėl tiekėjo patikimumo. Tokiu atveju dokumentai tikrinami / prašomi pagal VPĮ ir „e-Certis“; Lietuvoje tai gali būti teismo sprendimo išrašas, Informatikos ir ryšių departamento pažyma arba Registrų centro dokumentas.</w:t>
            </w:r>
          </w:p>
        </w:tc>
      </w:tr>
      <w:tr w:rsidR="00B776F4" w:rsidRPr="00731DCA" w14:paraId="00CCEB1F" w14:textId="77777777">
        <w:trPr>
          <w:cantSplit/>
          <w:jc w:val="center"/>
        </w:trPr>
        <w:tc>
          <w:tcPr>
            <w:tcW w:w="737" w:type="dxa"/>
          </w:tcPr>
          <w:p w14:paraId="18992B64"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2.</w:t>
            </w:r>
          </w:p>
        </w:tc>
        <w:tc>
          <w:tcPr>
            <w:tcW w:w="6860" w:type="dxa"/>
          </w:tcPr>
          <w:p w14:paraId="472256BF"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yra neatlikęs jam paskirtos baudžiamojo poveikio priemonės – uždraudimo juridiniam asmeniui dalyvauti viešuosiuose pirkimuose.</w:t>
            </w:r>
          </w:p>
        </w:tc>
        <w:tc>
          <w:tcPr>
            <w:tcW w:w="2948" w:type="dxa"/>
          </w:tcPr>
          <w:p w14:paraId="0B66B8CE"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2¹ d.</w:t>
            </w:r>
            <w:r w:rsidRPr="00D230BB">
              <w:rPr>
                <w:rFonts w:asciiTheme="majorHAnsi" w:hAnsiTheme="majorHAnsi" w:cstheme="majorHAnsi"/>
                <w:b/>
                <w:sz w:val="22"/>
              </w:rPr>
              <w:br/>
              <w:t>EBVPD III dalies D2 punktas</w:t>
            </w:r>
          </w:p>
        </w:tc>
        <w:tc>
          <w:tcPr>
            <w:tcW w:w="4365" w:type="dxa"/>
          </w:tcPr>
          <w:p w14:paraId="7ECC5B06"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rPr>
              <w:t xml:space="preserve">Su pasiūlymu – EBVPD. Iš Lietuvoje įsteigtų subjektų papildomų įrodančių dokumentų nereikalaujama. </w:t>
            </w:r>
            <w:r w:rsidRPr="00D230BB">
              <w:rPr>
                <w:rFonts w:asciiTheme="majorHAnsi" w:hAnsiTheme="majorHAnsi" w:cstheme="majorHAnsi"/>
                <w:sz w:val="22"/>
                <w:lang w:val="pt-BR"/>
              </w:rPr>
              <w:t>Dėl užsienio subjektų informacija tikrinama pagal „e-Certis“ ir atitinkamos valstybės šaltinius.</w:t>
            </w:r>
          </w:p>
        </w:tc>
      </w:tr>
      <w:tr w:rsidR="00B776F4" w:rsidRPr="00731DCA" w14:paraId="00884290" w14:textId="77777777">
        <w:trPr>
          <w:cantSplit/>
          <w:jc w:val="center"/>
        </w:trPr>
        <w:tc>
          <w:tcPr>
            <w:tcW w:w="737" w:type="dxa"/>
          </w:tcPr>
          <w:p w14:paraId="5064B424"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3.</w:t>
            </w:r>
          </w:p>
        </w:tc>
        <w:tc>
          <w:tcPr>
            <w:tcW w:w="6860" w:type="dxa"/>
          </w:tcPr>
          <w:p w14:paraId="425FA58A"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nevykdo įsipareigojimų, susijusių su mokesčių, įskaitant socialinio draudimo įmokas, mokėjimu, kaip nustatyta VPĮ 46 straipsnio 3 dalyje. Taikomos VPĮ nustatytos išimtys, įskaitant atvejus, kai įsiskolinimo suma neviršija 50 Eur arba tiekėjas VPĮ nustatyta tvarka yra laikomas įvykdžiusiu įsipareigojimus.</w:t>
            </w:r>
          </w:p>
        </w:tc>
        <w:tc>
          <w:tcPr>
            <w:tcW w:w="2948" w:type="dxa"/>
          </w:tcPr>
          <w:p w14:paraId="6A5E89FA"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3 d.</w:t>
            </w:r>
            <w:r w:rsidRPr="00D230BB">
              <w:rPr>
                <w:rFonts w:asciiTheme="majorHAnsi" w:hAnsiTheme="majorHAnsi" w:cstheme="majorHAnsi"/>
                <w:b/>
                <w:sz w:val="22"/>
              </w:rPr>
              <w:br/>
              <w:t>EBVPD III dalies B1 ir B2 punktai</w:t>
            </w:r>
          </w:p>
        </w:tc>
        <w:tc>
          <w:tcPr>
            <w:tcW w:w="4365" w:type="dxa"/>
          </w:tcPr>
          <w:p w14:paraId="47E03CC6"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Perkančioji organizacija tikrina jai tiesiogiai ir neatlygintinai prieinamus VMI ir „Sodros“ duomenis. Pažymų supaprastintame pirkime prašoma tik esant pagrįstų abejonių dėl tiekėjo patikimumo.</w:t>
            </w:r>
          </w:p>
        </w:tc>
      </w:tr>
      <w:tr w:rsidR="00B776F4" w:rsidRPr="00731DCA" w14:paraId="3FC043EF" w14:textId="77777777">
        <w:trPr>
          <w:cantSplit/>
          <w:jc w:val="center"/>
        </w:trPr>
        <w:tc>
          <w:tcPr>
            <w:tcW w:w="737" w:type="dxa"/>
          </w:tcPr>
          <w:p w14:paraId="066E3E7F"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lastRenderedPageBreak/>
              <w:t>4.</w:t>
            </w:r>
          </w:p>
        </w:tc>
        <w:tc>
          <w:tcPr>
            <w:tcW w:w="6860" w:type="dxa"/>
          </w:tcPr>
          <w:p w14:paraId="4E6039BF"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su kitais tiekėjais yra sudaręs susitarimų, kuriais siekiama iškreipti konkurenciją atliekamame pirkime, ir perkančioji organizacija dėl to turi įtikinamų duomenų.</w:t>
            </w:r>
          </w:p>
        </w:tc>
        <w:tc>
          <w:tcPr>
            <w:tcW w:w="2948" w:type="dxa"/>
          </w:tcPr>
          <w:p w14:paraId="5C942EC8"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1 p.</w:t>
            </w:r>
            <w:r w:rsidRPr="00D230BB">
              <w:rPr>
                <w:rFonts w:asciiTheme="majorHAnsi" w:hAnsiTheme="majorHAnsi" w:cstheme="majorHAnsi"/>
                <w:b/>
                <w:sz w:val="22"/>
              </w:rPr>
              <w:br/>
              <w:t>EBVPD III dalies C10 punktas</w:t>
            </w:r>
          </w:p>
        </w:tc>
        <w:tc>
          <w:tcPr>
            <w:tcW w:w="4365" w:type="dxa"/>
          </w:tcPr>
          <w:p w14:paraId="3BD399CE"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Vertinama perkančiosios organizacijos turima ir teisėtai gauta informacija.</w:t>
            </w:r>
          </w:p>
        </w:tc>
      </w:tr>
      <w:tr w:rsidR="00B776F4" w:rsidRPr="00731DCA" w14:paraId="1016F055" w14:textId="77777777">
        <w:trPr>
          <w:cantSplit/>
          <w:jc w:val="center"/>
        </w:trPr>
        <w:tc>
          <w:tcPr>
            <w:tcW w:w="737" w:type="dxa"/>
          </w:tcPr>
          <w:p w14:paraId="4DFB0855"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5.</w:t>
            </w:r>
          </w:p>
        </w:tc>
        <w:tc>
          <w:tcPr>
            <w:tcW w:w="6860" w:type="dxa"/>
          </w:tcPr>
          <w:p w14:paraId="327B7CEC"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pirkimo metu pateko į interesų konflikto situaciją, kaip apibrėžta VPĮ 21 straipsnyje, ir atitinkamos padėties negalima ištaisyti.</w:t>
            </w:r>
          </w:p>
        </w:tc>
        <w:tc>
          <w:tcPr>
            <w:tcW w:w="2948" w:type="dxa"/>
          </w:tcPr>
          <w:p w14:paraId="46742D9F"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2 p.</w:t>
            </w:r>
            <w:r w:rsidRPr="00D230BB">
              <w:rPr>
                <w:rFonts w:asciiTheme="majorHAnsi" w:hAnsiTheme="majorHAnsi" w:cstheme="majorHAnsi"/>
                <w:b/>
                <w:sz w:val="22"/>
              </w:rPr>
              <w:br/>
              <w:t>EBVPD III dalies C12 punktas</w:t>
            </w:r>
          </w:p>
        </w:tc>
        <w:tc>
          <w:tcPr>
            <w:tcW w:w="4365" w:type="dxa"/>
          </w:tcPr>
          <w:p w14:paraId="7206F5F7"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Vertinama perkančiosios organizacijos turima informacija ir konkrečios pirkimo procedūros aplinkybės.</w:t>
            </w:r>
          </w:p>
        </w:tc>
      </w:tr>
      <w:tr w:rsidR="00B776F4" w:rsidRPr="00731DCA" w14:paraId="6DE32AFE" w14:textId="77777777">
        <w:trPr>
          <w:cantSplit/>
          <w:jc w:val="center"/>
        </w:trPr>
        <w:tc>
          <w:tcPr>
            <w:tcW w:w="737" w:type="dxa"/>
          </w:tcPr>
          <w:p w14:paraId="5B0E9A0F"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6.</w:t>
            </w:r>
          </w:p>
        </w:tc>
        <w:tc>
          <w:tcPr>
            <w:tcW w:w="6860" w:type="dxa"/>
          </w:tcPr>
          <w:p w14:paraId="5A391F98"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Pažeista konkurencija dėl tiekėjo išankstinio dalyvavimo rengiant pirkimo procedūrą, kaip nustatyta VPĮ 27 straipsnio 3 ir 4 dalyse, ir atitinkamos padėties negalima ištaisyti.</w:t>
            </w:r>
          </w:p>
        </w:tc>
        <w:tc>
          <w:tcPr>
            <w:tcW w:w="2948" w:type="dxa"/>
          </w:tcPr>
          <w:p w14:paraId="5C7DE482"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3 p.</w:t>
            </w:r>
            <w:r w:rsidRPr="00D230BB">
              <w:rPr>
                <w:rFonts w:asciiTheme="majorHAnsi" w:hAnsiTheme="majorHAnsi" w:cstheme="majorHAnsi"/>
                <w:b/>
                <w:sz w:val="22"/>
              </w:rPr>
              <w:br/>
              <w:t>EBVPD III dalies C13 punktas</w:t>
            </w:r>
          </w:p>
        </w:tc>
        <w:tc>
          <w:tcPr>
            <w:tcW w:w="4365" w:type="dxa"/>
          </w:tcPr>
          <w:p w14:paraId="64B42458"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Vertinama perkančiosios organizacijos turima informacija ir konkrečios pirkimo procedūros aplinkybės.</w:t>
            </w:r>
          </w:p>
        </w:tc>
      </w:tr>
      <w:tr w:rsidR="00B776F4" w:rsidRPr="00D230BB" w14:paraId="011B31A9" w14:textId="77777777">
        <w:trPr>
          <w:cantSplit/>
          <w:jc w:val="center"/>
        </w:trPr>
        <w:tc>
          <w:tcPr>
            <w:tcW w:w="737" w:type="dxa"/>
          </w:tcPr>
          <w:p w14:paraId="3EF5491C"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7.</w:t>
            </w:r>
          </w:p>
        </w:tc>
        <w:tc>
          <w:tcPr>
            <w:tcW w:w="6860" w:type="dxa"/>
          </w:tcPr>
          <w:p w14:paraId="6302944E"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pirkimo procedūrų metu nuslėpė informaciją ar pateikė melagingą informaciją apie atitiktį VPĮ 46 ir 47 straipsniuose nustatytiems reikalavimams arba dėl pateiktos melagingos informacijos negali pateikti patvirtinančių dokumentų; taip pat taikomi kiti VPĮ 46 straipsnio 4 dalies 4 punkte nustatyti atvejai.</w:t>
            </w:r>
          </w:p>
        </w:tc>
        <w:tc>
          <w:tcPr>
            <w:tcW w:w="2948" w:type="dxa"/>
          </w:tcPr>
          <w:p w14:paraId="75006C12"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4 p.</w:t>
            </w:r>
            <w:r w:rsidRPr="00D230BB">
              <w:rPr>
                <w:rFonts w:asciiTheme="majorHAnsi" w:hAnsiTheme="majorHAnsi" w:cstheme="majorHAnsi"/>
                <w:b/>
                <w:sz w:val="22"/>
              </w:rPr>
              <w:br/>
              <w:t>EBVPD III dalies C15 punktas</w:t>
            </w:r>
          </w:p>
        </w:tc>
        <w:tc>
          <w:tcPr>
            <w:tcW w:w="4365" w:type="dxa"/>
          </w:tcPr>
          <w:p w14:paraId="2C3ED26C"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Su pasiūlymu – EBVPD. Vertinama perkančiosios organizacijos turima informacija, taip pat VPĮ 52 straipsnyje nustatyta tvarka viešai skelbiama informacija.</w:t>
            </w:r>
          </w:p>
        </w:tc>
      </w:tr>
      <w:tr w:rsidR="00B776F4" w:rsidRPr="00731DCA" w14:paraId="3BA3BF94" w14:textId="77777777">
        <w:trPr>
          <w:cantSplit/>
          <w:jc w:val="center"/>
        </w:trPr>
        <w:tc>
          <w:tcPr>
            <w:tcW w:w="737" w:type="dxa"/>
          </w:tcPr>
          <w:p w14:paraId="0B4CCB42"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8.</w:t>
            </w:r>
          </w:p>
        </w:tc>
        <w:tc>
          <w:tcPr>
            <w:tcW w:w="6860" w:type="dxa"/>
          </w:tcPr>
          <w:p w14:paraId="1C1E528F"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pirkimo metu ėmėsi neteisėtų veiksmų, siekdamas daryti įtaką perkančiosios organizacijos sprendimams, gauti konfidencialios informacijos, suteikiančios neteisėtą pranašumą, arba teikė klaidinančią informaciją, galinčią daryti esminę įtaką sprendimams.</w:t>
            </w:r>
          </w:p>
        </w:tc>
        <w:tc>
          <w:tcPr>
            <w:tcW w:w="2948" w:type="dxa"/>
          </w:tcPr>
          <w:p w14:paraId="5252040A"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5 p.</w:t>
            </w:r>
            <w:r w:rsidRPr="00D230BB">
              <w:rPr>
                <w:rFonts w:asciiTheme="majorHAnsi" w:hAnsiTheme="majorHAnsi" w:cstheme="majorHAnsi"/>
                <w:b/>
                <w:sz w:val="22"/>
              </w:rPr>
              <w:br/>
              <w:t>EBVPD III dalies C15 punktas</w:t>
            </w:r>
          </w:p>
        </w:tc>
        <w:tc>
          <w:tcPr>
            <w:tcW w:w="4365" w:type="dxa"/>
          </w:tcPr>
          <w:p w14:paraId="2F71CBCA"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Vertinama perkančiosios organizacijos turima ir teisėtai gauta informacija.</w:t>
            </w:r>
          </w:p>
        </w:tc>
      </w:tr>
      <w:tr w:rsidR="00B776F4" w:rsidRPr="00D230BB" w14:paraId="439FA70A" w14:textId="77777777">
        <w:trPr>
          <w:cantSplit/>
          <w:jc w:val="center"/>
        </w:trPr>
        <w:tc>
          <w:tcPr>
            <w:tcW w:w="737" w:type="dxa"/>
          </w:tcPr>
          <w:p w14:paraId="13F95747"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9.</w:t>
            </w:r>
          </w:p>
        </w:tc>
        <w:tc>
          <w:tcPr>
            <w:tcW w:w="6860" w:type="dxa"/>
          </w:tcPr>
          <w:p w14:paraId="5F95EF58"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yra neįvykdęs arba netinkamai įvykdęs ankstesnę viešojo pirkimo, pirkimo ar koncesijos sutartį ir dėl esminio sutarties pažeidimo ar didelių / nuolatinių trūkumų per VPĮ nustatytą laikotarpį sutartis buvo nutraukta, priteistas nuostolių atlyginimas arba pritaikyta kita sutartyje nustatyta sankcija; taip pat taikomi atitinkami kitose valstybėse nustatyti atvejai.</w:t>
            </w:r>
          </w:p>
        </w:tc>
        <w:tc>
          <w:tcPr>
            <w:tcW w:w="2948" w:type="dxa"/>
          </w:tcPr>
          <w:p w14:paraId="160BF7C9"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6 p.</w:t>
            </w:r>
            <w:r w:rsidRPr="00D230BB">
              <w:rPr>
                <w:rFonts w:asciiTheme="majorHAnsi" w:hAnsiTheme="majorHAnsi" w:cstheme="majorHAnsi"/>
                <w:b/>
                <w:sz w:val="22"/>
              </w:rPr>
              <w:br/>
              <w:t>EBVPD III dalies C14 punktas</w:t>
            </w:r>
          </w:p>
        </w:tc>
        <w:tc>
          <w:tcPr>
            <w:tcW w:w="4365" w:type="dxa"/>
          </w:tcPr>
          <w:p w14:paraId="642D9450"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Su pasiūlymu – EBVPD. Be kita ko, gali būti vertinama VPĮ 91 straipsnyje nustatyta tvarka skelbiama informacija apie nepatikimus tiekėjus.</w:t>
            </w:r>
          </w:p>
        </w:tc>
      </w:tr>
      <w:tr w:rsidR="00B776F4" w:rsidRPr="00731DCA" w14:paraId="6E9857C7" w14:textId="77777777">
        <w:trPr>
          <w:cantSplit/>
          <w:jc w:val="center"/>
        </w:trPr>
        <w:tc>
          <w:tcPr>
            <w:tcW w:w="737" w:type="dxa"/>
          </w:tcPr>
          <w:p w14:paraId="5ED80CA3"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10.</w:t>
            </w:r>
          </w:p>
        </w:tc>
        <w:tc>
          <w:tcPr>
            <w:tcW w:w="6860" w:type="dxa"/>
          </w:tcPr>
          <w:p w14:paraId="2169B989"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yra padaręs rimtą profesinį pažeidimą – finansinės atskaitomybės ir audito teisės aktų pažeidimą – ir nuo jo padarymo dienos praėjo mažiau kaip vieni metai.</w:t>
            </w:r>
          </w:p>
        </w:tc>
        <w:tc>
          <w:tcPr>
            <w:tcW w:w="2948" w:type="dxa"/>
          </w:tcPr>
          <w:p w14:paraId="6FFF7AF5"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7 p. a pap.</w:t>
            </w:r>
            <w:r w:rsidRPr="00D230BB">
              <w:rPr>
                <w:rFonts w:asciiTheme="majorHAnsi" w:hAnsiTheme="majorHAnsi" w:cstheme="majorHAnsi"/>
                <w:b/>
                <w:sz w:val="22"/>
              </w:rPr>
              <w:br/>
              <w:t>EBVPD III dalies C11 punktas</w:t>
            </w:r>
          </w:p>
        </w:tc>
        <w:tc>
          <w:tcPr>
            <w:tcW w:w="4365" w:type="dxa"/>
          </w:tcPr>
          <w:p w14:paraId="371D0011"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Vertinama viešai prieinama Registrų centro informacija ir kita teisėtai gauta informacija.</w:t>
            </w:r>
          </w:p>
        </w:tc>
      </w:tr>
      <w:tr w:rsidR="00B776F4" w:rsidRPr="00731DCA" w14:paraId="4A2FAE7C" w14:textId="77777777">
        <w:trPr>
          <w:cantSplit/>
          <w:jc w:val="center"/>
        </w:trPr>
        <w:tc>
          <w:tcPr>
            <w:tcW w:w="737" w:type="dxa"/>
          </w:tcPr>
          <w:p w14:paraId="656C51B2"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11.</w:t>
            </w:r>
          </w:p>
        </w:tc>
        <w:tc>
          <w:tcPr>
            <w:tcW w:w="6860" w:type="dxa"/>
          </w:tcPr>
          <w:p w14:paraId="078702CB"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neatitinka minimalių patikimo mokesčių mokėtojo kriterijų, nustatytų Lietuvos Respublikos mokesčių administravimo įstatymo 40¹ straipsnio 1 dalyje.</w:t>
            </w:r>
          </w:p>
        </w:tc>
        <w:tc>
          <w:tcPr>
            <w:tcW w:w="2948" w:type="dxa"/>
          </w:tcPr>
          <w:p w14:paraId="6182D327"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7 p. b pap.</w:t>
            </w:r>
            <w:r w:rsidRPr="00D230BB">
              <w:rPr>
                <w:rFonts w:asciiTheme="majorHAnsi" w:hAnsiTheme="majorHAnsi" w:cstheme="majorHAnsi"/>
                <w:b/>
                <w:sz w:val="22"/>
              </w:rPr>
              <w:br/>
              <w:t>EBVPD III dalies C11 punktas</w:t>
            </w:r>
          </w:p>
        </w:tc>
        <w:tc>
          <w:tcPr>
            <w:tcW w:w="4365" w:type="dxa"/>
          </w:tcPr>
          <w:p w14:paraId="72EB5BDA"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Vertinama VMI viešai skelbiama informacija ir kita teisėtai gauta informacija.</w:t>
            </w:r>
          </w:p>
        </w:tc>
      </w:tr>
      <w:tr w:rsidR="00B776F4" w:rsidRPr="00731DCA" w14:paraId="383EDF50" w14:textId="77777777">
        <w:trPr>
          <w:cantSplit/>
          <w:jc w:val="center"/>
        </w:trPr>
        <w:tc>
          <w:tcPr>
            <w:tcW w:w="737" w:type="dxa"/>
          </w:tcPr>
          <w:p w14:paraId="2245A14B"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t>12.</w:t>
            </w:r>
          </w:p>
        </w:tc>
        <w:tc>
          <w:tcPr>
            <w:tcW w:w="6860" w:type="dxa"/>
          </w:tcPr>
          <w:p w14:paraId="64497058"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yra padaręs draudimo sudaryti draudžiamus susitarimus, nustatyto Lietuvos Respublikos konkurencijos įstatyme ar panašaus pobūdžio kitos valstybės teisės akte, pažeidimą ir nuo jo padarymo dienos praėjo mažiau kaip 3 metai.</w:t>
            </w:r>
          </w:p>
        </w:tc>
        <w:tc>
          <w:tcPr>
            <w:tcW w:w="2948" w:type="dxa"/>
          </w:tcPr>
          <w:p w14:paraId="7067BF5A"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4 d. 7 p. c pap.</w:t>
            </w:r>
            <w:r w:rsidRPr="00D230BB">
              <w:rPr>
                <w:rFonts w:asciiTheme="majorHAnsi" w:hAnsiTheme="majorHAnsi" w:cstheme="majorHAnsi"/>
                <w:b/>
                <w:sz w:val="22"/>
              </w:rPr>
              <w:br/>
              <w:t>EBVPD III dalies C11 punktas</w:t>
            </w:r>
          </w:p>
        </w:tc>
        <w:tc>
          <w:tcPr>
            <w:tcW w:w="4365" w:type="dxa"/>
          </w:tcPr>
          <w:p w14:paraId="5724C24D"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Vertinama Konkurencijos tarybos viešai skelbiama informacija ir kita teisėtai gauta informacija.</w:t>
            </w:r>
          </w:p>
        </w:tc>
      </w:tr>
      <w:tr w:rsidR="00B776F4" w:rsidRPr="00731DCA" w14:paraId="55D148B2" w14:textId="77777777">
        <w:trPr>
          <w:cantSplit/>
          <w:jc w:val="center"/>
        </w:trPr>
        <w:tc>
          <w:tcPr>
            <w:tcW w:w="737" w:type="dxa"/>
          </w:tcPr>
          <w:p w14:paraId="5F09C3A5" w14:textId="77777777" w:rsidR="00B776F4" w:rsidRPr="00D230BB" w:rsidRDefault="00000000">
            <w:pPr>
              <w:spacing w:after="0"/>
              <w:jc w:val="center"/>
              <w:rPr>
                <w:rFonts w:asciiTheme="majorHAnsi" w:hAnsiTheme="majorHAnsi" w:cstheme="majorHAnsi"/>
                <w:sz w:val="22"/>
              </w:rPr>
            </w:pPr>
            <w:r w:rsidRPr="00D230BB">
              <w:rPr>
                <w:rFonts w:asciiTheme="majorHAnsi" w:hAnsiTheme="majorHAnsi" w:cstheme="majorHAnsi"/>
                <w:sz w:val="22"/>
              </w:rPr>
              <w:lastRenderedPageBreak/>
              <w:t>13.</w:t>
            </w:r>
          </w:p>
        </w:tc>
        <w:tc>
          <w:tcPr>
            <w:tcW w:w="6860" w:type="dxa"/>
          </w:tcPr>
          <w:p w14:paraId="14A38B01"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sz w:val="22"/>
              </w:rPr>
              <w:t>Tiekėjas yra įsteigtas arba dalyvauja pirkime vietoj kito asmens, siekiant išvengti VPĮ 46 straipsnio 4 ir 6 dalyse nurodytų pašalinimo pagrindų taikymo.</w:t>
            </w:r>
          </w:p>
        </w:tc>
        <w:tc>
          <w:tcPr>
            <w:tcW w:w="2948" w:type="dxa"/>
          </w:tcPr>
          <w:p w14:paraId="611854B7" w14:textId="77777777" w:rsidR="00B776F4" w:rsidRPr="00D230BB" w:rsidRDefault="00000000">
            <w:pPr>
              <w:spacing w:after="0"/>
              <w:rPr>
                <w:rFonts w:asciiTheme="majorHAnsi" w:hAnsiTheme="majorHAnsi" w:cstheme="majorHAnsi"/>
                <w:sz w:val="22"/>
              </w:rPr>
            </w:pPr>
            <w:r w:rsidRPr="00D230BB">
              <w:rPr>
                <w:rFonts w:asciiTheme="majorHAnsi" w:hAnsiTheme="majorHAnsi" w:cstheme="majorHAnsi"/>
                <w:b/>
                <w:sz w:val="22"/>
              </w:rPr>
              <w:t>VPĮ 46 str. 7 d.</w:t>
            </w:r>
            <w:r w:rsidRPr="00D230BB">
              <w:rPr>
                <w:rFonts w:asciiTheme="majorHAnsi" w:hAnsiTheme="majorHAnsi" w:cstheme="majorHAnsi"/>
                <w:b/>
                <w:sz w:val="22"/>
              </w:rPr>
              <w:br/>
              <w:t>EBVPD III dalies D3 punktas</w:t>
            </w:r>
          </w:p>
        </w:tc>
        <w:tc>
          <w:tcPr>
            <w:tcW w:w="4365" w:type="dxa"/>
          </w:tcPr>
          <w:p w14:paraId="7D76E8E3" w14:textId="77777777" w:rsidR="00B776F4" w:rsidRPr="00D230BB" w:rsidRDefault="00000000">
            <w:pPr>
              <w:spacing w:after="0"/>
              <w:rPr>
                <w:rFonts w:asciiTheme="majorHAnsi" w:hAnsiTheme="majorHAnsi" w:cstheme="majorHAnsi"/>
                <w:sz w:val="22"/>
                <w:lang w:val="pt-BR"/>
              </w:rPr>
            </w:pPr>
            <w:r w:rsidRPr="00D230BB">
              <w:rPr>
                <w:rFonts w:asciiTheme="majorHAnsi" w:hAnsiTheme="majorHAnsi" w:cstheme="majorHAnsi"/>
                <w:sz w:val="22"/>
                <w:lang w:val="pt-BR"/>
              </w:rPr>
              <w:t>Su pasiūlymu – EBVPD. Vertinama perkančiosios organizacijos turima ir teisėtai gauta informacija.</w:t>
            </w:r>
          </w:p>
        </w:tc>
      </w:tr>
    </w:tbl>
    <w:p w14:paraId="58DEB4CC" w14:textId="77777777" w:rsidR="00B776F4" w:rsidRPr="00D230BB" w:rsidRDefault="00000000">
      <w:pPr>
        <w:spacing w:before="100"/>
        <w:rPr>
          <w:rFonts w:asciiTheme="majorHAnsi" w:hAnsiTheme="majorHAnsi" w:cstheme="majorHAnsi"/>
          <w:bCs/>
          <w:i/>
          <w:iCs/>
          <w:sz w:val="20"/>
          <w:szCs w:val="20"/>
        </w:rPr>
      </w:pPr>
      <w:r w:rsidRPr="00D230BB">
        <w:rPr>
          <w:rFonts w:asciiTheme="majorHAnsi" w:hAnsiTheme="majorHAnsi" w:cstheme="majorHAnsi"/>
          <w:b/>
          <w:i/>
          <w:iCs/>
          <w:sz w:val="20"/>
          <w:szCs w:val="20"/>
          <w:lang w:val="pt-BR"/>
        </w:rPr>
        <w:t>Pastaba</w:t>
      </w:r>
      <w:r w:rsidRPr="00D230BB">
        <w:rPr>
          <w:rFonts w:asciiTheme="majorHAnsi" w:hAnsiTheme="majorHAnsi" w:cstheme="majorHAnsi"/>
          <w:bCs/>
          <w:i/>
          <w:iCs/>
          <w:sz w:val="20"/>
          <w:szCs w:val="20"/>
          <w:lang w:val="pt-BR"/>
        </w:rPr>
        <w:t xml:space="preserve"> dėl EBVPD: šiame pirkime žymimi A1–A6, B1–B2, C10–C15 (C11, C12, C13, C14, C15 ir C10) bei D1–D3 punktai pagal lentelėje nurodytą atitiktį. </w:t>
      </w:r>
      <w:r w:rsidRPr="00D230BB">
        <w:rPr>
          <w:rFonts w:asciiTheme="majorHAnsi" w:hAnsiTheme="majorHAnsi" w:cstheme="majorHAnsi"/>
          <w:bCs/>
          <w:i/>
          <w:iCs/>
          <w:sz w:val="20"/>
          <w:szCs w:val="20"/>
        </w:rPr>
        <w:t xml:space="preserve">C1–C9 </w:t>
      </w:r>
      <w:proofErr w:type="spellStart"/>
      <w:r w:rsidRPr="00D230BB">
        <w:rPr>
          <w:rFonts w:asciiTheme="majorHAnsi" w:hAnsiTheme="majorHAnsi" w:cstheme="majorHAnsi"/>
          <w:bCs/>
          <w:i/>
          <w:iCs/>
          <w:sz w:val="20"/>
          <w:szCs w:val="20"/>
        </w:rPr>
        <w:t>nežymimi</w:t>
      </w:r>
      <w:proofErr w:type="spellEnd"/>
      <w:r w:rsidRPr="00D230BB">
        <w:rPr>
          <w:rFonts w:asciiTheme="majorHAnsi" w:hAnsiTheme="majorHAnsi" w:cstheme="majorHAnsi"/>
          <w:bCs/>
          <w:i/>
          <w:iCs/>
          <w:sz w:val="20"/>
          <w:szCs w:val="20"/>
        </w:rPr>
        <w:t>.</w:t>
      </w:r>
    </w:p>
    <w:sectPr w:rsidR="00B776F4" w:rsidRPr="00D230BB" w:rsidSect="00D230BB">
      <w:pgSz w:w="11906" w:h="16838"/>
      <w:pgMar w:top="737" w:right="737" w:bottom="737"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16cid:durableId="1285771040">
    <w:abstractNumId w:val="8"/>
  </w:num>
  <w:num w:numId="2" w16cid:durableId="368990126">
    <w:abstractNumId w:val="6"/>
  </w:num>
  <w:num w:numId="3" w16cid:durableId="965889501">
    <w:abstractNumId w:val="5"/>
  </w:num>
  <w:num w:numId="4" w16cid:durableId="840975490">
    <w:abstractNumId w:val="4"/>
  </w:num>
  <w:num w:numId="5" w16cid:durableId="829173487">
    <w:abstractNumId w:val="7"/>
  </w:num>
  <w:num w:numId="6" w16cid:durableId="1282414562">
    <w:abstractNumId w:val="3"/>
  </w:num>
  <w:num w:numId="7" w16cid:durableId="349068323">
    <w:abstractNumId w:val="2"/>
  </w:num>
  <w:num w:numId="8" w16cid:durableId="1294948820">
    <w:abstractNumId w:val="1"/>
  </w:num>
  <w:num w:numId="9" w16cid:durableId="2109080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B3C3D"/>
    <w:rsid w:val="00731DCA"/>
    <w:rsid w:val="00900DAA"/>
    <w:rsid w:val="00AA1D8D"/>
    <w:rsid w:val="00B47730"/>
    <w:rsid w:val="00B776F4"/>
    <w:rsid w:val="00CB0664"/>
    <w:rsid w:val="00D230B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B4E69"/>
  <w14:defaultImageDpi w14:val="300"/>
  <w15:docId w15:val="{46EB3CE2-CF37-4F76-BCA1-0C0C012ED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40" w:line="240" w:lineRule="auto"/>
    </w:pPr>
    <w:rPr>
      <w:rFonts w:ascii="Arial" w:hAnsi="Arial"/>
      <w:sz w:val="18"/>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4805</Words>
  <Characters>2740</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Aistė Paplauskienė</cp:lastModifiedBy>
  <cp:revision>4</cp:revision>
  <dcterms:created xsi:type="dcterms:W3CDTF">2026-10-15T07:49:00Z</dcterms:created>
  <dcterms:modified xsi:type="dcterms:W3CDTF">2026-10-22T07:35:00Z</dcterms:modified>
  <cp:category/>
</cp:coreProperties>
</file>