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DB6" w:rsidRPr="00AC55DC" w:rsidRDefault="008C0459" w:rsidP="00FC4DB6">
      <w:pPr>
        <w:jc w:val="right"/>
        <w:rPr>
          <w:rFonts w:ascii="Times New Roman" w:hAnsi="Times New Roman"/>
          <w:sz w:val="24"/>
          <w:szCs w:val="24"/>
        </w:rPr>
      </w:pPr>
      <w:r>
        <w:rPr>
          <w:rFonts w:ascii="Times New Roman" w:hAnsi="Times New Roman"/>
          <w:sz w:val="24"/>
          <w:szCs w:val="24"/>
        </w:rPr>
        <w:t>Pirkimo sąlygų 2</w:t>
      </w:r>
      <w:bookmarkStart w:id="0" w:name="_GoBack"/>
      <w:bookmarkEnd w:id="0"/>
      <w:r w:rsidR="00FC4DB6" w:rsidRPr="00AC55DC">
        <w:rPr>
          <w:rFonts w:ascii="Times New Roman" w:hAnsi="Times New Roman"/>
          <w:sz w:val="24"/>
          <w:szCs w:val="24"/>
        </w:rPr>
        <w:t xml:space="preserve"> priedas</w:t>
      </w:r>
    </w:p>
    <w:p w:rsidR="00FC4DB6" w:rsidRPr="00AC55DC" w:rsidRDefault="00FC4DB6" w:rsidP="00FC4DB6">
      <w:pPr>
        <w:pStyle w:val="Betarp"/>
        <w:jc w:val="center"/>
        <w:rPr>
          <w:b/>
        </w:rPr>
      </w:pPr>
      <w:r w:rsidRPr="00AC55DC">
        <w:rPr>
          <w:b/>
        </w:rPr>
        <w:t>TECHNINĖ SPECIFIKACIJA</w:t>
      </w:r>
    </w:p>
    <w:p w:rsidR="00FC4DB6" w:rsidRPr="00AC55DC" w:rsidRDefault="00FC4DB6" w:rsidP="00FC4DB6">
      <w:pPr>
        <w:pStyle w:val="Betarp"/>
        <w:jc w:val="center"/>
      </w:pPr>
    </w:p>
    <w:tbl>
      <w:tblPr>
        <w:tblW w:w="98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980"/>
      </w:tblGrid>
      <w:tr w:rsidR="00FC4DB6" w:rsidRPr="00AC55DC" w:rsidTr="00834E5F">
        <w:trPr>
          <w:jc w:val="right"/>
        </w:trPr>
        <w:tc>
          <w:tcPr>
            <w:tcW w:w="2835" w:type="dxa"/>
            <w:shd w:val="clear" w:color="auto" w:fill="auto"/>
          </w:tcPr>
          <w:p w:rsidR="00FC4DB6" w:rsidRPr="00AC55DC" w:rsidRDefault="00FC4DB6" w:rsidP="00834E5F">
            <w:pPr>
              <w:pStyle w:val="Betarp"/>
            </w:pPr>
            <w:r w:rsidRPr="00AC55DC">
              <w:t>1. PIRKĖJAS</w:t>
            </w:r>
          </w:p>
        </w:tc>
        <w:tc>
          <w:tcPr>
            <w:tcW w:w="6980" w:type="dxa"/>
            <w:tcBorders>
              <w:right w:val="single" w:sz="4" w:space="0" w:color="auto"/>
            </w:tcBorders>
            <w:shd w:val="clear" w:color="auto" w:fill="auto"/>
          </w:tcPr>
          <w:p w:rsidR="00FC4DB6" w:rsidRPr="00AC55DC" w:rsidRDefault="00FC4DB6" w:rsidP="00834E5F">
            <w:pPr>
              <w:pStyle w:val="Betarp"/>
              <w:jc w:val="both"/>
            </w:pPr>
            <w:r w:rsidRPr="00AC55DC">
              <w:t>Plungės rajono savivaldybės administracija, Vytauto g. 12, Plungė</w:t>
            </w:r>
          </w:p>
        </w:tc>
      </w:tr>
      <w:tr w:rsidR="00FC4DB6" w:rsidRPr="00AC55DC" w:rsidTr="00834E5F">
        <w:trPr>
          <w:jc w:val="right"/>
        </w:trPr>
        <w:tc>
          <w:tcPr>
            <w:tcW w:w="2835" w:type="dxa"/>
            <w:shd w:val="clear" w:color="auto" w:fill="auto"/>
          </w:tcPr>
          <w:p w:rsidR="00FC4DB6" w:rsidRPr="00AC55DC" w:rsidRDefault="00FC4DB6" w:rsidP="00834E5F">
            <w:pPr>
              <w:pStyle w:val="Betarp"/>
            </w:pPr>
            <w:r w:rsidRPr="00AC55DC">
              <w:t xml:space="preserve">2. DARBŲ  PAVADINIMAS </w:t>
            </w:r>
          </w:p>
        </w:tc>
        <w:tc>
          <w:tcPr>
            <w:tcW w:w="6980" w:type="dxa"/>
            <w:tcBorders>
              <w:right w:val="single" w:sz="4" w:space="0" w:color="auto"/>
            </w:tcBorders>
            <w:shd w:val="clear" w:color="auto" w:fill="auto"/>
          </w:tcPr>
          <w:p w:rsidR="00FC4DB6" w:rsidRPr="00AC55DC" w:rsidRDefault="00FC4DB6" w:rsidP="00834E5F">
            <w:pPr>
              <w:pStyle w:val="Betarp"/>
              <w:jc w:val="both"/>
            </w:pPr>
            <w:r w:rsidRPr="00AC55DC">
              <w:rPr>
                <w:rFonts w:eastAsia="Calibri"/>
              </w:rPr>
              <w:t>Plungės miesto vietinės reikšmės kelių, gatvių su žvyro</w:t>
            </w:r>
            <w:r w:rsidR="00662714">
              <w:rPr>
                <w:rFonts w:eastAsia="Calibri"/>
              </w:rPr>
              <w:t xml:space="preserve"> ir grunto</w:t>
            </w:r>
            <w:r w:rsidRPr="00AC55DC">
              <w:rPr>
                <w:rFonts w:eastAsia="Calibri"/>
              </w:rPr>
              <w:t xml:space="preserve"> danga paprastojo remonto ir priežiūros darbai</w:t>
            </w:r>
          </w:p>
        </w:tc>
      </w:tr>
      <w:tr w:rsidR="00FC4DB6" w:rsidRPr="00AC55DC" w:rsidTr="00834E5F">
        <w:trPr>
          <w:trHeight w:val="291"/>
          <w:jc w:val="right"/>
        </w:trPr>
        <w:tc>
          <w:tcPr>
            <w:tcW w:w="2835" w:type="dxa"/>
            <w:shd w:val="clear" w:color="auto" w:fill="auto"/>
          </w:tcPr>
          <w:p w:rsidR="00FC4DB6" w:rsidRPr="00AC55DC" w:rsidRDefault="00FC4DB6" w:rsidP="00834E5F">
            <w:pPr>
              <w:pStyle w:val="Betarp"/>
            </w:pPr>
            <w:r w:rsidRPr="00AC55DC">
              <w:t xml:space="preserve">3. STATINIO KATEGORIJA </w:t>
            </w:r>
          </w:p>
        </w:tc>
        <w:tc>
          <w:tcPr>
            <w:tcW w:w="6980" w:type="dxa"/>
            <w:tcBorders>
              <w:right w:val="single" w:sz="4" w:space="0" w:color="auto"/>
            </w:tcBorders>
            <w:shd w:val="clear" w:color="auto" w:fill="auto"/>
          </w:tcPr>
          <w:p w:rsidR="00FC4DB6" w:rsidRPr="00AC55DC" w:rsidRDefault="009B5C8D" w:rsidP="009B5C8D">
            <w:pPr>
              <w:pStyle w:val="Betarp"/>
              <w:jc w:val="both"/>
            </w:pPr>
            <w:r>
              <w:t>Nesudėtingieji ir neypatingieji ,</w:t>
            </w:r>
            <w:r w:rsidR="00FC4DB6" w:rsidRPr="00AC55DC">
              <w:t>statiniai</w:t>
            </w:r>
          </w:p>
        </w:tc>
      </w:tr>
      <w:tr w:rsidR="00FC4DB6" w:rsidRPr="00AC55DC" w:rsidTr="00834E5F">
        <w:trPr>
          <w:jc w:val="right"/>
        </w:trPr>
        <w:tc>
          <w:tcPr>
            <w:tcW w:w="2835" w:type="dxa"/>
            <w:shd w:val="clear" w:color="auto" w:fill="auto"/>
          </w:tcPr>
          <w:p w:rsidR="00FC4DB6" w:rsidRPr="00AC55DC" w:rsidRDefault="00FC4DB6" w:rsidP="00834E5F">
            <w:pPr>
              <w:pStyle w:val="Betarp"/>
            </w:pPr>
            <w:r w:rsidRPr="00AC55DC">
              <w:t>4. STATYBOS RŪŠIS</w:t>
            </w:r>
          </w:p>
        </w:tc>
        <w:tc>
          <w:tcPr>
            <w:tcW w:w="6980" w:type="dxa"/>
            <w:tcBorders>
              <w:right w:val="single" w:sz="4" w:space="0" w:color="auto"/>
            </w:tcBorders>
            <w:shd w:val="clear" w:color="auto" w:fill="auto"/>
          </w:tcPr>
          <w:p w:rsidR="00FC4DB6" w:rsidRPr="00AC55DC" w:rsidRDefault="00FC4DB6" w:rsidP="00834E5F">
            <w:pPr>
              <w:pStyle w:val="Betarp"/>
              <w:jc w:val="both"/>
            </w:pPr>
            <w:r w:rsidRPr="00AC55DC">
              <w:t xml:space="preserve">Paprastasis remontas ir priežiūros darbai </w:t>
            </w:r>
          </w:p>
        </w:tc>
      </w:tr>
      <w:tr w:rsidR="00FC4DB6" w:rsidRPr="00AC55DC" w:rsidTr="00834E5F">
        <w:trPr>
          <w:jc w:val="right"/>
        </w:trPr>
        <w:tc>
          <w:tcPr>
            <w:tcW w:w="2835" w:type="dxa"/>
            <w:shd w:val="clear" w:color="auto" w:fill="auto"/>
          </w:tcPr>
          <w:p w:rsidR="00FC4DB6" w:rsidRDefault="00FC4DB6" w:rsidP="00834E5F">
            <w:pPr>
              <w:pStyle w:val="Betarp"/>
            </w:pPr>
            <w:r w:rsidRPr="00AC55DC">
              <w:t>5. DARBŲ APRAŠYMAS</w:t>
            </w:r>
          </w:p>
          <w:p w:rsidR="00FC4DB6" w:rsidRDefault="00FC4DB6" w:rsidP="00834E5F">
            <w:pPr>
              <w:pStyle w:val="Betarp"/>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Default="00FC4DB6" w:rsidP="00834E5F">
            <w:pPr>
              <w:tabs>
                <w:tab w:val="left" w:pos="850"/>
              </w:tabs>
              <w:spacing w:after="0" w:line="240" w:lineRule="auto"/>
              <w:jc w:val="both"/>
              <w:rPr>
                <w:rFonts w:ascii="Times New Roman" w:eastAsia="Calibri" w:hAnsi="Times New Roman"/>
                <w:sz w:val="24"/>
                <w:szCs w:val="24"/>
              </w:rPr>
            </w:pPr>
          </w:p>
          <w:p w:rsidR="00FC4DB6" w:rsidRPr="00AC55DC" w:rsidRDefault="00FC4DB6" w:rsidP="00834E5F">
            <w:pPr>
              <w:tabs>
                <w:tab w:val="left" w:pos="850"/>
              </w:tabs>
              <w:spacing w:after="0" w:line="240" w:lineRule="auto"/>
              <w:jc w:val="both"/>
            </w:pPr>
          </w:p>
        </w:tc>
        <w:tc>
          <w:tcPr>
            <w:tcW w:w="6980" w:type="dxa"/>
            <w:tcBorders>
              <w:right w:val="single" w:sz="4" w:space="0" w:color="auto"/>
            </w:tcBorders>
            <w:shd w:val="clear" w:color="auto" w:fill="auto"/>
          </w:tcPr>
          <w:p w:rsidR="00FC4DB6" w:rsidRPr="00AC55DC" w:rsidRDefault="00FC4DB6" w:rsidP="00834E5F">
            <w:pPr>
              <w:pStyle w:val="Betarp"/>
              <w:jc w:val="both"/>
            </w:pPr>
            <w:r w:rsidRPr="00AC55DC">
              <w:lastRenderedPageBreak/>
              <w:t>Plungės miesto vietinės reikšmės kelių ir gatvių su žvyro</w:t>
            </w:r>
            <w:r w:rsidR="00662714">
              <w:t xml:space="preserve"> ir grunto</w:t>
            </w:r>
            <w:r w:rsidRPr="00AC55DC">
              <w:t xml:space="preserve"> danga priežiūros darbai:</w:t>
            </w:r>
          </w:p>
          <w:p w:rsidR="00FC4DB6" w:rsidRPr="00AC55DC" w:rsidRDefault="00FC4DB6" w:rsidP="00FC4DB6">
            <w:pPr>
              <w:pStyle w:val="Betarp"/>
              <w:numPr>
                <w:ilvl w:val="0"/>
                <w:numId w:val="1"/>
              </w:numPr>
              <w:jc w:val="both"/>
              <w:rPr>
                <w:b/>
              </w:rPr>
            </w:pPr>
            <w:r w:rsidRPr="00AC55DC">
              <w:rPr>
                <w:b/>
              </w:rPr>
              <w:t>Dangos atnaujinimas arba pagrindų įrengimas:</w:t>
            </w:r>
          </w:p>
          <w:p w:rsidR="00FC4DB6" w:rsidRPr="00CA6BED" w:rsidRDefault="00FC4DB6" w:rsidP="00FC4DB6">
            <w:pPr>
              <w:pStyle w:val="Betarp"/>
              <w:numPr>
                <w:ilvl w:val="1"/>
                <w:numId w:val="2"/>
              </w:numPr>
              <w:jc w:val="both"/>
              <w:rPr>
                <w:b/>
              </w:rPr>
            </w:pPr>
            <w:r w:rsidRPr="00AC55DC">
              <w:t>dangos atnaujinimas arba pagrindų įrengimas iš smėlio įskaitant paskleidimą ir sutankinimą volu, esant poreikiui pašalinti viršutinę esamą dangą.</w:t>
            </w:r>
          </w:p>
          <w:p w:rsidR="00FC4DB6" w:rsidRPr="00323667" w:rsidRDefault="00FC4DB6" w:rsidP="00FC4DB6">
            <w:pPr>
              <w:pStyle w:val="Betarp"/>
              <w:numPr>
                <w:ilvl w:val="1"/>
                <w:numId w:val="2"/>
              </w:numPr>
              <w:jc w:val="both"/>
              <w:rPr>
                <w:b/>
              </w:rPr>
            </w:pPr>
            <w:r w:rsidRPr="00323667">
              <w:t>Dangos atnaujinimas arba pagrindų įrengimas iš žvyro įskaitant paskleidimą ir sutankinimą volu, esant poreikiui pašalinti viršutinę esamą dangą.</w:t>
            </w:r>
          </w:p>
          <w:p w:rsidR="00FC4DB6" w:rsidRPr="00323667" w:rsidRDefault="00FC4DB6" w:rsidP="00FC4DB6">
            <w:pPr>
              <w:pStyle w:val="Betarp"/>
              <w:numPr>
                <w:ilvl w:val="1"/>
                <w:numId w:val="2"/>
              </w:numPr>
              <w:jc w:val="both"/>
              <w:rPr>
                <w:b/>
              </w:rPr>
            </w:pPr>
            <w:r w:rsidRPr="00323667">
              <w:t>Dangos atnaujinimas arba pagrindų įrengimas iš dolomitinės skaldos (</w:t>
            </w:r>
            <w:proofErr w:type="spellStart"/>
            <w:r w:rsidRPr="00323667">
              <w:t>fr</w:t>
            </w:r>
            <w:proofErr w:type="spellEnd"/>
            <w:r w:rsidRPr="00323667">
              <w:t>. 0/32, 0/45 ar 0/56) įskaitant paskleidimą ir sutankinimą volu, esant poreikiui pašalinti viršutinę esamą dangą. Tiekėjas gali pakeisti dolomitinę skaldą į kito medžiagiškumo skaldą, kuri turi būti ne prastesnių parametrų nei nurodyta techninėje specifikacijoje.</w:t>
            </w:r>
          </w:p>
          <w:p w:rsidR="00FC4DB6" w:rsidRPr="00323667" w:rsidRDefault="00FC4DB6" w:rsidP="00834E5F">
            <w:pPr>
              <w:pStyle w:val="Betarp"/>
              <w:jc w:val="both"/>
            </w:pPr>
            <w:r w:rsidRPr="00323667">
              <w:t>Atnaujinant dangą ir/arba įrengiant pagrindo sluoksnius suformuoti   tinkamus nuolydžius vandens nutekėjimui. Pašalinus viršutinę dangą sandėliuoti seniūno nurodytoje vietoje iki 5 km atstumu. Nukastos viršutinės dangos transportavimą įsivertinti „7. Grunto transportavimas“ įkainyje.</w:t>
            </w:r>
          </w:p>
          <w:p w:rsidR="00FC4DB6" w:rsidRPr="00323667" w:rsidRDefault="00FC4DB6" w:rsidP="00FC4DB6">
            <w:pPr>
              <w:pStyle w:val="Betarp"/>
              <w:numPr>
                <w:ilvl w:val="0"/>
                <w:numId w:val="1"/>
              </w:numPr>
              <w:jc w:val="both"/>
              <w:rPr>
                <w:b/>
              </w:rPr>
            </w:pPr>
            <w:proofErr w:type="spellStart"/>
            <w:r w:rsidRPr="00323667">
              <w:rPr>
                <w:b/>
              </w:rPr>
              <w:t>Išdaužų</w:t>
            </w:r>
            <w:proofErr w:type="spellEnd"/>
            <w:r w:rsidRPr="00323667">
              <w:rPr>
                <w:b/>
              </w:rPr>
              <w:t xml:space="preserve"> užtaisymas:</w:t>
            </w:r>
          </w:p>
          <w:p w:rsidR="00FC4DB6" w:rsidRPr="00323667" w:rsidRDefault="00FC4DB6" w:rsidP="00834E5F">
            <w:pPr>
              <w:pStyle w:val="Betarp"/>
              <w:jc w:val="both"/>
            </w:pPr>
            <w:r w:rsidRPr="00323667">
              <w:rPr>
                <w:lang w:eastAsia="ar-SA"/>
              </w:rPr>
              <w:t xml:space="preserve">Prieš </w:t>
            </w:r>
            <w:proofErr w:type="spellStart"/>
            <w:r w:rsidR="009B5C8D">
              <w:rPr>
                <w:lang w:eastAsia="ar-SA"/>
              </w:rPr>
              <w:t>greideri</w:t>
            </w:r>
            <w:r w:rsidR="009B5C8D" w:rsidRPr="00323667">
              <w:rPr>
                <w:lang w:eastAsia="ar-SA"/>
              </w:rPr>
              <w:t>avimą</w:t>
            </w:r>
            <w:proofErr w:type="spellEnd"/>
            <w:r w:rsidRPr="00323667">
              <w:rPr>
                <w:lang w:eastAsia="ar-SA"/>
              </w:rPr>
              <w:t xml:space="preserve"> duobėtus kelius </w:t>
            </w:r>
            <w:proofErr w:type="spellStart"/>
            <w:r w:rsidRPr="00323667">
              <w:rPr>
                <w:lang w:eastAsia="ar-SA"/>
              </w:rPr>
              <w:t>išdaužų</w:t>
            </w:r>
            <w:proofErr w:type="spellEnd"/>
            <w:r w:rsidRPr="00323667">
              <w:rPr>
                <w:lang w:eastAsia="ar-SA"/>
              </w:rPr>
              <w:t xml:space="preserve"> užtaisymui 1 km panaudoti ne </w:t>
            </w:r>
            <w:r w:rsidR="00323667">
              <w:rPr>
                <w:lang w:eastAsia="ar-SA"/>
              </w:rPr>
              <w:t>daugiau</w:t>
            </w:r>
            <w:r w:rsidRPr="00323667">
              <w:rPr>
                <w:lang w:eastAsia="ar-SA"/>
              </w:rPr>
              <w:t xml:space="preserve"> kaip 10 m³ žvyro, žvyro frakcija ne smulkesnė kaip 0/45. </w:t>
            </w:r>
            <w:proofErr w:type="spellStart"/>
            <w:r w:rsidRPr="00323667">
              <w:rPr>
                <w:lang w:eastAsia="ar-SA"/>
              </w:rPr>
              <w:t>Išdaužos</w:t>
            </w:r>
            <w:proofErr w:type="spellEnd"/>
            <w:r w:rsidRPr="00323667">
              <w:rPr>
                <w:lang w:eastAsia="ar-SA"/>
              </w:rPr>
              <w:t xml:space="preserve"> užtaisomos visu kelio pločiu.</w:t>
            </w:r>
          </w:p>
          <w:p w:rsidR="00FC4DB6" w:rsidRPr="00323667" w:rsidRDefault="00FC4DB6" w:rsidP="00FC4DB6">
            <w:pPr>
              <w:pStyle w:val="Betarp"/>
              <w:numPr>
                <w:ilvl w:val="0"/>
                <w:numId w:val="1"/>
              </w:numPr>
              <w:jc w:val="both"/>
              <w:rPr>
                <w:b/>
              </w:rPr>
            </w:pPr>
            <w:proofErr w:type="spellStart"/>
            <w:r w:rsidRPr="00323667">
              <w:rPr>
                <w:b/>
              </w:rPr>
              <w:t>Greideriavimo</w:t>
            </w:r>
            <w:proofErr w:type="spellEnd"/>
            <w:r w:rsidRPr="00323667">
              <w:rPr>
                <w:b/>
              </w:rPr>
              <w:t xml:space="preserve"> darbai:</w:t>
            </w:r>
          </w:p>
          <w:p w:rsidR="00FC4DB6" w:rsidRPr="00323667" w:rsidRDefault="00FC4DB6" w:rsidP="00834E5F">
            <w:pPr>
              <w:pStyle w:val="Betarp"/>
              <w:jc w:val="both"/>
            </w:pPr>
            <w:r w:rsidRPr="00323667">
              <w:t xml:space="preserve"> (1 km kelio </w:t>
            </w:r>
            <w:proofErr w:type="spellStart"/>
            <w:r w:rsidR="008C1236" w:rsidRPr="008C1236">
              <w:rPr>
                <w:b/>
              </w:rPr>
              <w:t>greideriavimas</w:t>
            </w:r>
            <w:proofErr w:type="spellEnd"/>
            <w:r w:rsidR="008C1236" w:rsidRPr="008C1236">
              <w:rPr>
                <w:b/>
              </w:rPr>
              <w:t xml:space="preserve"> visu kelio pločiu</w:t>
            </w:r>
            <w:r w:rsidRPr="00323667">
              <w:t xml:space="preserve">) – </w:t>
            </w:r>
            <w:proofErr w:type="spellStart"/>
            <w:r w:rsidR="008C1236" w:rsidRPr="0056272B">
              <w:rPr>
                <w:rFonts w:eastAsia="Calibri"/>
              </w:rPr>
              <w:t>greideriavimo</w:t>
            </w:r>
            <w:proofErr w:type="spellEnd"/>
            <w:r w:rsidR="008C1236" w:rsidRPr="0056272B">
              <w:rPr>
                <w:rFonts w:eastAsia="Calibri"/>
              </w:rPr>
              <w:t xml:space="preserve"> darbai </w:t>
            </w:r>
            <w:r w:rsidR="008C1236" w:rsidRPr="0056272B">
              <w:t xml:space="preserve">gatvių ir kelių su žvyro danga </w:t>
            </w:r>
            <w:proofErr w:type="spellStart"/>
            <w:r w:rsidR="008C1236" w:rsidRPr="0056272B">
              <w:t>greideriavimas</w:t>
            </w:r>
            <w:proofErr w:type="spellEnd"/>
            <w:r w:rsidR="008C1236" w:rsidRPr="0056272B">
              <w:t xml:space="preserve">, formuojant skersinį profilį (pridedamas vietinės reikšmės kelių su žvyro danga sąrašas, nes vietinės reikšmės keliai yra skirtingų pločių). Jeigu kelias yra platesnis už verstuvo plotį, </w:t>
            </w:r>
            <w:proofErr w:type="spellStart"/>
            <w:r w:rsidR="008C1236" w:rsidRPr="0056272B">
              <w:t>greideriavimas</w:t>
            </w:r>
            <w:proofErr w:type="spellEnd"/>
            <w:r w:rsidR="008C1236" w:rsidRPr="0056272B">
              <w:t xml:space="preserve"> atliekamas pravažiuojant 2-3 kartus (rangovas pravažiavimų skaičių privalo įsivertinti bendroje kainoje). </w:t>
            </w:r>
            <w:proofErr w:type="spellStart"/>
            <w:r w:rsidR="008C1236" w:rsidRPr="0056272B">
              <w:t>Greideriavimas</w:t>
            </w:r>
            <w:proofErr w:type="spellEnd"/>
            <w:r w:rsidR="008C1236" w:rsidRPr="0056272B">
              <w:t xml:space="preserve">, formuojant skersinį profilį ir užtikrinant vandens nutekėjimą, atliekamas seniūno pateiktame užsakyme nurodytam keliui 2-5 kartus </w:t>
            </w:r>
            <w:proofErr w:type="spellStart"/>
            <w:r w:rsidR="008C1236" w:rsidRPr="0056272B">
              <w:t>greideriavimo</w:t>
            </w:r>
            <w:proofErr w:type="spellEnd"/>
            <w:r w:rsidR="008C1236" w:rsidRPr="0056272B">
              <w:t xml:space="preserve"> darbų sezono metu.</w:t>
            </w:r>
            <w:r w:rsidR="008C1236" w:rsidRPr="0056272B">
              <w:rPr>
                <w:lang w:eastAsia="ar-SA"/>
              </w:rPr>
              <w:t xml:space="preserve"> </w:t>
            </w:r>
            <w:proofErr w:type="spellStart"/>
            <w:r w:rsidR="008C1236" w:rsidRPr="0056272B">
              <w:rPr>
                <w:lang w:eastAsia="ar-SA"/>
              </w:rPr>
              <w:t>Greideriavimo</w:t>
            </w:r>
            <w:proofErr w:type="spellEnd"/>
            <w:r w:rsidR="008C1236" w:rsidRPr="0056272B">
              <w:rPr>
                <w:lang w:eastAsia="ar-SA"/>
              </w:rPr>
              <w:t xml:space="preserve"> metu išsivertusius akmenis, stambesnius kaip 15 cm skersmens, rangovas surenka ir savo transportu išveža į seniūno nurodytą vietą iki 5 km atstumu.</w:t>
            </w:r>
            <w:r w:rsidR="008C1236" w:rsidRPr="0056272B">
              <w:rPr>
                <w:rFonts w:eastAsia="Calibri"/>
              </w:rPr>
              <w:t>)</w:t>
            </w:r>
          </w:p>
          <w:p w:rsidR="00FC4DB6" w:rsidRPr="00323667" w:rsidRDefault="00FC4DB6" w:rsidP="00FC4DB6">
            <w:pPr>
              <w:pStyle w:val="Betarp"/>
              <w:numPr>
                <w:ilvl w:val="0"/>
                <w:numId w:val="1"/>
              </w:numPr>
              <w:jc w:val="both"/>
              <w:rPr>
                <w:b/>
              </w:rPr>
            </w:pPr>
            <w:r w:rsidRPr="00323667">
              <w:rPr>
                <w:b/>
              </w:rPr>
              <w:t>Griovio kasimas</w:t>
            </w:r>
            <w:r w:rsidRPr="00323667">
              <w:rPr>
                <w:rFonts w:eastAsia="Calibri"/>
                <w:b/>
              </w:rPr>
              <w:t>/įrengimas</w:t>
            </w:r>
            <w:r w:rsidRPr="00323667">
              <w:rPr>
                <w:b/>
              </w:rPr>
              <w:t xml:space="preserve">: </w:t>
            </w:r>
          </w:p>
          <w:p w:rsidR="00FC4DB6" w:rsidRPr="00323667" w:rsidRDefault="00FC4DB6" w:rsidP="00834E5F">
            <w:pPr>
              <w:pStyle w:val="Betarp"/>
              <w:jc w:val="both"/>
            </w:pPr>
            <w:r w:rsidRPr="00323667">
              <w:t xml:space="preserve">pakelės griovio kasimas </w:t>
            </w:r>
            <w:proofErr w:type="spellStart"/>
            <w:r w:rsidRPr="00323667">
              <w:t>vienkaušiu</w:t>
            </w:r>
            <w:proofErr w:type="spellEnd"/>
            <w:r w:rsidRPr="00323667">
              <w:t xml:space="preserve"> ekskavatoriumi ir iškasto grunto pasklaidymas buldozeriu. Vykdomas siekiant užtikrinti sankasos </w:t>
            </w:r>
            <w:r w:rsidRPr="00323667">
              <w:lastRenderedPageBreak/>
              <w:t>drenuojančio sluoksnio funkcionalumą. Nesant galimybės paskleisti iškastą gruntą, reikalinga jį pakrauti ir išvežti. Gruntas išvežamas į seniūno nurodytą vietą iki 5 km atstumu. Nukasto grunto transportavimą įsivertinti „7. Grunto transportavimas“ įkainyje.</w:t>
            </w:r>
          </w:p>
          <w:p w:rsidR="00FC4DB6" w:rsidRPr="00323667" w:rsidRDefault="00FC4DB6" w:rsidP="00FC4DB6">
            <w:pPr>
              <w:pStyle w:val="Betarp"/>
              <w:numPr>
                <w:ilvl w:val="0"/>
                <w:numId w:val="1"/>
              </w:numPr>
              <w:jc w:val="both"/>
              <w:rPr>
                <w:b/>
              </w:rPr>
            </w:pPr>
            <w:r w:rsidRPr="00323667">
              <w:rPr>
                <w:b/>
              </w:rPr>
              <w:t>Kelkraščių nuėmimas:</w:t>
            </w:r>
          </w:p>
          <w:p w:rsidR="00FC4DB6" w:rsidRPr="00323667" w:rsidRDefault="00FC4DB6" w:rsidP="00834E5F">
            <w:pPr>
              <w:pStyle w:val="Betarp"/>
              <w:jc w:val="both"/>
            </w:pPr>
            <w:r w:rsidRPr="00323667">
              <w:t xml:space="preserve">kelkraščių nuėmimas vykdomas greideriu, formuojant skersinį nuolydį 6 </w:t>
            </w:r>
            <w:r w:rsidRPr="00323667">
              <w:rPr>
                <w:lang w:val="en-US"/>
              </w:rPr>
              <w:t>%</w:t>
            </w:r>
            <w:r w:rsidRPr="00323667">
              <w:t xml:space="preserve">, suformuojant taip, kad kelkraštis nebūtų aukščiau už važiuojamą dangą ir užtikrintų vandens nutekėjimą. Kelkraščio plotis formuojamas pagal esamą kelkraštį (plotis 0,5-1 m). 1 km įkainyje nusimatyti abiejų kelio pusių kelkraščių nuėmimą. Kelkraščių perteklių pakrauti ir išvežti, seniūno pageidavimu sandėliuoti į jo nurodytą vietą ne toliau kaip 5 km. Nukasto grunto transportavimą įsivertinti „7. Grunto transportavimas“ įkainyje. </w:t>
            </w:r>
          </w:p>
          <w:p w:rsidR="00FC4DB6" w:rsidRPr="00323667" w:rsidRDefault="00FC4DB6" w:rsidP="00FC4DB6">
            <w:pPr>
              <w:pStyle w:val="Betarp"/>
              <w:numPr>
                <w:ilvl w:val="0"/>
                <w:numId w:val="1"/>
              </w:numPr>
              <w:jc w:val="both"/>
              <w:rPr>
                <w:b/>
              </w:rPr>
            </w:pPr>
            <w:r w:rsidRPr="00323667">
              <w:rPr>
                <w:b/>
              </w:rPr>
              <w:t>Pralaidų įrengimas/remontas:</w:t>
            </w:r>
          </w:p>
          <w:p w:rsidR="00FC4DB6" w:rsidRPr="00323667" w:rsidRDefault="00FC4DB6" w:rsidP="00834E5F">
            <w:pPr>
              <w:pStyle w:val="Betarp"/>
              <w:ind w:left="387" w:hanging="387"/>
              <w:jc w:val="both"/>
            </w:pPr>
            <w:r w:rsidRPr="00323667">
              <w:t xml:space="preserve">6.1 Įrengiamos 0,3 m. diametro pralaidos iš gofruoto vamzdžio su įstrižais antgaliais (antgalių tipą galima keisti, prieš tai suderinus su Užsakovu), įsivertinant visus žemės darbus. </w:t>
            </w:r>
          </w:p>
          <w:p w:rsidR="00FC4DB6" w:rsidRPr="00323667" w:rsidRDefault="00FC4DB6" w:rsidP="00834E5F">
            <w:pPr>
              <w:pStyle w:val="Betarp"/>
              <w:ind w:left="387" w:hanging="387"/>
              <w:jc w:val="both"/>
            </w:pPr>
            <w:r w:rsidRPr="00323667">
              <w:t xml:space="preserve">6.2 Esamų pralaidų išvalymas, atstatant jų funkcionalumą, siūlų užtaisymas, esamų antgalių sutvarkymas. Įsivertinant visas papildomas medžiagas reikiamas tinkamam pralaidos funkcionalumui atstatyti. </w:t>
            </w:r>
          </w:p>
          <w:p w:rsidR="00FC4DB6" w:rsidRPr="00323667" w:rsidRDefault="00FC4DB6" w:rsidP="00FC4DB6">
            <w:pPr>
              <w:pStyle w:val="Betarp"/>
              <w:numPr>
                <w:ilvl w:val="0"/>
                <w:numId w:val="1"/>
              </w:numPr>
              <w:jc w:val="both"/>
              <w:rPr>
                <w:b/>
              </w:rPr>
            </w:pPr>
            <w:r w:rsidRPr="00323667">
              <w:rPr>
                <w:b/>
              </w:rPr>
              <w:t>Grunto transportavimas:</w:t>
            </w:r>
          </w:p>
          <w:p w:rsidR="00FC4DB6" w:rsidRPr="00323667" w:rsidRDefault="00FC4DB6" w:rsidP="00834E5F">
            <w:pPr>
              <w:pStyle w:val="Betarp"/>
              <w:ind w:left="387" w:hanging="387"/>
              <w:jc w:val="both"/>
            </w:pPr>
            <w:r w:rsidRPr="00323667">
              <w:t xml:space="preserve">7.1. nukastas gruntas kraunamas ekskavatoriumi į </w:t>
            </w:r>
            <w:proofErr w:type="spellStart"/>
            <w:r w:rsidRPr="00323667">
              <w:t>autosavivarčius</w:t>
            </w:r>
            <w:proofErr w:type="spellEnd"/>
            <w:r w:rsidRPr="00323667">
              <w:t xml:space="preserve"> ir vežamas į seniūno nurodytą vietą iki 5 km atstumu . </w:t>
            </w:r>
          </w:p>
          <w:p w:rsidR="00FC4DB6" w:rsidRPr="00323667" w:rsidRDefault="00FC4DB6" w:rsidP="00834E5F">
            <w:pPr>
              <w:pStyle w:val="Betarp"/>
              <w:ind w:left="387" w:hanging="387"/>
              <w:jc w:val="both"/>
              <w:rPr>
                <w:b/>
              </w:rPr>
            </w:pPr>
            <w:r w:rsidRPr="00323667">
              <w:t xml:space="preserve">7.2 Statybinio laužo ir šiukšlių pakrovimas ir išvežimas į </w:t>
            </w:r>
            <w:proofErr w:type="spellStart"/>
            <w:r w:rsidRPr="00323667">
              <w:t>Jėrubaičių</w:t>
            </w:r>
            <w:proofErr w:type="spellEnd"/>
            <w:r w:rsidRPr="00323667">
              <w:t xml:space="preserve"> sąvartyną (</w:t>
            </w:r>
            <w:proofErr w:type="spellStart"/>
            <w:r w:rsidRPr="00323667">
              <w:t>Jėrubaičių</w:t>
            </w:r>
            <w:proofErr w:type="spellEnd"/>
            <w:r w:rsidRPr="00323667">
              <w:t xml:space="preserve"> k. Babrungo sen.) įskaitant mokestį už statybinį laužą.</w:t>
            </w:r>
          </w:p>
          <w:p w:rsidR="00FC4DB6" w:rsidRPr="00323667" w:rsidRDefault="00FC4DB6" w:rsidP="00834E5F">
            <w:pPr>
              <w:pStyle w:val="Betarp"/>
              <w:ind w:left="360"/>
              <w:jc w:val="both"/>
            </w:pPr>
          </w:p>
          <w:p w:rsidR="00FC4DB6" w:rsidRPr="00323667" w:rsidRDefault="00FC4DB6" w:rsidP="00834E5F">
            <w:pPr>
              <w:pStyle w:val="Betarp"/>
              <w:ind w:left="360"/>
              <w:jc w:val="both"/>
            </w:pPr>
            <w:r w:rsidRPr="00323667">
              <w:rPr>
                <w:b/>
              </w:rPr>
              <w:t>Tiekėjas privalo:</w:t>
            </w:r>
          </w:p>
          <w:p w:rsidR="00FC4DB6" w:rsidRPr="00323667" w:rsidRDefault="00FC4DB6" w:rsidP="00FC4DB6">
            <w:pPr>
              <w:pStyle w:val="Sraopastraipa"/>
              <w:numPr>
                <w:ilvl w:val="0"/>
                <w:numId w:val="3"/>
              </w:numPr>
              <w:jc w:val="both"/>
            </w:pPr>
            <w:r w:rsidRPr="00323667">
              <w:t>Ne vėliau kaip per 5 (penkias) darbo dienas po Sutarties pasirašymo pateikti Perkančiajai organizacijai įsakymą dėl Tiekėjo paskirto statybos darbų vadovo teisės aktų nustatyta tvarka patvirtintą įsakymo kopiją ir nurodyti šio asmens kontaktinius duomenis;</w:t>
            </w:r>
          </w:p>
          <w:p w:rsidR="00FC4DB6" w:rsidRPr="00323667" w:rsidRDefault="00FC4DB6" w:rsidP="00FC4DB6">
            <w:pPr>
              <w:pStyle w:val="Sraopastraipa"/>
              <w:numPr>
                <w:ilvl w:val="0"/>
                <w:numId w:val="3"/>
              </w:numPr>
              <w:jc w:val="both"/>
            </w:pPr>
            <w:r w:rsidRPr="00323667">
              <w:t>Darbus vykdyti pagal Perkančiosios organizacijos ir/ ar Plungės miesto seniūnijos pateiktą raštišką užduotį ir/ar Objektų sąrašus, darbų grafiką;</w:t>
            </w:r>
          </w:p>
          <w:p w:rsidR="00FC4DB6" w:rsidRPr="00AC55DC" w:rsidRDefault="00FC4DB6" w:rsidP="00FC4DB6">
            <w:pPr>
              <w:pStyle w:val="Sraopastraipa"/>
              <w:numPr>
                <w:ilvl w:val="0"/>
                <w:numId w:val="3"/>
              </w:numPr>
              <w:jc w:val="both"/>
            </w:pPr>
            <w:r w:rsidRPr="00323667">
              <w:t>Perduoti Perkančiajai organizacijai atliktų darbų priėmimo – perdavimo aktą (4 egz.), darbų ir išlaidų apmokėjimo pažymą  F-3 (4 egz.), kurie pa</w:t>
            </w:r>
            <w:r w:rsidRPr="001345C1">
              <w:t>sirašyti (vizuoti) Plungės miesto seniūnijos seniūno, ir PVM sąskaitą faktūrą. Minėti atsiskaitymo dokumentui Užsakovui perduodami ne vėl</w:t>
            </w:r>
            <w:r>
              <w:t>iau kaip iki einamojo mėnesio 24</w:t>
            </w:r>
            <w:r w:rsidRPr="001345C1">
              <w:t xml:space="preserve"> dienos. Baigiantis metams minėtus dokumentus pateikti ne vėliau kaip iki gruodžio 10 d. </w:t>
            </w:r>
          </w:p>
        </w:tc>
      </w:tr>
      <w:tr w:rsidR="00FC4DB6" w:rsidRPr="00AC55DC" w:rsidTr="00834E5F">
        <w:trPr>
          <w:jc w:val="right"/>
        </w:trPr>
        <w:tc>
          <w:tcPr>
            <w:tcW w:w="2835" w:type="dxa"/>
            <w:shd w:val="clear" w:color="auto" w:fill="auto"/>
          </w:tcPr>
          <w:p w:rsidR="00FC4DB6" w:rsidRPr="00AC55DC" w:rsidRDefault="00FC4DB6" w:rsidP="00834E5F">
            <w:pPr>
              <w:tabs>
                <w:tab w:val="left" w:pos="5400"/>
              </w:tabs>
              <w:rPr>
                <w:rFonts w:ascii="Times New Roman" w:hAnsi="Times New Roman"/>
                <w:sz w:val="24"/>
                <w:szCs w:val="24"/>
              </w:rPr>
            </w:pPr>
            <w:r w:rsidRPr="00AC55DC">
              <w:rPr>
                <w:rFonts w:ascii="Times New Roman" w:hAnsi="Times New Roman"/>
                <w:sz w:val="24"/>
                <w:szCs w:val="24"/>
              </w:rPr>
              <w:lastRenderedPageBreak/>
              <w:t>6. DARBAI VYKDOMI</w:t>
            </w:r>
          </w:p>
        </w:tc>
        <w:tc>
          <w:tcPr>
            <w:tcW w:w="6980" w:type="dxa"/>
            <w:tcBorders>
              <w:right w:val="single" w:sz="4" w:space="0" w:color="auto"/>
            </w:tcBorders>
            <w:shd w:val="clear" w:color="auto" w:fill="auto"/>
          </w:tcPr>
          <w:p w:rsidR="00FC4DB6" w:rsidRDefault="00FC4DB6" w:rsidP="00834E5F">
            <w:pPr>
              <w:pStyle w:val="Betarp"/>
              <w:jc w:val="both"/>
            </w:pPr>
            <w:r w:rsidRPr="008C4B67">
              <w:t>Tiekėjas Darbus privalės atlikti naudodamas savus iš</w:t>
            </w:r>
            <w:r>
              <w:t xml:space="preserve">teklius, darbo jėgą, </w:t>
            </w:r>
            <w:r w:rsidRPr="008C4B67">
              <w:t>techniką, mechanizmus, įrengimus ir įrangą. Perkančioji organizacija nesuteiks jokių išteklių, darbo jėgos, medžiagų, technikos, mechanizmų, įrengimų ar įrangos, reikalingos Sutartyje numatytiems Darbams atlikti.</w:t>
            </w:r>
          </w:p>
          <w:p w:rsidR="00FC4DB6" w:rsidRPr="009D4C14" w:rsidRDefault="00FC4DB6" w:rsidP="00834E5F">
            <w:pPr>
              <w:pStyle w:val="Betarp"/>
              <w:jc w:val="both"/>
            </w:pPr>
            <w:r w:rsidRPr="009D4C14">
              <w:lastRenderedPageBreak/>
              <w:t xml:space="preserve">Visi darbai turi būti atlikti savo medžiagomis, sertifikuotomis Lietuvoje, Darbų kokybė turi </w:t>
            </w:r>
            <w:r w:rsidRPr="00055B29">
              <w:t>atitikti Lietuvos Respublikos aplinkos ministro ir Lietuvos Respublikos susisiekimo ministro 2008 m. sausio 9 d. įsakymu Nr.D1-11/3-3 patvirtinto kelių techninio reglamento KTR 1.01:2008 „Automobilių keliai“, kelių priežiūros vadovo „Automobilių kelių priežiūros darbų atlikimo technologija“ KPV DT-15 reikalavimus, Lietuvos automobilių kelių direkcijos 2019-12-23 įsakymu Nr. V-194 „Dėl automobilių kelių dangos konstrukcijos sluoksnių be rišiklių įrengimo taisyklių ĮT SBR 19 patvirtinimo“ reikalavimus, taip pat STR 2.06.04:2014 „Gatvės ir vietinės reikšmės keliai. Bendrieji reikalavimai“, bei kitais Lietuvos Respublikoje galiojančių standartų, normatyvinių statybos techninių dokumentų, taisyklių,  techninių sąlygų  reikalavimais</w:t>
            </w:r>
            <w:r w:rsidRPr="009D4C14">
              <w:t xml:space="preserve"> ir jų naujausiomis redakcijomis.</w:t>
            </w:r>
          </w:p>
        </w:tc>
      </w:tr>
      <w:tr w:rsidR="00FC4DB6" w:rsidRPr="00AC55DC" w:rsidTr="00834E5F">
        <w:trPr>
          <w:jc w:val="right"/>
        </w:trPr>
        <w:tc>
          <w:tcPr>
            <w:tcW w:w="2835" w:type="dxa"/>
            <w:shd w:val="clear" w:color="auto" w:fill="auto"/>
          </w:tcPr>
          <w:p w:rsidR="00FC4DB6" w:rsidRPr="00AC55DC" w:rsidRDefault="00FC4DB6" w:rsidP="00834E5F">
            <w:pPr>
              <w:pStyle w:val="Betarp"/>
            </w:pPr>
            <w:r w:rsidRPr="00AC55DC">
              <w:lastRenderedPageBreak/>
              <w:t>7. PATEIKIAMOS DOKUMENTACIJOS SKAIČIUS</w:t>
            </w:r>
          </w:p>
        </w:tc>
        <w:tc>
          <w:tcPr>
            <w:tcW w:w="6980" w:type="dxa"/>
            <w:tcBorders>
              <w:right w:val="single" w:sz="4" w:space="0" w:color="auto"/>
            </w:tcBorders>
            <w:shd w:val="clear" w:color="auto" w:fill="auto"/>
          </w:tcPr>
          <w:p w:rsidR="00FC4DB6" w:rsidRPr="009D4C14" w:rsidRDefault="00FC4DB6" w:rsidP="00834E5F">
            <w:pPr>
              <w:pStyle w:val="Betarp"/>
              <w:jc w:val="both"/>
            </w:pPr>
            <w:r w:rsidRPr="009D4C14">
              <w:t>Atliktų darbų aktai, formos F2, F3 po 4 egz. su</w:t>
            </w:r>
            <w:r>
              <w:t xml:space="preserve"> miesto</w:t>
            </w:r>
            <w:r w:rsidRPr="009D4C14">
              <w:t xml:space="preserve"> s</w:t>
            </w:r>
            <w:r>
              <w:t xml:space="preserve">eniūno  parašau. </w:t>
            </w:r>
          </w:p>
        </w:tc>
      </w:tr>
      <w:tr w:rsidR="00FC4DB6" w:rsidRPr="00AC55DC" w:rsidTr="00834E5F">
        <w:trPr>
          <w:jc w:val="right"/>
        </w:trPr>
        <w:tc>
          <w:tcPr>
            <w:tcW w:w="2835" w:type="dxa"/>
            <w:shd w:val="clear" w:color="auto" w:fill="auto"/>
          </w:tcPr>
          <w:p w:rsidR="00FC4DB6" w:rsidRDefault="00FC4DB6" w:rsidP="00834E5F">
            <w:pPr>
              <w:tabs>
                <w:tab w:val="left" w:pos="5400"/>
              </w:tabs>
              <w:rPr>
                <w:rFonts w:ascii="Times New Roman" w:hAnsi="Times New Roman"/>
                <w:sz w:val="24"/>
                <w:szCs w:val="24"/>
              </w:rPr>
            </w:pPr>
            <w:r w:rsidRPr="00AC55DC">
              <w:rPr>
                <w:rFonts w:ascii="Times New Roman" w:hAnsi="Times New Roman"/>
                <w:sz w:val="24"/>
                <w:szCs w:val="24"/>
              </w:rPr>
              <w:t>8. DARBŲ ATLIKIMO TERMINAI</w:t>
            </w:r>
          </w:p>
          <w:p w:rsidR="00FC4DB6" w:rsidRDefault="00FC4DB6" w:rsidP="00834E5F">
            <w:pPr>
              <w:tabs>
                <w:tab w:val="left" w:pos="5400"/>
              </w:tabs>
              <w:rPr>
                <w:rFonts w:ascii="Times New Roman" w:hAnsi="Times New Roman"/>
                <w:sz w:val="24"/>
                <w:szCs w:val="24"/>
              </w:rPr>
            </w:pPr>
          </w:p>
          <w:p w:rsidR="00FC4DB6" w:rsidRDefault="00FC4DB6" w:rsidP="00834E5F">
            <w:pPr>
              <w:tabs>
                <w:tab w:val="left" w:pos="5400"/>
              </w:tabs>
              <w:rPr>
                <w:rFonts w:ascii="Times New Roman" w:hAnsi="Times New Roman"/>
                <w:sz w:val="24"/>
                <w:szCs w:val="24"/>
              </w:rPr>
            </w:pPr>
          </w:p>
          <w:p w:rsidR="00FC4DB6" w:rsidRPr="00AC55DC" w:rsidRDefault="00FC4DB6" w:rsidP="00834E5F">
            <w:pPr>
              <w:tabs>
                <w:tab w:val="left" w:pos="5400"/>
              </w:tabs>
              <w:rPr>
                <w:rFonts w:ascii="Times New Roman" w:hAnsi="Times New Roman"/>
                <w:sz w:val="24"/>
                <w:szCs w:val="24"/>
              </w:rPr>
            </w:pPr>
          </w:p>
        </w:tc>
        <w:tc>
          <w:tcPr>
            <w:tcW w:w="6980" w:type="dxa"/>
            <w:tcBorders>
              <w:right w:val="single" w:sz="4" w:space="0" w:color="auto"/>
            </w:tcBorders>
            <w:shd w:val="clear" w:color="auto" w:fill="auto"/>
          </w:tcPr>
          <w:p w:rsidR="00FC4DB6" w:rsidRPr="00AC55DC" w:rsidRDefault="00FC4DB6" w:rsidP="00834E5F">
            <w:pPr>
              <w:pStyle w:val="Betarp"/>
              <w:jc w:val="both"/>
            </w:pPr>
            <w:r w:rsidRPr="00AC55DC">
              <w:rPr>
                <w:b/>
              </w:rPr>
              <w:t xml:space="preserve">1. </w:t>
            </w:r>
            <w:proofErr w:type="spellStart"/>
            <w:r w:rsidRPr="00AC55DC">
              <w:rPr>
                <w:b/>
              </w:rPr>
              <w:t>Greideriavimo</w:t>
            </w:r>
            <w:proofErr w:type="spellEnd"/>
            <w:r w:rsidRPr="00AC55DC">
              <w:rPr>
                <w:b/>
              </w:rPr>
              <w:t xml:space="preserve"> darbai</w:t>
            </w:r>
            <w:r w:rsidRPr="00AC55DC">
              <w:t xml:space="preserve"> -  darbus pradėti per 3 dienas nuo </w:t>
            </w:r>
            <w:r w:rsidRPr="006C0697">
              <w:t>užsakymo</w:t>
            </w:r>
            <w:r w:rsidRPr="00AC55DC">
              <w:t xml:space="preserve"> gavimo (raštu, faksu arba elektroniniu laišku) jei tam netrukdo oro sąlygos. Darbus atlikti per 5 darbo dienas.</w:t>
            </w:r>
          </w:p>
          <w:p w:rsidR="00FC4DB6" w:rsidRPr="00AC55DC" w:rsidRDefault="00FC4DB6" w:rsidP="00834E5F">
            <w:pPr>
              <w:pStyle w:val="Betarp"/>
              <w:jc w:val="both"/>
            </w:pPr>
            <w:r w:rsidRPr="00AC55DC">
              <w:rPr>
                <w:b/>
              </w:rPr>
              <w:t>2. Dangos atnaujinimas ir/arba pagrindų įrengimas</w:t>
            </w:r>
            <w:r w:rsidRPr="00AC55DC">
              <w:t xml:space="preserve"> – pradėti darbus dviejų savaičių laikotarpyje nuo </w:t>
            </w:r>
            <w:r w:rsidRPr="006C0697">
              <w:t>užsakymo</w:t>
            </w:r>
            <w:r w:rsidRPr="00AC55DC">
              <w:t xml:space="preserve"> gavimo. Darbus atlikti per 15 darbo dienų.</w:t>
            </w:r>
          </w:p>
          <w:p w:rsidR="00FC4DB6" w:rsidRPr="00AC55DC" w:rsidRDefault="00FC4DB6" w:rsidP="00834E5F">
            <w:pPr>
              <w:pStyle w:val="Betarp"/>
              <w:jc w:val="both"/>
            </w:pPr>
            <w:r w:rsidRPr="00AC55DC">
              <w:rPr>
                <w:b/>
              </w:rPr>
              <w:t xml:space="preserve">3. Griovio </w:t>
            </w:r>
            <w:r w:rsidRPr="009D4C14">
              <w:rPr>
                <w:b/>
                <w:color w:val="000000" w:themeColor="text1"/>
              </w:rPr>
              <w:t>kasimas</w:t>
            </w:r>
            <w:r w:rsidRPr="009D4C14">
              <w:rPr>
                <w:rFonts w:eastAsia="Calibri"/>
                <w:b/>
                <w:color w:val="000000" w:themeColor="text1"/>
              </w:rPr>
              <w:t>/įrengimas</w:t>
            </w:r>
            <w:r w:rsidRPr="00175FCA">
              <w:rPr>
                <w:b/>
                <w:color w:val="000000" w:themeColor="text1"/>
              </w:rPr>
              <w:t xml:space="preserve"> </w:t>
            </w:r>
            <w:r w:rsidRPr="00AC55DC">
              <w:t xml:space="preserve">- pradėti darbus per 3 darbo dienas nuo </w:t>
            </w:r>
            <w:r w:rsidRPr="006C0697">
              <w:t>užsakymo</w:t>
            </w:r>
            <w:r w:rsidRPr="00AC55DC">
              <w:t xml:space="preserve"> gavimo. Darbus atlikti per 15 darbo dienų.</w:t>
            </w:r>
          </w:p>
          <w:p w:rsidR="00FC4DB6" w:rsidRPr="00AC55DC" w:rsidRDefault="00FC4DB6" w:rsidP="00834E5F">
            <w:pPr>
              <w:pStyle w:val="Betarp"/>
              <w:jc w:val="both"/>
            </w:pPr>
            <w:r w:rsidRPr="00AC55DC">
              <w:rPr>
                <w:b/>
              </w:rPr>
              <w:t>4. Kelkraščių nuėmimas -</w:t>
            </w:r>
            <w:r w:rsidRPr="00AC55DC">
              <w:t xml:space="preserve">  pradėti darbus per 3 dienas nuo paraiškos gavimo. Darbus atlikti per 15 darbo dienų.</w:t>
            </w:r>
          </w:p>
          <w:p w:rsidR="00FC4DB6" w:rsidRPr="00493977" w:rsidRDefault="00FC4DB6" w:rsidP="00834E5F">
            <w:pPr>
              <w:pStyle w:val="Betarp"/>
              <w:jc w:val="both"/>
              <w:rPr>
                <w:color w:val="FF0000"/>
              </w:rPr>
            </w:pPr>
            <w:r w:rsidRPr="00AC55DC">
              <w:rPr>
                <w:b/>
              </w:rPr>
              <w:t>5. Pralaidų įrengimas, remontas</w:t>
            </w:r>
            <w:r w:rsidRPr="00AC55DC">
              <w:t xml:space="preserve"> </w:t>
            </w:r>
            <w:r w:rsidRPr="00AC55DC">
              <w:rPr>
                <w:b/>
              </w:rPr>
              <w:t xml:space="preserve">- </w:t>
            </w:r>
            <w:r w:rsidRPr="00AC55DC">
              <w:t xml:space="preserve">pradėti darbus per 3 dienas nuo </w:t>
            </w:r>
            <w:r w:rsidRPr="006C0697">
              <w:t>užsakymo</w:t>
            </w:r>
            <w:r w:rsidRPr="00AC55DC">
              <w:t xml:space="preserve"> gavimo. Darbus atlikti per 15 darbo dienų.</w:t>
            </w:r>
            <w:r>
              <w:t xml:space="preserve"> </w:t>
            </w:r>
          </w:p>
          <w:p w:rsidR="00FC4DB6" w:rsidRPr="00F521FE" w:rsidRDefault="00FC4DB6" w:rsidP="00834E5F">
            <w:pPr>
              <w:pStyle w:val="Betarp"/>
              <w:jc w:val="both"/>
            </w:pPr>
            <w:r>
              <w:t xml:space="preserve">6. </w:t>
            </w:r>
            <w:r w:rsidRPr="00F521FE">
              <w:t>Kitus remonto darbus pradėti  ne vėliau kaip per 3 darbo dienas nuo užsakymo gavimo. Darbus atlikti per 10 darbo dienų</w:t>
            </w:r>
          </w:p>
          <w:p w:rsidR="00FC4DB6" w:rsidRPr="00F521FE" w:rsidRDefault="00FC4DB6" w:rsidP="00834E5F">
            <w:pPr>
              <w:jc w:val="both"/>
              <w:rPr>
                <w:rFonts w:ascii="Times New Roman" w:hAnsi="Times New Roman"/>
                <w:sz w:val="24"/>
                <w:szCs w:val="24"/>
              </w:rPr>
            </w:pPr>
            <w:r w:rsidRPr="00F521FE">
              <w:rPr>
                <w:rFonts w:ascii="Times New Roman" w:hAnsi="Times New Roman"/>
                <w:sz w:val="24"/>
                <w:szCs w:val="24"/>
              </w:rPr>
              <w:t>7. Esant ypatingai blogoms oro sąlygoms kai pažeidžiama kelio (gatvės) danga dėl kurių kelias (gatvė) tampa neeksploatuojamas (pvz. išplaunama kelio (gatvės) danga ir  ribojamas kelio pravažiavimas), darbus pradėti ne vėliau kaip per 12 val. nuo užsakymo pateikimo.</w:t>
            </w:r>
          </w:p>
          <w:p w:rsidR="00FC4DB6" w:rsidRPr="00AC55DC" w:rsidRDefault="00FC4DB6" w:rsidP="00834E5F">
            <w:pPr>
              <w:pStyle w:val="Betarp"/>
              <w:jc w:val="both"/>
            </w:pPr>
          </w:p>
        </w:tc>
      </w:tr>
    </w:tbl>
    <w:p w:rsidR="00630E87" w:rsidRDefault="00630E87"/>
    <w:sectPr w:rsidR="00630E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A69F8"/>
    <w:multiLevelType w:val="multilevel"/>
    <w:tmpl w:val="FFCE3A4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2CD06BAF"/>
    <w:multiLevelType w:val="multilevel"/>
    <w:tmpl w:val="EE04BFA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6E602792"/>
    <w:multiLevelType w:val="multilevel"/>
    <w:tmpl w:val="1CF091B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eastAsia="SimSun" w:hint="default"/>
        <w:b/>
      </w:rPr>
    </w:lvl>
    <w:lvl w:ilvl="2">
      <w:start w:val="1"/>
      <w:numFmt w:val="decimal"/>
      <w:isLgl/>
      <w:lvlText w:val="%1.%2.%3"/>
      <w:lvlJc w:val="left"/>
      <w:pPr>
        <w:ind w:left="1080" w:hanging="720"/>
      </w:pPr>
      <w:rPr>
        <w:rFonts w:eastAsia="SimSun" w:hint="default"/>
        <w:b/>
      </w:rPr>
    </w:lvl>
    <w:lvl w:ilvl="3">
      <w:start w:val="1"/>
      <w:numFmt w:val="decimal"/>
      <w:isLgl/>
      <w:lvlText w:val="%1.%2.%3.%4"/>
      <w:lvlJc w:val="left"/>
      <w:pPr>
        <w:ind w:left="1080" w:hanging="720"/>
      </w:pPr>
      <w:rPr>
        <w:rFonts w:eastAsia="SimSun" w:hint="default"/>
        <w:b/>
      </w:rPr>
    </w:lvl>
    <w:lvl w:ilvl="4">
      <w:start w:val="1"/>
      <w:numFmt w:val="decimal"/>
      <w:isLgl/>
      <w:lvlText w:val="%1.%2.%3.%4.%5"/>
      <w:lvlJc w:val="left"/>
      <w:pPr>
        <w:ind w:left="1440" w:hanging="1080"/>
      </w:pPr>
      <w:rPr>
        <w:rFonts w:eastAsia="SimSun" w:hint="default"/>
        <w:b/>
      </w:rPr>
    </w:lvl>
    <w:lvl w:ilvl="5">
      <w:start w:val="1"/>
      <w:numFmt w:val="decimal"/>
      <w:isLgl/>
      <w:lvlText w:val="%1.%2.%3.%4.%5.%6"/>
      <w:lvlJc w:val="left"/>
      <w:pPr>
        <w:ind w:left="1440" w:hanging="1080"/>
      </w:pPr>
      <w:rPr>
        <w:rFonts w:eastAsia="SimSun" w:hint="default"/>
        <w:b/>
      </w:rPr>
    </w:lvl>
    <w:lvl w:ilvl="6">
      <w:start w:val="1"/>
      <w:numFmt w:val="decimal"/>
      <w:isLgl/>
      <w:lvlText w:val="%1.%2.%3.%4.%5.%6.%7"/>
      <w:lvlJc w:val="left"/>
      <w:pPr>
        <w:ind w:left="1800" w:hanging="1440"/>
      </w:pPr>
      <w:rPr>
        <w:rFonts w:eastAsia="SimSun" w:hint="default"/>
        <w:b/>
      </w:rPr>
    </w:lvl>
    <w:lvl w:ilvl="7">
      <w:start w:val="1"/>
      <w:numFmt w:val="decimal"/>
      <w:isLgl/>
      <w:lvlText w:val="%1.%2.%3.%4.%5.%6.%7.%8"/>
      <w:lvlJc w:val="left"/>
      <w:pPr>
        <w:ind w:left="1800" w:hanging="1440"/>
      </w:pPr>
      <w:rPr>
        <w:rFonts w:eastAsia="SimSun" w:hint="default"/>
        <w:b/>
      </w:rPr>
    </w:lvl>
    <w:lvl w:ilvl="8">
      <w:start w:val="1"/>
      <w:numFmt w:val="decimal"/>
      <w:isLgl/>
      <w:lvlText w:val="%1.%2.%3.%4.%5.%6.%7.%8.%9"/>
      <w:lvlJc w:val="left"/>
      <w:pPr>
        <w:ind w:left="2160" w:hanging="1800"/>
      </w:pPr>
      <w:rPr>
        <w:rFonts w:eastAsia="SimSun" w:hint="default"/>
        <w: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460"/>
    <w:rsid w:val="00127FCD"/>
    <w:rsid w:val="00323667"/>
    <w:rsid w:val="003C5FB6"/>
    <w:rsid w:val="00630E87"/>
    <w:rsid w:val="00662714"/>
    <w:rsid w:val="00883460"/>
    <w:rsid w:val="008C0459"/>
    <w:rsid w:val="008C1236"/>
    <w:rsid w:val="009B5C8D"/>
    <w:rsid w:val="00FC4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018D"/>
  <w15:docId w15:val="{B87C126A-525D-42E8-816A-B0B37D4F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4DB6"/>
    <w:rPr>
      <w:rFonts w:ascii="Calibri" w:eastAsia="SimSun" w:hAnsi="Calibri" w:cs="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FC4DB6"/>
    <w:pPr>
      <w:spacing w:after="0" w:line="240" w:lineRule="auto"/>
    </w:pPr>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C4DB6"/>
    <w:pPr>
      <w:spacing w:after="0" w:line="240" w:lineRule="auto"/>
      <w:ind w:left="720"/>
      <w:contextualSpacing/>
    </w:pPr>
    <w:rPr>
      <w:rFonts w:ascii="Times New Roman" w:eastAsia="Times New Roman" w:hAnsi="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C4DB6"/>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FC4DB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4681</Words>
  <Characters>2669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Budrys</dc:creator>
  <cp:keywords/>
  <dc:description/>
  <cp:lastModifiedBy>Daiva Jonauskienė</cp:lastModifiedBy>
  <cp:revision>2</cp:revision>
  <dcterms:created xsi:type="dcterms:W3CDTF">2025-01-27T13:48:00Z</dcterms:created>
  <dcterms:modified xsi:type="dcterms:W3CDTF">2025-01-27T13:48:00Z</dcterms:modified>
</cp:coreProperties>
</file>