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0EF36" w14:textId="2822A2A0" w:rsidR="007438DC" w:rsidRPr="002870FB" w:rsidRDefault="0013412B" w:rsidP="007438DC">
      <w:pPr>
        <w:suppressAutoHyphens w:val="0"/>
        <w:autoSpaceDN/>
        <w:ind w:firstLine="142"/>
        <w:jc w:val="center"/>
        <w:textAlignment w:val="auto"/>
        <w:rPr>
          <w:rFonts w:ascii="Times New Roman" w:eastAsia="Calibri" w:hAnsi="Times New Roman" w:cs="Times New Roman"/>
          <w:b/>
          <w:bCs/>
          <w:kern w:val="0"/>
          <w:lang w:eastAsia="en-US"/>
        </w:rPr>
      </w:pPr>
      <w:r>
        <w:rPr>
          <w:rFonts w:ascii="Times New Roman" w:eastAsia="font293" w:hAnsi="Times New Roman" w:cs="Times New Roman"/>
          <w:b/>
          <w:bCs/>
        </w:rPr>
        <w:t>PASIŪLYMO TECHNINIO PAGRINDIMO FORMA</w:t>
      </w:r>
    </w:p>
    <w:p w14:paraId="53FA7F96" w14:textId="77777777" w:rsidR="007438DC" w:rsidRPr="002870FB" w:rsidRDefault="007438DC" w:rsidP="007438DC">
      <w:pPr>
        <w:suppressAutoHyphens w:val="0"/>
        <w:autoSpaceDN/>
        <w:jc w:val="both"/>
        <w:textAlignment w:val="auto"/>
        <w:rPr>
          <w:rFonts w:ascii="Times New Roman" w:eastAsia="Calibri" w:hAnsi="Times New Roman" w:cs="Times New Roman"/>
          <w:b/>
          <w:bCs/>
          <w:kern w:val="0"/>
          <w:u w:val="single"/>
          <w:lang w:eastAsia="en-US"/>
        </w:rPr>
      </w:pPr>
    </w:p>
    <w:p w14:paraId="2F4564AD" w14:textId="2C93C748" w:rsidR="00B033FE" w:rsidRDefault="007438DC" w:rsidP="00841357">
      <w:pPr>
        <w:suppressAutoHyphens w:val="0"/>
        <w:autoSpaceDN/>
        <w:ind w:firstLine="142"/>
        <w:jc w:val="both"/>
        <w:textAlignment w:val="auto"/>
        <w:rPr>
          <w:rFonts w:ascii="Times New Roman" w:hAnsi="Times New Roman" w:cs="Times New Roman"/>
          <w:i/>
        </w:rPr>
      </w:pPr>
      <w:r w:rsidRPr="002870FB">
        <w:rPr>
          <w:rFonts w:ascii="Times New Roman" w:hAnsi="Times New Roman" w:cs="Times New Roman"/>
          <w:i/>
        </w:rPr>
        <w:t>Pasiūlymai, kuriuose siūlomos prekės neatitiks techninės specifikacijos, bus atmetami. Tiekėjas gali siūlyti geresnes charakteristikas.</w:t>
      </w:r>
    </w:p>
    <w:p w14:paraId="0310D650" w14:textId="77777777" w:rsidR="00841357" w:rsidRPr="00B033FE" w:rsidRDefault="00841357" w:rsidP="00841357">
      <w:pPr>
        <w:suppressAutoHyphens w:val="0"/>
        <w:autoSpaceDN/>
        <w:ind w:firstLine="142"/>
        <w:jc w:val="both"/>
        <w:textAlignment w:val="auto"/>
        <w:rPr>
          <w:rFonts w:ascii="Times New Roman" w:hAnsi="Times New Roman" w:cs="Times New Roman"/>
          <w:i/>
        </w:rPr>
      </w:pPr>
    </w:p>
    <w:p w14:paraId="044D0AED" w14:textId="77777777" w:rsidR="00B033FE" w:rsidRPr="00252F90" w:rsidRDefault="00B033FE" w:rsidP="00B033FE">
      <w:pPr>
        <w:suppressAutoHyphens w:val="0"/>
        <w:autoSpaceDN/>
        <w:ind w:left="720"/>
        <w:contextualSpacing/>
        <w:textAlignment w:val="auto"/>
        <w:rPr>
          <w:rFonts w:ascii="Times New Roman" w:eastAsia="Calibri" w:hAnsi="Times New Roman" w:cs="Times New Roman"/>
          <w:b/>
          <w:kern w:val="2"/>
          <w:lang w:eastAsia="en-US" w:bidi="ar-SA"/>
          <w14:ligatures w14:val="standardContextual"/>
        </w:rPr>
      </w:pPr>
    </w:p>
    <w:p w14:paraId="3C7AE60F" w14:textId="77777777" w:rsidR="00E16F3B" w:rsidRDefault="00E16F3B" w:rsidP="00B033FE">
      <w:pPr>
        <w:suppressAutoHyphens w:val="0"/>
        <w:autoSpaceDN/>
        <w:textAlignment w:val="auto"/>
        <w:rPr>
          <w:rFonts w:ascii="Times New Roman" w:eastAsia="Calibri" w:hAnsi="Times New Roman" w:cs="Times New Roman"/>
          <w:bCs/>
          <w:kern w:val="2"/>
          <w:lang w:eastAsia="en-US" w:bidi="ar-SA"/>
          <w14:ligatures w14:val="standardContextual"/>
        </w:rPr>
      </w:pPr>
    </w:p>
    <w:p w14:paraId="1AA8E963" w14:textId="6F839661" w:rsidR="00B033FE" w:rsidRPr="00B033FE" w:rsidRDefault="00E16F3B" w:rsidP="00B033FE">
      <w:pPr>
        <w:suppressAutoHyphens w:val="0"/>
        <w:autoSpaceDN/>
        <w:textAlignment w:val="auto"/>
        <w:rPr>
          <w:rFonts w:ascii="Times New Roman" w:eastAsia="Calibri" w:hAnsi="Times New Roman" w:cs="Times New Roman"/>
          <w:bCs/>
          <w:kern w:val="2"/>
          <w:lang w:eastAsia="en-US" w:bidi="ar-SA"/>
          <w14:ligatures w14:val="standardContextual"/>
        </w:rPr>
      </w:pPr>
      <w:r>
        <w:rPr>
          <w:rFonts w:ascii="Times New Roman" w:eastAsia="Calibri" w:hAnsi="Times New Roman" w:cs="Times New Roman"/>
          <w:bCs/>
          <w:kern w:val="2"/>
          <w:lang w:eastAsia="en-US" w:bidi="ar-SA"/>
          <w14:ligatures w14:val="standardContextual"/>
        </w:rPr>
        <w:t xml:space="preserve">   </w:t>
      </w:r>
      <w:r w:rsidR="003639D8" w:rsidRPr="003639D8">
        <w:rPr>
          <w:rFonts w:ascii="Times New Roman" w:eastAsia="Calibri" w:hAnsi="Times New Roman" w:cs="Times New Roman"/>
          <w:bCs/>
          <w:kern w:val="2"/>
          <w:lang w:eastAsia="en-US" w:bidi="ar-SA"/>
          <w14:ligatures w14:val="standardContextual"/>
        </w:rPr>
        <w:t xml:space="preserve"> PALYDOVINIO RYŠIO ĮRANGOS UŽTIKRINANČIOS STABILŲ INTERNETO RYŠĮ ATOKIOSE VIETOVĖSE KOMPLEKTAS </w:t>
      </w:r>
      <w:r w:rsidR="00B033FE" w:rsidRPr="00B033FE">
        <w:rPr>
          <w:rFonts w:ascii="Times New Roman" w:eastAsia="Calibri" w:hAnsi="Times New Roman" w:cs="Times New Roman"/>
          <w:bCs/>
          <w:kern w:val="2"/>
          <w:lang w:eastAsia="en-US" w:bidi="ar-SA"/>
          <w14:ligatures w14:val="standardContextual"/>
        </w:rPr>
        <w:t>(</w:t>
      </w:r>
      <w:r w:rsidR="003639D8">
        <w:rPr>
          <w:rFonts w:ascii="Times New Roman" w:eastAsia="Calibri" w:hAnsi="Times New Roman" w:cs="Times New Roman"/>
          <w:bCs/>
          <w:kern w:val="2"/>
          <w:lang w:eastAsia="en-US" w:bidi="ar-SA"/>
          <w14:ligatures w14:val="standardContextual"/>
        </w:rPr>
        <w:t>34</w:t>
      </w:r>
      <w:r w:rsidR="00B033FE" w:rsidRPr="00B033FE">
        <w:rPr>
          <w:rFonts w:ascii="Times New Roman" w:eastAsia="Calibri" w:hAnsi="Times New Roman" w:cs="Times New Roman"/>
          <w:bCs/>
          <w:kern w:val="2"/>
          <w:lang w:eastAsia="en-US" w:bidi="ar-SA"/>
          <w14:ligatures w14:val="standardContextual"/>
        </w:rPr>
        <w:t xml:space="preserve"> vnt.) </w:t>
      </w:r>
    </w:p>
    <w:p w14:paraId="5D0E32C9" w14:textId="77777777" w:rsidR="00B033FE" w:rsidRPr="00B033FE" w:rsidRDefault="00B033FE" w:rsidP="00B033FE">
      <w:pPr>
        <w:suppressAutoHyphens w:val="0"/>
        <w:autoSpaceDN/>
        <w:ind w:left="720"/>
        <w:contextualSpacing/>
        <w:textAlignment w:val="auto"/>
        <w:rPr>
          <w:rFonts w:ascii="Times New Roman" w:eastAsia="Calibri" w:hAnsi="Times New Roman" w:cs="Times New Roman"/>
          <w:b/>
          <w:kern w:val="2"/>
          <w:lang w:eastAsia="en-US" w:bidi="ar-SA"/>
          <w14:ligatures w14:val="standardContextual"/>
        </w:rPr>
      </w:pPr>
    </w:p>
    <w:tbl>
      <w:tblPr>
        <w:tblpPr w:leftFromText="180" w:rightFromText="180" w:bottomFromText="160" w:vertAnchor="text" w:tblpX="127" w:tblpY="1"/>
        <w:tblOverlap w:val="neve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985"/>
        <w:gridCol w:w="5803"/>
        <w:gridCol w:w="6525"/>
      </w:tblGrid>
      <w:tr w:rsidR="00E16F3B" w:rsidRPr="00B033FE" w14:paraId="16911832" w14:textId="77777777" w:rsidTr="00575836">
        <w:tc>
          <w:tcPr>
            <w:tcW w:w="571" w:type="dxa"/>
            <w:tcBorders>
              <w:top w:val="single" w:sz="4" w:space="0" w:color="auto"/>
              <w:left w:val="single" w:sz="4" w:space="0" w:color="auto"/>
              <w:bottom w:val="single" w:sz="4" w:space="0" w:color="auto"/>
              <w:right w:val="single" w:sz="4" w:space="0" w:color="auto"/>
            </w:tcBorders>
          </w:tcPr>
          <w:p w14:paraId="04BF2F3A" w14:textId="77777777" w:rsidR="00E16F3B" w:rsidRPr="00B033FE" w:rsidRDefault="00E16F3B" w:rsidP="00E16F3B">
            <w:pPr>
              <w:suppressAutoHyphens w:val="0"/>
              <w:autoSpaceDN/>
              <w:spacing w:after="160"/>
              <w:contextualSpacing/>
              <w:jc w:val="center"/>
              <w:textAlignment w:val="auto"/>
              <w:rPr>
                <w:rFonts w:ascii="Times New Roman" w:eastAsia="Times New Roman" w:hAnsi="Times New Roman" w:cs="Times New Roman"/>
                <w:b/>
                <w:bCs/>
                <w:kern w:val="2"/>
                <w:lang w:eastAsia="en-US" w:bidi="ar-SA"/>
                <w14:ligatures w14:val="standardContextual"/>
              </w:rPr>
            </w:pPr>
            <w:r w:rsidRPr="00B033FE">
              <w:rPr>
                <w:rFonts w:ascii="Times New Roman" w:eastAsia="Times New Roman" w:hAnsi="Times New Roman" w:cs="Times New Roman"/>
                <w:b/>
                <w:bCs/>
                <w:kern w:val="2"/>
                <w:lang w:eastAsia="en-US" w:bidi="ar-SA"/>
                <w14:ligatures w14:val="standardContextual"/>
              </w:rPr>
              <w:t>Eil. Nr.</w:t>
            </w:r>
          </w:p>
        </w:tc>
        <w:tc>
          <w:tcPr>
            <w:tcW w:w="1985" w:type="dxa"/>
            <w:tcBorders>
              <w:top w:val="single" w:sz="4" w:space="0" w:color="auto"/>
              <w:left w:val="single" w:sz="4" w:space="0" w:color="auto"/>
              <w:bottom w:val="single" w:sz="4" w:space="0" w:color="auto"/>
              <w:right w:val="single" w:sz="4" w:space="0" w:color="auto"/>
            </w:tcBorders>
          </w:tcPr>
          <w:p w14:paraId="35836E42" w14:textId="77777777" w:rsidR="00E16F3B" w:rsidRPr="00B033FE" w:rsidRDefault="00E16F3B" w:rsidP="00575836">
            <w:pPr>
              <w:suppressAutoHyphens w:val="0"/>
              <w:autoSpaceDN/>
              <w:spacing w:after="160"/>
              <w:contextualSpacing/>
              <w:jc w:val="center"/>
              <w:textAlignment w:val="auto"/>
              <w:rPr>
                <w:rFonts w:ascii="Times New Roman" w:eastAsia="Times New Roman" w:hAnsi="Times New Roman" w:cs="Times New Roman"/>
                <w:b/>
                <w:bCs/>
                <w:kern w:val="2"/>
                <w:lang w:eastAsia="en-US" w:bidi="ar-SA"/>
                <w14:ligatures w14:val="standardContextual"/>
              </w:rPr>
            </w:pPr>
            <w:r w:rsidRPr="00B033FE">
              <w:rPr>
                <w:rFonts w:ascii="Times New Roman" w:eastAsia="Calibri" w:hAnsi="Times New Roman" w:cs="Times New Roman"/>
                <w:b/>
                <w:bCs/>
                <w:kern w:val="2"/>
                <w:lang w:eastAsia="en-US" w:bidi="ar-SA"/>
                <w14:ligatures w14:val="standardContextual"/>
              </w:rPr>
              <w:t>Pavadinimas</w:t>
            </w:r>
          </w:p>
        </w:tc>
        <w:tc>
          <w:tcPr>
            <w:tcW w:w="5803" w:type="dxa"/>
          </w:tcPr>
          <w:p w14:paraId="0E299792" w14:textId="6484CF91" w:rsidR="00E16F3B" w:rsidRPr="00B033FE" w:rsidRDefault="00E16F3B" w:rsidP="00575836">
            <w:pPr>
              <w:suppressAutoHyphens w:val="0"/>
              <w:autoSpaceDN/>
              <w:spacing w:after="160"/>
              <w:contextualSpacing/>
              <w:jc w:val="center"/>
              <w:textAlignment w:val="auto"/>
              <w:rPr>
                <w:rFonts w:ascii="Times New Roman" w:eastAsia="Times New Roman" w:hAnsi="Times New Roman" w:cs="Times New Roman"/>
                <w:b/>
                <w:bCs/>
                <w:kern w:val="2"/>
                <w:lang w:eastAsia="en-US" w:bidi="ar-SA"/>
                <w14:ligatures w14:val="standardContextual"/>
              </w:rPr>
            </w:pPr>
            <w:r w:rsidRPr="00B033FE">
              <w:rPr>
                <w:rFonts w:ascii="Times New Roman" w:eastAsia="Calibri" w:hAnsi="Times New Roman" w:cs="Times New Roman"/>
                <w:b/>
                <w:bCs/>
                <w:kern w:val="2"/>
                <w:lang w:eastAsia="en-US" w:bidi="ar-SA"/>
                <w14:ligatures w14:val="standardContextual"/>
              </w:rPr>
              <w:t>Reikalaujam</w:t>
            </w:r>
            <w:r>
              <w:rPr>
                <w:rFonts w:ascii="Times New Roman" w:hAnsi="Times New Roman" w:cs="Times New Roman"/>
                <w:b/>
                <w:bCs/>
              </w:rPr>
              <w:t>i parametrai</w:t>
            </w:r>
          </w:p>
        </w:tc>
        <w:tc>
          <w:tcPr>
            <w:tcW w:w="6525" w:type="dxa"/>
          </w:tcPr>
          <w:p w14:paraId="5DBDB5C8" w14:textId="77777777" w:rsidR="0030364F" w:rsidRPr="00B033FE" w:rsidRDefault="0030364F" w:rsidP="0030364F">
            <w:pPr>
              <w:spacing w:after="160" w:line="278" w:lineRule="auto"/>
              <w:jc w:val="center"/>
              <w:rPr>
                <w:rFonts w:ascii="Times New Roman" w:hAnsi="Times New Roman" w:cs="Times New Roman"/>
                <w:b/>
                <w:bCs/>
              </w:rPr>
            </w:pPr>
            <w:r w:rsidRPr="00B033FE">
              <w:rPr>
                <w:rFonts w:ascii="Times New Roman" w:hAnsi="Times New Roman" w:cs="Times New Roman"/>
                <w:b/>
                <w:bCs/>
              </w:rPr>
              <w:t>Siūlomi parametrai</w:t>
            </w:r>
          </w:p>
          <w:p w14:paraId="51F39DE9" w14:textId="77777777" w:rsidR="0030364F" w:rsidRDefault="0030364F" w:rsidP="0030364F">
            <w:pPr>
              <w:spacing w:after="160" w:line="278" w:lineRule="auto"/>
              <w:jc w:val="center"/>
              <w:rPr>
                <w:rFonts w:ascii="Times New Roman" w:hAnsi="Times New Roman" w:cs="Times New Roman"/>
                <w:b/>
                <w:bCs/>
              </w:rPr>
            </w:pPr>
            <w:r w:rsidRPr="00B033FE">
              <w:rPr>
                <w:rFonts w:ascii="Times New Roman" w:hAnsi="Times New Roman" w:cs="Times New Roman"/>
                <w:b/>
                <w:bCs/>
              </w:rPr>
              <w:t>(pateikiamas išsamus aprašymas, o jei teikiamos nuorodos į pridedamą arba viešai paskelbtą techninę dokumentaciją nurodomas konkretus puslapis, punktas ir pan.)</w:t>
            </w:r>
            <w:r>
              <w:rPr>
                <w:rFonts w:ascii="Times New Roman" w:hAnsi="Times New Roman" w:cs="Times New Roman"/>
                <w:b/>
                <w:bCs/>
              </w:rPr>
              <w:t xml:space="preserve">. </w:t>
            </w:r>
          </w:p>
          <w:p w14:paraId="6CA87B5A" w14:textId="19C178F2" w:rsidR="00E16F3B" w:rsidRPr="00B033FE" w:rsidRDefault="0030364F" w:rsidP="0030364F">
            <w:pPr>
              <w:suppressAutoHyphens w:val="0"/>
              <w:autoSpaceDN/>
              <w:spacing w:after="160"/>
              <w:contextualSpacing/>
              <w:jc w:val="center"/>
              <w:textAlignment w:val="auto"/>
              <w:rPr>
                <w:rFonts w:ascii="Times New Roman" w:eastAsia="Times New Roman" w:hAnsi="Times New Roman" w:cs="Times New Roman"/>
                <w:b/>
                <w:bCs/>
                <w:kern w:val="2"/>
                <w:lang w:eastAsia="en-US" w:bidi="ar-SA"/>
                <w14:ligatures w14:val="standardContextual"/>
              </w:rPr>
            </w:pPr>
            <w:r w:rsidRPr="005D396E">
              <w:rPr>
                <w:rFonts w:ascii="Times New Roman" w:hAnsi="Times New Roman" w:cs="Times New Roman"/>
                <w:i/>
                <w:iCs/>
              </w:rPr>
              <w:t>Jeigu teikiama nuoroda į viešai paskelbtą techninę dokumentaciją, kartu turi būti pateikta ir viešai paskelbtos techninės dokumentacijos ekran</w:t>
            </w:r>
            <w:r>
              <w:rPr>
                <w:rFonts w:ascii="Times New Roman" w:hAnsi="Times New Roman" w:cs="Times New Roman"/>
                <w:i/>
                <w:iCs/>
              </w:rPr>
              <w:t>vaizdžio kopija.</w:t>
            </w:r>
          </w:p>
        </w:tc>
      </w:tr>
      <w:tr w:rsidR="00B033FE" w:rsidRPr="00B033FE" w14:paraId="3741E848" w14:textId="77777777" w:rsidTr="00575836">
        <w:tc>
          <w:tcPr>
            <w:tcW w:w="571" w:type="dxa"/>
            <w:tcBorders>
              <w:top w:val="single" w:sz="4" w:space="0" w:color="auto"/>
              <w:left w:val="single" w:sz="4" w:space="0" w:color="auto"/>
              <w:bottom w:val="single" w:sz="4" w:space="0" w:color="auto"/>
              <w:right w:val="single" w:sz="4" w:space="0" w:color="auto"/>
            </w:tcBorders>
          </w:tcPr>
          <w:p w14:paraId="13A722D2" w14:textId="1B4A3533"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hideMark/>
          </w:tcPr>
          <w:p w14:paraId="0DEF9774" w14:textId="0B037BD9"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Sistemos sprendimas</w:t>
            </w:r>
          </w:p>
        </w:tc>
        <w:tc>
          <w:tcPr>
            <w:tcW w:w="5803" w:type="dxa"/>
            <w:tcBorders>
              <w:top w:val="single" w:sz="4" w:space="0" w:color="auto"/>
              <w:left w:val="single" w:sz="4" w:space="0" w:color="auto"/>
              <w:bottom w:val="single" w:sz="4" w:space="0" w:color="auto"/>
              <w:right w:val="single" w:sz="4" w:space="0" w:color="auto"/>
            </w:tcBorders>
            <w:hideMark/>
          </w:tcPr>
          <w:p w14:paraId="59CF00D8" w14:textId="7A0DDA84"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r>
            <w:r w:rsidR="00575836">
              <w:rPr>
                <w:rFonts w:ascii="Times New Roman" w:eastAsia="Times New Roman" w:hAnsi="Times New Roman" w:cs="Times New Roman"/>
                <w:kern w:val="2"/>
                <w:lang w:eastAsia="en-US" w:bidi="ar-SA"/>
                <w14:ligatures w14:val="standardContextual"/>
              </w:rPr>
              <w:t>T</w:t>
            </w:r>
            <w:r w:rsidRPr="004C2686">
              <w:rPr>
                <w:rFonts w:ascii="Times New Roman" w:eastAsia="Times New Roman" w:hAnsi="Times New Roman" w:cs="Times New Roman"/>
                <w:kern w:val="2"/>
                <w:lang w:eastAsia="en-US" w:bidi="ar-SA"/>
                <w14:ligatures w14:val="standardContextual"/>
              </w:rPr>
              <w:t>uri užtikrinti palydovinį interneto ryšį lagaminui esant visiškai uždarytam. Lagamino konstrukcija ir naudojamos medžiagos neturi reikšmingai slopinti ar kitaip trukdyti palydovinio signalo priėmimui ir perdavimui;</w:t>
            </w:r>
          </w:p>
          <w:p w14:paraId="75604797"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transportuojamas vieno ar dviejų asmenų;</w:t>
            </w:r>
          </w:p>
          <w:p w14:paraId="09A765F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Sistema turi būti įjungiama vienu jungiklio paspaudimu, neatidarant lagamino, ir automatiškai pasiruošti darbui be papildomų operatoriaus veiksmų;</w:t>
            </w:r>
          </w:p>
          <w:p w14:paraId="760077B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turi užtikrinti palydovinį interneto ryšį;</w:t>
            </w:r>
          </w:p>
          <w:p w14:paraId="0AFEB641"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turi turėti vietinio duomenų tinklo paskirstymo funkciją;</w:t>
            </w:r>
          </w:p>
          <w:p w14:paraId="68A28366"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turi turėti integruotą energijos kaupimo sistemą ir galėti veikti nepriklausomai nuo išorinio elektros energijos tiekimo šaltinio;</w:t>
            </w:r>
          </w:p>
          <w:p w14:paraId="3D97CB34"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turėti į lagamino korpusą integruotas išorines jungtis, leidžiančias neatidarant lagamino prijungti išorinius maitinimo šaltinius, duomenų perdavimo kabelius ir kitą išorinę įrangą;</w:t>
            </w:r>
          </w:p>
          <w:p w14:paraId="035B59F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lastRenderedPageBreak/>
              <w:t>•</w:t>
            </w:r>
            <w:r w:rsidRPr="004C2686">
              <w:rPr>
                <w:rFonts w:ascii="Times New Roman" w:eastAsia="Times New Roman" w:hAnsi="Times New Roman" w:cs="Times New Roman"/>
                <w:kern w:val="2"/>
                <w:lang w:eastAsia="en-US" w:bidi="ar-SA"/>
                <w14:ligatures w14:val="standardContextual"/>
              </w:rPr>
              <w:tab/>
              <w:t>visos išorinės jungtys turi būti pritaikytos naudojimui lauko sąlygomis ir užtikrinti reikiamą apsaugą nuo vandens, drėgmės ir dulkių tiek naudojimo metu, tiek tada, kai jungtys nėra naudojamos;</w:t>
            </w:r>
          </w:p>
          <w:p w14:paraId="62981F6A"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 xml:space="preserve">komplektuojamas su visais tinkamam jo veikimui ir autonominiam naudojimui reikalingais maitinimo šaltiniais, energijos kaupikliais, maitinimo bei jungiamaisiais kabeliais ir kita būtina įranga sprendimo įgyvendinimui. </w:t>
            </w:r>
          </w:p>
          <w:p w14:paraId="00FA23EA"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visi Sistemos sprendimo komponentai turi būti tarpusavyje tinkamai sujungti ir integruoti taip, kad sprendimas būtų paruoštas savarankiškam (autonominiam) naudojimui, nereikėtų atlikti papildomo įrangos montavimo ar vidinių jungčių prijungimo;</w:t>
            </w:r>
          </w:p>
          <w:p w14:paraId="17408BE5"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maitinimo šaltiniai, baterijos ir kiti elektros energijos tiekimo komponentai turi būti konstrukciškai atskirti ir apsaugoti nuo lagamine įrengtos palydovinės antenos, maršrutizatoriaus bei kitos aktyviosios elektroninės įrangos;</w:t>
            </w:r>
          </w:p>
          <w:p w14:paraId="3B91E35B" w14:textId="22439966"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maitinimo šaltiniai, baterijos ir jų jungtys turi būti įrengti taip, kad įprastomis naudojimo sąlygomis naudotojas negalėtų prie jų laisvai prieiti. Prieiga prie šių komponentų turi būti galima tik techninės priežiūros tikslais, naudojant įrankius.</w:t>
            </w:r>
          </w:p>
        </w:tc>
        <w:tc>
          <w:tcPr>
            <w:tcW w:w="6525" w:type="dxa"/>
            <w:tcBorders>
              <w:top w:val="single" w:sz="4" w:space="0" w:color="auto"/>
              <w:left w:val="single" w:sz="4" w:space="0" w:color="auto"/>
              <w:bottom w:val="single" w:sz="4" w:space="0" w:color="auto"/>
              <w:right w:val="single" w:sz="4" w:space="0" w:color="auto"/>
            </w:tcBorders>
          </w:tcPr>
          <w:p w14:paraId="66CBE5F5"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14BD0D26" w14:textId="77777777" w:rsidTr="00575836">
        <w:tc>
          <w:tcPr>
            <w:tcW w:w="571" w:type="dxa"/>
            <w:tcBorders>
              <w:top w:val="single" w:sz="4" w:space="0" w:color="auto"/>
              <w:left w:val="single" w:sz="4" w:space="0" w:color="auto"/>
              <w:bottom w:val="single" w:sz="4" w:space="0" w:color="auto"/>
              <w:right w:val="single" w:sz="4" w:space="0" w:color="auto"/>
            </w:tcBorders>
          </w:tcPr>
          <w:p w14:paraId="742F9642" w14:textId="39A0391F"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2</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60A46387" w14:textId="754EF955"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V</w:t>
            </w:r>
            <w:r w:rsidRPr="004C2686">
              <w:rPr>
                <w:rFonts w:ascii="Times New Roman" w:eastAsia="Times New Roman" w:hAnsi="Times New Roman" w:cs="Times New Roman"/>
                <w:kern w:val="2"/>
                <w:lang w:eastAsia="en-US" w:bidi="ar-SA"/>
                <w14:ligatures w14:val="standardContextual"/>
              </w:rPr>
              <w:t>ietinio tinklo prijungimas</w:t>
            </w:r>
          </w:p>
        </w:tc>
        <w:tc>
          <w:tcPr>
            <w:tcW w:w="5803" w:type="dxa"/>
            <w:tcBorders>
              <w:top w:val="single" w:sz="4" w:space="0" w:color="auto"/>
              <w:left w:val="single" w:sz="4" w:space="0" w:color="auto"/>
              <w:bottom w:val="single" w:sz="4" w:space="0" w:color="auto"/>
              <w:right w:val="single" w:sz="4" w:space="0" w:color="auto"/>
            </w:tcBorders>
          </w:tcPr>
          <w:p w14:paraId="32614826"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Sistema turi sudaryti galimybę prie jos prijungti Perkančiosios organizacijos vietinį tinklą ir (arba) galinius įrenginius naudojant:</w:t>
            </w:r>
          </w:p>
          <w:p w14:paraId="5919A089"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RJ45 Gigabit Ethernet jungtis;</w:t>
            </w:r>
          </w:p>
          <w:p w14:paraId="47309397"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optinį ryšį per LC tipo optinę jungtį;</w:t>
            </w:r>
          </w:p>
          <w:p w14:paraId="2D9AF04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belaidį Wi-Fi ryšį.</w:t>
            </w:r>
          </w:p>
          <w:p w14:paraId="2C01C21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Visos nurodytos jungtys turi būti integruotos į Sistemos sprendimą ir prieinamos iš išorės neatidarant transportavimo lagamino.</w:t>
            </w:r>
          </w:p>
          <w:p w14:paraId="63A5240A" w14:textId="5A80D44F"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lastRenderedPageBreak/>
              <w:t>Sistema turi apimti visą šių prijungimo būdų realizavimui reikalingą techninę įrangą, įskaitant maršrutizavimo įrangą, optinio ryšio įrangą, SFP modulį (-ius) ir kitus būtinus komponentus.</w:t>
            </w:r>
          </w:p>
        </w:tc>
        <w:tc>
          <w:tcPr>
            <w:tcW w:w="6525" w:type="dxa"/>
            <w:tcBorders>
              <w:top w:val="single" w:sz="4" w:space="0" w:color="auto"/>
              <w:left w:val="single" w:sz="4" w:space="0" w:color="auto"/>
              <w:bottom w:val="single" w:sz="4" w:space="0" w:color="auto"/>
              <w:right w:val="single" w:sz="4" w:space="0" w:color="auto"/>
            </w:tcBorders>
          </w:tcPr>
          <w:p w14:paraId="51646D2C"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171E0872" w14:textId="77777777" w:rsidTr="00575836">
        <w:tc>
          <w:tcPr>
            <w:tcW w:w="571" w:type="dxa"/>
            <w:tcBorders>
              <w:top w:val="single" w:sz="4" w:space="0" w:color="auto"/>
              <w:left w:val="single" w:sz="4" w:space="0" w:color="auto"/>
              <w:bottom w:val="single" w:sz="4" w:space="0" w:color="auto"/>
              <w:right w:val="single" w:sz="4" w:space="0" w:color="auto"/>
            </w:tcBorders>
          </w:tcPr>
          <w:p w14:paraId="33AE2E51" w14:textId="15F73FD9"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3</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3C33A627" w14:textId="652A1100"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Sistemos integracija</w:t>
            </w:r>
          </w:p>
        </w:tc>
        <w:tc>
          <w:tcPr>
            <w:tcW w:w="5803" w:type="dxa"/>
            <w:tcBorders>
              <w:top w:val="single" w:sz="4" w:space="0" w:color="auto"/>
              <w:left w:val="single" w:sz="4" w:space="0" w:color="auto"/>
              <w:bottom w:val="single" w:sz="4" w:space="0" w:color="auto"/>
              <w:right w:val="single" w:sz="4" w:space="0" w:color="auto"/>
            </w:tcBorders>
          </w:tcPr>
          <w:p w14:paraId="56457B1D"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Visa papildoma techninė ir programinė įranga, reikalinga šiame techniniame reikalavime nurodytam Sistemos funkcionalumui užtikrinti, turi būti tarpusavyje suderinama, sumontuota, sujungta, sukonfigūruota ir integruota į bendrą Sistemos sprendimą.</w:t>
            </w:r>
          </w:p>
          <w:p w14:paraId="247A0002" w14:textId="4290E33F"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Naudojimo vietoje neturi būti reikalingas papildomas vidinių Sistemos komponentų montavimas, jų tarpusavio jungimas ar konfigūravimas, išskyrus išorinių maitinimo, duomenų perdavimo arba galinių įrenginių prijungimą prie tam skirtų išorinių Sistemos jungčių.</w:t>
            </w:r>
          </w:p>
        </w:tc>
        <w:tc>
          <w:tcPr>
            <w:tcW w:w="6525" w:type="dxa"/>
            <w:tcBorders>
              <w:top w:val="single" w:sz="4" w:space="0" w:color="auto"/>
              <w:left w:val="single" w:sz="4" w:space="0" w:color="auto"/>
              <w:bottom w:val="single" w:sz="4" w:space="0" w:color="auto"/>
              <w:right w:val="single" w:sz="4" w:space="0" w:color="auto"/>
            </w:tcBorders>
          </w:tcPr>
          <w:p w14:paraId="775F1E65"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5793A2F0" w14:textId="77777777" w:rsidTr="00575836">
        <w:tc>
          <w:tcPr>
            <w:tcW w:w="571" w:type="dxa"/>
            <w:tcBorders>
              <w:top w:val="single" w:sz="4" w:space="0" w:color="auto"/>
              <w:left w:val="single" w:sz="4" w:space="0" w:color="auto"/>
              <w:bottom w:val="single" w:sz="4" w:space="0" w:color="auto"/>
              <w:right w:val="single" w:sz="4" w:space="0" w:color="auto"/>
            </w:tcBorders>
          </w:tcPr>
          <w:p w14:paraId="7636CBB6" w14:textId="7D539685"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4</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2F31FE34" w14:textId="26A54F34"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Eksploatavimo aplinka</w:t>
            </w:r>
          </w:p>
        </w:tc>
        <w:tc>
          <w:tcPr>
            <w:tcW w:w="5803" w:type="dxa"/>
            <w:tcBorders>
              <w:top w:val="single" w:sz="4" w:space="0" w:color="auto"/>
              <w:left w:val="single" w:sz="4" w:space="0" w:color="auto"/>
              <w:bottom w:val="single" w:sz="4" w:space="0" w:color="auto"/>
              <w:right w:val="single" w:sz="4" w:space="0" w:color="auto"/>
            </w:tcBorders>
          </w:tcPr>
          <w:p w14:paraId="211A33A9"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Sistema turi būti pritaikyta veikti:</w:t>
            </w:r>
          </w:p>
          <w:p w14:paraId="053C9C2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pasienio teritorijose;</w:t>
            </w:r>
          </w:p>
          <w:p w14:paraId="01407CFD"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miškingose vietovėse;</w:t>
            </w:r>
          </w:p>
          <w:p w14:paraId="22079515"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ribotos infrastruktūros zonose;</w:t>
            </w:r>
          </w:p>
          <w:p w14:paraId="17EF0FB0"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mobiliuose operaciniuose punktuose;</w:t>
            </w:r>
          </w:p>
          <w:p w14:paraId="493995BC"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transporto priemonėse arba laikinuose dislokacijos taškuose.</w:t>
            </w:r>
          </w:p>
          <w:p w14:paraId="413237BC"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Sistemos aplinkos reikalavimai:</w:t>
            </w:r>
          </w:p>
          <w:p w14:paraId="3E90EEC7"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darbinė temperatūra: ne blogiau kaip nuo -10 °C iki +40 °C;</w:t>
            </w:r>
          </w:p>
          <w:p w14:paraId="59252D12"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sandėliavimo temperatūra: ne blogiau kaip nuo -20 °C iki +40 °C;</w:t>
            </w:r>
          </w:p>
          <w:p w14:paraId="023EF125"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apsaugos klasė: ne mažiau kaip IP67;</w:t>
            </w:r>
          </w:p>
          <w:p w14:paraId="43B5D79B"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santykinė oro drėgmė: 10-90 % be kondensacijos.</w:t>
            </w:r>
          </w:p>
          <w:p w14:paraId="321D33D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Sistema turi būti atspari:</w:t>
            </w:r>
          </w:p>
          <w:p w14:paraId="255BC555"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lietui;</w:t>
            </w:r>
          </w:p>
          <w:p w14:paraId="4CAE271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sniegui;</w:t>
            </w:r>
          </w:p>
          <w:p w14:paraId="501F908D"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ledui;</w:t>
            </w:r>
          </w:p>
          <w:p w14:paraId="65F94537"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dulkėms;</w:t>
            </w:r>
          </w:p>
          <w:p w14:paraId="26E14093"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drėgmei;</w:t>
            </w:r>
          </w:p>
          <w:p w14:paraId="2A7708F7"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lastRenderedPageBreak/>
              <w:t>•</w:t>
            </w:r>
            <w:r w:rsidRPr="004C2686">
              <w:rPr>
                <w:rFonts w:ascii="Times New Roman" w:eastAsia="Times New Roman" w:hAnsi="Times New Roman" w:cs="Times New Roman"/>
                <w:kern w:val="2"/>
                <w:lang w:eastAsia="en-US" w:bidi="ar-SA"/>
                <w14:ligatures w14:val="standardContextual"/>
              </w:rPr>
              <w:tab/>
              <w:t>mechaniniams smūgiams transportavimo metu.</w:t>
            </w:r>
          </w:p>
          <w:p w14:paraId="339FC319"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Sistema galima naudotis:</w:t>
            </w:r>
          </w:p>
          <w:p w14:paraId="130C67FB"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24 valandas per parą;</w:t>
            </w:r>
          </w:p>
          <w:p w14:paraId="5DFDD01D"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7 dienas per savaitę;</w:t>
            </w:r>
          </w:p>
          <w:p w14:paraId="6D25D0C2"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nepertraukiamu režimu.</w:t>
            </w:r>
          </w:p>
          <w:p w14:paraId="2BF1D8C0" w14:textId="5EC695B7"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Turi būti užtikrinamas automatinis atsistatymas po ryšio sutrikimo.</w:t>
            </w:r>
          </w:p>
        </w:tc>
        <w:tc>
          <w:tcPr>
            <w:tcW w:w="6525" w:type="dxa"/>
            <w:tcBorders>
              <w:top w:val="single" w:sz="4" w:space="0" w:color="auto"/>
              <w:left w:val="single" w:sz="4" w:space="0" w:color="auto"/>
              <w:bottom w:val="single" w:sz="4" w:space="0" w:color="auto"/>
              <w:right w:val="single" w:sz="4" w:space="0" w:color="auto"/>
            </w:tcBorders>
          </w:tcPr>
          <w:p w14:paraId="7814F8A4"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14A6DD93" w14:textId="77777777" w:rsidTr="00575836">
        <w:tc>
          <w:tcPr>
            <w:tcW w:w="571" w:type="dxa"/>
            <w:tcBorders>
              <w:top w:val="single" w:sz="4" w:space="0" w:color="auto"/>
              <w:left w:val="single" w:sz="4" w:space="0" w:color="auto"/>
              <w:bottom w:val="single" w:sz="4" w:space="0" w:color="auto"/>
              <w:right w:val="single" w:sz="4" w:space="0" w:color="auto"/>
            </w:tcBorders>
          </w:tcPr>
          <w:p w14:paraId="55DEB8AA" w14:textId="5E150FB8"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5</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5C5F25AD" w14:textId="02934480"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Mechaninė konstrukcija ir mobilumas</w:t>
            </w:r>
          </w:p>
        </w:tc>
        <w:tc>
          <w:tcPr>
            <w:tcW w:w="5803" w:type="dxa"/>
            <w:tcBorders>
              <w:top w:val="single" w:sz="4" w:space="0" w:color="auto"/>
              <w:left w:val="single" w:sz="4" w:space="0" w:color="auto"/>
              <w:bottom w:val="single" w:sz="4" w:space="0" w:color="auto"/>
              <w:right w:val="single" w:sz="4" w:space="0" w:color="auto"/>
            </w:tcBorders>
          </w:tcPr>
          <w:p w14:paraId="42B68782"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Visa Sistema turi būti integruota viename transportavimo lagamine, kuris turi:</w:t>
            </w:r>
          </w:p>
          <w:p w14:paraId="6F7960AA"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Užtikrinti visų vidinių komponentų apsaugą transportavimo metu;</w:t>
            </w:r>
          </w:p>
          <w:p w14:paraId="1E7E3CD1"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Vidiniai sujungimai tarp sistemos komponentų turi būti tvarkingai ir saugiai įrengti, o kabeliai – tinkamai išvedžioti ir pritvirtinti, kad netrukdytų įrangos naudojimui bei jos priežiūrai;</w:t>
            </w:r>
          </w:p>
          <w:p w14:paraId="6BEFD67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Draudžiamos nepatikimos tvirtinimo medžiagos: draudžiama vidiniams moduliniams komponentams (baterijoms, maršrutizatoriams, maitinimo blokams, valdikliams, kabelių šakojimams) tvirtinti naudoti plastikinius užtrauktukus (angl. zip-ties), dvipuses lipniąsias juostas, klijus, putas ar tekstilinius dirželius („Velcro“). „Velcro“ draudimas netaikomas palydovinio interneto antenos fiksavimui dangtyje ir atvejus, kai „Velcro“ dirželiai naudojami tik laikinam atjungiamų priedų (kabelių) užfiksavimui.</w:t>
            </w:r>
          </w:p>
          <w:p w14:paraId="6B04A54B"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Visi vidiniai Sistemos komponentai privalo būti montuojami ant tvirto, specialiai šiam lagaminui suprojektuoto ir pagaminto vidinio metalinio (aliuminio) arba didelio tankio inžinerinio plastiko (CNC būdu frazuoto / pramoninio 3D spausdinimo) rėmo arba integruojami į specialiai išpjautą didelio tankio uždarų porų putplasčio (EVA / PE) dėklą (įdėklą).</w:t>
            </w:r>
          </w:p>
          <w:p w14:paraId="2C462276"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 xml:space="preserve">Visi Sistemos pagrindiniai mazgai ir elektronikos plokštės prie rėmo privalo būti tvirtinami patikimomis </w:t>
            </w:r>
            <w:r w:rsidRPr="004C2686">
              <w:rPr>
                <w:rFonts w:ascii="Times New Roman" w:eastAsia="Times New Roman" w:hAnsi="Times New Roman" w:cs="Times New Roman"/>
                <w:kern w:val="2"/>
                <w:lang w:eastAsia="en-US" w:bidi="ar-SA"/>
                <w14:ligatures w14:val="standardContextual"/>
              </w:rPr>
              <w:lastRenderedPageBreak/>
              <w:t>jungtimis (varžtais, kniedėmis-veržlėmis, kniedėmis arba „geltonaisiais“ (neopreno pagrindo) klijais). Visi varžtiniai sujungimai privalo užtikrinti apsaugą nuo savavališko atsisukimo dėl vibracijos ar nedidelio smūgio (pvz. kritimo metu).</w:t>
            </w:r>
          </w:p>
          <w:p w14:paraId="19A4D838"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Sistema ir jos vidiniai tvirtinimai privalo būti suprojektuoti taip, kad atlaikytų transportavimo vibracijas ir atsitiktinius smūgius numetus lagaminą iš ne didesnio kaip 1 metro aukščio ant kieto horizontalaus paviršiaus transportavimo būsenoje (uždarytu dangčiu), neatsijungiant ir neatsilaisvinant vidiniams komponentams.</w:t>
            </w:r>
          </w:p>
          <w:p w14:paraId="64079D88"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Visi vidiniai elektros ir duomenų laidai privalo būti sujungti į tvarkingus pynimus, įvilkti į apsaugines pinto neopreno/nailono žarnas (tinka ir spiralinis kabelių apvyniojimas) ir pritvirtinti prie korpuso laikikliais.</w:t>
            </w:r>
          </w:p>
          <w:p w14:paraId="49354878" w14:textId="1333454C"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Turėti specializuotas vietas papildomai įrangai ir priedams transportuoti;</w:t>
            </w:r>
          </w:p>
        </w:tc>
        <w:tc>
          <w:tcPr>
            <w:tcW w:w="6525" w:type="dxa"/>
            <w:tcBorders>
              <w:top w:val="single" w:sz="4" w:space="0" w:color="auto"/>
              <w:left w:val="single" w:sz="4" w:space="0" w:color="auto"/>
              <w:bottom w:val="single" w:sz="4" w:space="0" w:color="auto"/>
              <w:right w:val="single" w:sz="4" w:space="0" w:color="auto"/>
            </w:tcBorders>
          </w:tcPr>
          <w:p w14:paraId="1C2A0FA5"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5CF85CD3" w14:textId="77777777" w:rsidTr="00575836">
        <w:tc>
          <w:tcPr>
            <w:tcW w:w="571" w:type="dxa"/>
            <w:tcBorders>
              <w:top w:val="single" w:sz="4" w:space="0" w:color="auto"/>
              <w:left w:val="single" w:sz="4" w:space="0" w:color="auto"/>
              <w:bottom w:val="single" w:sz="4" w:space="0" w:color="auto"/>
              <w:right w:val="single" w:sz="4" w:space="0" w:color="auto"/>
            </w:tcBorders>
          </w:tcPr>
          <w:p w14:paraId="608EFF75" w14:textId="17570D45"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6</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68EB080A" w14:textId="7BC30390"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Energijos nepriklausomumas</w:t>
            </w:r>
          </w:p>
        </w:tc>
        <w:tc>
          <w:tcPr>
            <w:tcW w:w="5803" w:type="dxa"/>
            <w:tcBorders>
              <w:top w:val="single" w:sz="4" w:space="0" w:color="auto"/>
              <w:left w:val="single" w:sz="4" w:space="0" w:color="auto"/>
              <w:bottom w:val="single" w:sz="4" w:space="0" w:color="auto"/>
              <w:right w:val="single" w:sz="4" w:space="0" w:color="auto"/>
            </w:tcBorders>
          </w:tcPr>
          <w:p w14:paraId="1B407760"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Turi būti užtikrinta galimybė:</w:t>
            </w:r>
          </w:p>
          <w:p w14:paraId="13304E0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maitinti kitą išorinę kintamos srovės (AC) sistemą iš integruotos baterijos;</w:t>
            </w:r>
          </w:p>
          <w:p w14:paraId="3F2F410F"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 xml:space="preserve">įkrauti sistemą iš elektros tinklo; </w:t>
            </w:r>
          </w:p>
          <w:p w14:paraId="12DFAB5A"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įkrauti sistemą iš transporto priemonės 12 V maitinimo sistemos;</w:t>
            </w:r>
          </w:p>
          <w:p w14:paraId="29BD5970"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įkrauti sistemą iš nuolatinės srovės (DC) šaltinio.</w:t>
            </w:r>
          </w:p>
          <w:p w14:paraId="601CEAF0"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Minimalus autonominio veikimo laikas:</w:t>
            </w:r>
          </w:p>
          <w:p w14:paraId="506DDD71"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ne mažiau kaip 6,5 valandos esant 130 W apkrovai (esant normaliomis, gamintojo nustatytomis baterijos eksploatavimo ir aplinkos sąlygomis);</w:t>
            </w:r>
          </w:p>
          <w:p w14:paraId="21D5133E"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Turi būti įdiegta apsauga nuo:</w:t>
            </w:r>
          </w:p>
          <w:p w14:paraId="064FE72D"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perkrovų (angl. overcharge);</w:t>
            </w:r>
          </w:p>
          <w:p w14:paraId="42645EEC"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perkaitimo;</w:t>
            </w:r>
          </w:p>
          <w:p w14:paraId="1F9A58B5" w14:textId="77777777" w:rsidR="004C2686" w:rsidRPr="004C2686"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trumpojo jungimo;</w:t>
            </w:r>
          </w:p>
          <w:p w14:paraId="6FDC9B07" w14:textId="7F49CA7A" w:rsidR="00B033FE" w:rsidRPr="00B033FE" w:rsidRDefault="004C2686" w:rsidP="004C2686">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gilaus baterijos iškrovimo.</w:t>
            </w:r>
          </w:p>
        </w:tc>
        <w:tc>
          <w:tcPr>
            <w:tcW w:w="6525" w:type="dxa"/>
            <w:tcBorders>
              <w:top w:val="single" w:sz="4" w:space="0" w:color="auto"/>
              <w:left w:val="single" w:sz="4" w:space="0" w:color="auto"/>
              <w:bottom w:val="single" w:sz="4" w:space="0" w:color="auto"/>
              <w:right w:val="single" w:sz="4" w:space="0" w:color="auto"/>
            </w:tcBorders>
          </w:tcPr>
          <w:p w14:paraId="7D345D9D"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3BEFD0A5" w14:textId="77777777" w:rsidTr="00575836">
        <w:tc>
          <w:tcPr>
            <w:tcW w:w="571" w:type="dxa"/>
            <w:tcBorders>
              <w:top w:val="single" w:sz="4" w:space="0" w:color="auto"/>
              <w:left w:val="single" w:sz="4" w:space="0" w:color="auto"/>
              <w:bottom w:val="single" w:sz="4" w:space="0" w:color="auto"/>
              <w:right w:val="single" w:sz="4" w:space="0" w:color="auto"/>
            </w:tcBorders>
          </w:tcPr>
          <w:p w14:paraId="3F0DF02E" w14:textId="2C5B35BA"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lastRenderedPageBreak/>
              <w:t>7</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14C3F346" w14:textId="68455E9D"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Stebėsena ir valdymas</w:t>
            </w:r>
          </w:p>
        </w:tc>
        <w:tc>
          <w:tcPr>
            <w:tcW w:w="5803" w:type="dxa"/>
            <w:tcBorders>
              <w:top w:val="single" w:sz="4" w:space="0" w:color="auto"/>
              <w:left w:val="single" w:sz="4" w:space="0" w:color="auto"/>
              <w:bottom w:val="single" w:sz="4" w:space="0" w:color="auto"/>
              <w:right w:val="single" w:sz="4" w:space="0" w:color="auto"/>
            </w:tcBorders>
          </w:tcPr>
          <w:p w14:paraId="37B73C8D"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Sistema turi turėti integruotą (lagamino išorėje) stebėsenos ekraną.</w:t>
            </w:r>
          </w:p>
          <w:p w14:paraId="0B9AB59B"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Ekrane turi būti pateikiama ne mažiau kaip ši informacija:</w:t>
            </w:r>
          </w:p>
          <w:p w14:paraId="4935C09E"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baterijos įkrovos lygis ir likutinė talpa;</w:t>
            </w:r>
          </w:p>
          <w:p w14:paraId="2E2B47EA"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bendra akumuliatoriaus įtampa ir srovė;</w:t>
            </w:r>
          </w:p>
          <w:p w14:paraId="4D729FAB"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atskirų baterijos celių įtampa;</w:t>
            </w:r>
          </w:p>
          <w:p w14:paraId="41643DC9"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akumuliatoriaus temperatūros rodmenys;</w:t>
            </w:r>
          </w:p>
          <w:p w14:paraId="3DA3199E"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įkrovimo/iškrovimo būsena;</w:t>
            </w:r>
          </w:p>
          <w:p w14:paraId="351A94D2"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akumuliatoriaus valdymo sistemos būsena, įspėjimai;</w:t>
            </w:r>
          </w:p>
          <w:p w14:paraId="5A5DC921" w14:textId="57CC0EA2" w:rsidR="00B033FE" w:rsidRPr="00B033FE"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akumuliatoriaus apsaugos parametrų konfigūravimas ekrane.</w:t>
            </w:r>
          </w:p>
        </w:tc>
        <w:tc>
          <w:tcPr>
            <w:tcW w:w="6525" w:type="dxa"/>
            <w:tcBorders>
              <w:top w:val="single" w:sz="4" w:space="0" w:color="auto"/>
              <w:left w:val="single" w:sz="4" w:space="0" w:color="auto"/>
              <w:bottom w:val="single" w:sz="4" w:space="0" w:color="auto"/>
              <w:right w:val="single" w:sz="4" w:space="0" w:color="auto"/>
            </w:tcBorders>
          </w:tcPr>
          <w:p w14:paraId="5AF9CB0E" w14:textId="77777777" w:rsidR="00B033FE" w:rsidRPr="00B033FE" w:rsidRDefault="00B033FE" w:rsidP="00E16F3B">
            <w:pPr>
              <w:suppressAutoHyphens w:val="0"/>
              <w:autoSpaceDN/>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357507EC" w14:textId="77777777" w:rsidTr="00575836">
        <w:tc>
          <w:tcPr>
            <w:tcW w:w="571" w:type="dxa"/>
            <w:tcBorders>
              <w:top w:val="single" w:sz="4" w:space="0" w:color="auto"/>
              <w:left w:val="single" w:sz="4" w:space="0" w:color="auto"/>
              <w:bottom w:val="single" w:sz="4" w:space="0" w:color="auto"/>
              <w:right w:val="single" w:sz="4" w:space="0" w:color="auto"/>
            </w:tcBorders>
          </w:tcPr>
          <w:p w14:paraId="7A242DBE" w14:textId="34A63EA9"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8</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58FBD020" w14:textId="0025119E"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Centralizuotas palydovinio ryšio valdymo portalas (abonementas)</w:t>
            </w:r>
          </w:p>
        </w:tc>
        <w:tc>
          <w:tcPr>
            <w:tcW w:w="5803" w:type="dxa"/>
            <w:tcBorders>
              <w:top w:val="single" w:sz="4" w:space="0" w:color="auto"/>
              <w:left w:val="single" w:sz="4" w:space="0" w:color="auto"/>
              <w:bottom w:val="single" w:sz="4" w:space="0" w:color="auto"/>
              <w:right w:val="single" w:sz="4" w:space="0" w:color="auto"/>
            </w:tcBorders>
          </w:tcPr>
          <w:p w14:paraId="3337FC95"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Visi Sistemoje esantys palydovinio ryšio Terminalai turi būti integruoti į centralizuotą palydovinio ryšio valdymo platformą.</w:t>
            </w:r>
          </w:p>
          <w:p w14:paraId="05E1C13D"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p>
          <w:p w14:paraId="40BF0439"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Platforma privalo realiu laiku pateikti:</w:t>
            </w:r>
          </w:p>
          <w:p w14:paraId="7B11C7FC"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Bendrą registruotų palydovinio ryšio Terminalų skaičių;</w:t>
            </w:r>
          </w:p>
          <w:p w14:paraId="7432011C"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Šiuo metu prisijungusių (Online) Terminalų skaičių;</w:t>
            </w:r>
          </w:p>
          <w:p w14:paraId="3D618509"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Neprisijungusių (Offline) Terminalų skaičių;</w:t>
            </w:r>
          </w:p>
          <w:p w14:paraId="61397978"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Bendrą sunaudotų duomenų kiekį;</w:t>
            </w:r>
          </w:p>
          <w:p w14:paraId="74F5CA35"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Likusių duomenų balansą;</w:t>
            </w:r>
          </w:p>
          <w:p w14:paraId="145B3663"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Terminalų geografinį pasiskirstymą žemėlapyje.</w:t>
            </w:r>
          </w:p>
          <w:p w14:paraId="0A42336F"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Platforma privalo suteikti galimybę:</w:t>
            </w:r>
          </w:p>
          <w:p w14:paraId="28BBD708"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Peržiūrėti visų Terminalų sąrašą;</w:t>
            </w:r>
          </w:p>
          <w:p w14:paraId="4935201A"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Turėti galimybę filtruoti Terminalus pagal būseną, lokaciją, Terminalo identifikatorių;</w:t>
            </w:r>
          </w:p>
          <w:p w14:paraId="015B93FF" w14:textId="3356FDA6"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Platforma privalo turėti duomenų sunaudojimo stebėseną, kurioje</w:t>
            </w:r>
          </w:p>
          <w:p w14:paraId="314945A6"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Rodyti kiekvieno Terminalo mėnesinį duomenų sunaudojimą;</w:t>
            </w:r>
          </w:p>
          <w:p w14:paraId="6301CAFE"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lastRenderedPageBreak/>
              <w:t>•</w:t>
            </w:r>
            <w:r w:rsidRPr="004C2686">
              <w:rPr>
                <w:rFonts w:ascii="Times New Roman" w:eastAsia="Times New Roman" w:hAnsi="Times New Roman" w:cs="Times New Roman"/>
                <w:kern w:val="2"/>
                <w:lang w:eastAsia="en-US" w:bidi="ar-SA"/>
                <w14:ligatures w14:val="standardContextual"/>
              </w:rPr>
              <w:tab/>
              <w:t>Rodyti bendrą organizacijos duomenų sunaudojimą;</w:t>
            </w:r>
          </w:p>
          <w:p w14:paraId="56D567DF"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Rodyti likusį duomenų kiekį;</w:t>
            </w:r>
          </w:p>
          <w:p w14:paraId="53FEC641"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Teikti duomenų naudojimo statistiką ir ataskaitas.</w:t>
            </w:r>
          </w:p>
          <w:p w14:paraId="70088932"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Platforma privalo generuoti automatinius pranešimus:</w:t>
            </w:r>
          </w:p>
          <w:p w14:paraId="12843E59"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Pasiekus nustatytus duomenų naudojimo slenksčius;</w:t>
            </w:r>
          </w:p>
          <w:p w14:paraId="7658A77B"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Terminalui atsijungus nuo tinklo;</w:t>
            </w:r>
          </w:p>
          <w:p w14:paraId="421E2101"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Atsiradus sisteminiams pranešimams ar gedimams.</w:t>
            </w:r>
          </w:p>
          <w:p w14:paraId="18E4FF01"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Platforma privalo turėti vartotojų administravimo galimybę:</w:t>
            </w:r>
          </w:p>
          <w:p w14:paraId="24178276"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Palaikyti vartotojų ir jų teisių administravimą;</w:t>
            </w:r>
          </w:p>
          <w:p w14:paraId="34F4AC14"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Palaikyti skirtingus vaidmenis (roles);</w:t>
            </w:r>
          </w:p>
          <w:p w14:paraId="297A527C"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Registruoti aktyvius ir neaktyvius naudotojus.</w:t>
            </w:r>
          </w:p>
          <w:p w14:paraId="54BB2302"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Platforma privalo suteikti galimybę:</w:t>
            </w:r>
          </w:p>
          <w:p w14:paraId="2A3AD3E7"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Eksportuoti duomenis į XLSX arba lygiavertį formatą;</w:t>
            </w:r>
          </w:p>
          <w:p w14:paraId="2DE00608"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Eksportuoti Terminalų sąrašus;</w:t>
            </w:r>
          </w:p>
          <w:p w14:paraId="065434D4"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Eksportuoti duomenų naudojimo ataskaitas.</w:t>
            </w:r>
          </w:p>
          <w:p w14:paraId="677B6D46"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Bendri reikalavimai:</w:t>
            </w:r>
          </w:p>
          <w:p w14:paraId="051C027B"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Platforma turi būti pasiekiama ir naudojama per interneto naršyklę;</w:t>
            </w:r>
          </w:p>
          <w:p w14:paraId="1E97D950"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Duomenys turi būti atnaujinami realiu laiku;</w:t>
            </w:r>
          </w:p>
          <w:p w14:paraId="4278A77B" w14:textId="77777777" w:rsidR="004C2686" w:rsidRPr="004C2686"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Turi būti užtikrinta centralizuota visų Terminalų stebėsena ir administravimas;</w:t>
            </w:r>
          </w:p>
          <w:p w14:paraId="0956B959" w14:textId="29BDF639" w:rsidR="00B033FE" w:rsidRPr="00B033FE" w:rsidRDefault="004C2686" w:rsidP="004C2686">
            <w:pPr>
              <w:suppressAutoHyphens w:val="0"/>
              <w:autoSpaceDN/>
              <w:jc w:val="both"/>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w:t>
            </w:r>
            <w:r w:rsidRPr="004C2686">
              <w:rPr>
                <w:rFonts w:ascii="Times New Roman" w:eastAsia="Times New Roman" w:hAnsi="Times New Roman" w:cs="Times New Roman"/>
                <w:kern w:val="2"/>
                <w:lang w:eastAsia="en-US" w:bidi="ar-SA"/>
                <w14:ligatures w14:val="standardContextual"/>
              </w:rPr>
              <w:tab/>
              <w:t>Turi būti pateiktos licencijos, leidžiančios naudoti platformą ne trumpiau kaip 12 mėn.</w:t>
            </w:r>
          </w:p>
        </w:tc>
        <w:tc>
          <w:tcPr>
            <w:tcW w:w="6525" w:type="dxa"/>
            <w:tcBorders>
              <w:top w:val="single" w:sz="4" w:space="0" w:color="auto"/>
              <w:left w:val="single" w:sz="4" w:space="0" w:color="auto"/>
              <w:bottom w:val="single" w:sz="4" w:space="0" w:color="auto"/>
              <w:right w:val="single" w:sz="4" w:space="0" w:color="auto"/>
            </w:tcBorders>
          </w:tcPr>
          <w:p w14:paraId="5F114AF2" w14:textId="77777777" w:rsidR="00B033FE" w:rsidRPr="00B033FE" w:rsidRDefault="00B033FE" w:rsidP="00E16F3B">
            <w:pPr>
              <w:suppressAutoHyphens w:val="0"/>
              <w:autoSpaceDN/>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16A25802" w14:textId="77777777" w:rsidTr="00575836">
        <w:tc>
          <w:tcPr>
            <w:tcW w:w="571" w:type="dxa"/>
            <w:tcBorders>
              <w:top w:val="single" w:sz="4" w:space="0" w:color="auto"/>
              <w:left w:val="single" w:sz="4" w:space="0" w:color="auto"/>
              <w:bottom w:val="single" w:sz="4" w:space="0" w:color="auto"/>
              <w:right w:val="single" w:sz="4" w:space="0" w:color="auto"/>
            </w:tcBorders>
          </w:tcPr>
          <w:p w14:paraId="65BDB2B0" w14:textId="7708B54D"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9</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397CEE7E" w14:textId="3CEE1818" w:rsidR="00B033FE" w:rsidRPr="00B033FE" w:rsidRDefault="004C2686"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4C2686">
              <w:rPr>
                <w:rFonts w:ascii="Times New Roman" w:eastAsia="Times New Roman" w:hAnsi="Times New Roman" w:cs="Times New Roman"/>
                <w:kern w:val="2"/>
                <w:lang w:eastAsia="en-US" w:bidi="ar-SA"/>
                <w14:ligatures w14:val="standardContextual"/>
              </w:rPr>
              <w:t>Jungtys</w:t>
            </w:r>
          </w:p>
        </w:tc>
        <w:tc>
          <w:tcPr>
            <w:tcW w:w="5803" w:type="dxa"/>
            <w:tcBorders>
              <w:top w:val="single" w:sz="4" w:space="0" w:color="auto"/>
              <w:left w:val="single" w:sz="4" w:space="0" w:color="auto"/>
              <w:bottom w:val="single" w:sz="4" w:space="0" w:color="auto"/>
              <w:right w:val="single" w:sz="4" w:space="0" w:color="auto"/>
            </w:tcBorders>
          </w:tcPr>
          <w:p w14:paraId="26FC3CEA" w14:textId="77777777" w:rsidR="004C2686" w:rsidRPr="003A5639" w:rsidRDefault="004C2686" w:rsidP="004C2686">
            <w:pPr>
              <w:jc w:val="both"/>
              <w:rPr>
                <w:rFonts w:ascii="Times New Roman" w:hAnsi="Times New Roman" w:cs="Times New Roman"/>
              </w:rPr>
            </w:pPr>
            <w:r w:rsidRPr="003A5639">
              <w:rPr>
                <w:rFonts w:ascii="Times New Roman" w:hAnsi="Times New Roman" w:cs="Times New Roman"/>
              </w:rPr>
              <w:t>Sistema turi turėti lagamine integruotas, ne žemesnės kaip IP67 apsaugos klasės išorines jungtis, kurios būtų prieinamos neatidarius lagamino. Visos jungtys privalo būti veikiančios kaip Sistemos neatskiriama dalis:</w:t>
            </w:r>
          </w:p>
          <w:p w14:paraId="35B99308"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Kintamosios srovės maitinimo įėjimas (AC 230V INPUT) su 3 kontaktų aviacinio tipo arba lygiaverte jungtimi: ne mažiau kaip 1 vnt. Jungtis turi </w:t>
            </w:r>
            <w:r w:rsidRPr="003A5639">
              <w:rPr>
                <w:rFonts w:ascii="Times New Roman" w:hAnsi="Times New Roman" w:cs="Times New Roman"/>
              </w:rPr>
              <w:lastRenderedPageBreak/>
              <w:t>būti pritaikyta ne mažesnei kaip 16 A srovei, o sistemos maksimali suvartojama galia turi būti ne didesnė kaip 1000 W.</w:t>
            </w:r>
          </w:p>
          <w:p w14:paraId="2B4A7253"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Kintamosios srovės maitinimo išėjimas (AC 2</w:t>
            </w:r>
            <w:r>
              <w:rPr>
                <w:rFonts w:ascii="Times New Roman" w:hAnsi="Times New Roman" w:cs="Times New Roman"/>
              </w:rPr>
              <w:t>3</w:t>
            </w:r>
            <w:r w:rsidRPr="003A5639">
              <w:rPr>
                <w:rFonts w:ascii="Times New Roman" w:hAnsi="Times New Roman" w:cs="Times New Roman"/>
              </w:rPr>
              <w:t>0V OUTPUT): ne mažiau kaip 2 vnt. Pritaikyta ne mažesnei kaip 1200 W apkrovai.</w:t>
            </w:r>
          </w:p>
          <w:p w14:paraId="62109A84"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Sistemos įjungimo/išjungimo jungiklis (ON/OFF).</w:t>
            </w:r>
          </w:p>
          <w:p w14:paraId="320494EB"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Kintamosios srovės maitinimo išėjimo jungčių (AC 2</w:t>
            </w:r>
            <w:r>
              <w:rPr>
                <w:rFonts w:ascii="Times New Roman" w:hAnsi="Times New Roman" w:cs="Times New Roman"/>
              </w:rPr>
              <w:t>3</w:t>
            </w:r>
            <w:r w:rsidRPr="003A5639">
              <w:rPr>
                <w:rFonts w:ascii="Times New Roman" w:hAnsi="Times New Roman" w:cs="Times New Roman"/>
              </w:rPr>
              <w:t>0V OUTPUT) aktyvavimo jungiklis. Įjungus sistemą, AC OUTPUT jungtys turi likti neaktyvios, kol jos nėra aktyvuojamos atskiru šio jungiklio paspaudimu.</w:t>
            </w:r>
          </w:p>
          <w:p w14:paraId="74D1C27A"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Nuolatinės srovės maitinimo įėjimas (DC INPUT) su XT60 jungtimi: ne mažiau kaip 1 vnt. Skirtą 12-24 V nuolatinės srovės (DC) maitinimui, pritaikytą iki 10 A srovei (240W max.).</w:t>
            </w:r>
          </w:p>
          <w:p w14:paraId="2E1EAA9F"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RJ45 Gigabit Ethernet jungtis: ne mažiau kaip 4 vnt.</w:t>
            </w:r>
          </w:p>
          <w:p w14:paraId="6984699B" w14:textId="77777777" w:rsidR="004C2686" w:rsidRPr="003A5639" w:rsidRDefault="004C2686" w:rsidP="004C2686">
            <w:pPr>
              <w:pStyle w:val="Sraopastraipa"/>
              <w:numPr>
                <w:ilvl w:val="0"/>
                <w:numId w:val="10"/>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Optinio ryšio įėjimo jungtis, LC Duplex tipo, vienmodis (Single-Mode): ne mažiau kaip 1 vnt.</w:t>
            </w:r>
          </w:p>
          <w:p w14:paraId="17D442F7" w14:textId="77777777" w:rsidR="004C2686" w:rsidRPr="003A5639" w:rsidRDefault="004C2686" w:rsidP="004C2686">
            <w:pPr>
              <w:jc w:val="both"/>
              <w:rPr>
                <w:rFonts w:ascii="Times New Roman" w:hAnsi="Times New Roman" w:cs="Times New Roman"/>
              </w:rPr>
            </w:pPr>
          </w:p>
          <w:p w14:paraId="4519C789" w14:textId="77777777" w:rsidR="004C2686" w:rsidRPr="003A5639" w:rsidRDefault="004C2686" w:rsidP="004C2686">
            <w:pPr>
              <w:jc w:val="both"/>
              <w:rPr>
                <w:rFonts w:ascii="Times New Roman" w:hAnsi="Times New Roman" w:cs="Times New Roman"/>
              </w:rPr>
            </w:pPr>
            <w:r w:rsidRPr="003A5639">
              <w:rPr>
                <w:rFonts w:ascii="Times New Roman" w:hAnsi="Times New Roman" w:cs="Times New Roman"/>
              </w:rPr>
              <w:t>Visos išorinės Sistemos jungtys privalo turėti prie korpuso pritvirtintus (integruotus) IP67 apsauginius užsukamus arba kitus dangtelius su sandarinimo tarpinėmis.</w:t>
            </w:r>
          </w:p>
          <w:p w14:paraId="0908A964" w14:textId="77777777" w:rsidR="004C2686" w:rsidRPr="003A5639" w:rsidRDefault="004C2686" w:rsidP="004C2686">
            <w:pPr>
              <w:jc w:val="both"/>
              <w:rPr>
                <w:rFonts w:ascii="Times New Roman" w:hAnsi="Times New Roman" w:cs="Times New Roman"/>
              </w:rPr>
            </w:pPr>
          </w:p>
          <w:p w14:paraId="2C5713E8" w14:textId="77777777" w:rsidR="004C2686" w:rsidRPr="003A5639" w:rsidRDefault="004C2686" w:rsidP="004C2686">
            <w:pPr>
              <w:jc w:val="both"/>
              <w:rPr>
                <w:rFonts w:ascii="Times New Roman" w:hAnsi="Times New Roman" w:cs="Times New Roman"/>
              </w:rPr>
            </w:pPr>
            <w:r w:rsidRPr="003A5639">
              <w:rPr>
                <w:rFonts w:ascii="Times New Roman" w:hAnsi="Times New Roman" w:cs="Times New Roman"/>
              </w:rPr>
              <w:t>Visos į Sistemos korpusą integruotos išorinės maitinimo ir duomenų perdavimo jungtys privalo turėti fizinę apsaugą nuo klaidingo prijungimo. Skirtingos paskirties jungčių tipai ir kintamosios/nuolatinės srovės (AC/DC) įėjimai bei išėjimai privalo būti konstrukciškai skirtingi, kad būtų visiškai užkirstas kelias atsitiktiniam ne tam skirtų kabelių įkišimui ir galimam įrangos sugadinimui.</w:t>
            </w:r>
          </w:p>
          <w:p w14:paraId="23A37610" w14:textId="77777777" w:rsidR="004C2686" w:rsidRPr="003A5639" w:rsidRDefault="004C2686" w:rsidP="004C2686">
            <w:pPr>
              <w:jc w:val="both"/>
              <w:rPr>
                <w:rFonts w:ascii="Times New Roman" w:hAnsi="Times New Roman" w:cs="Times New Roman"/>
              </w:rPr>
            </w:pPr>
          </w:p>
          <w:p w14:paraId="50F501ED" w14:textId="77777777" w:rsidR="004C2686" w:rsidRPr="003A5639" w:rsidRDefault="004C2686" w:rsidP="004C2686">
            <w:pPr>
              <w:jc w:val="both"/>
              <w:rPr>
                <w:rFonts w:ascii="Times New Roman" w:hAnsi="Times New Roman" w:cs="Times New Roman"/>
              </w:rPr>
            </w:pPr>
            <w:r w:rsidRPr="003A5639">
              <w:rPr>
                <w:rFonts w:ascii="Times New Roman" w:hAnsi="Times New Roman" w:cs="Times New Roman"/>
              </w:rPr>
              <w:lastRenderedPageBreak/>
              <w:t>Prie kiekvienos išorinės jungties, jungiklio ir stebėsenos ekrano turi būti aiškus tekstinis ir grafinis žymėjimas lietuvių arba tarptautiniu mastu naudojamais anglų kalbos ženklais, nurodantis jungties paskirtį, maitinimo parametrus (įtampą ir srovę) bei prijungimo kryptį. (pvz., „MAITINIMO ĮĖJIMAS 230V AC“, „MAITINIMO IŠĖJIMAS 2</w:t>
            </w:r>
            <w:r>
              <w:rPr>
                <w:rFonts w:ascii="Times New Roman" w:hAnsi="Times New Roman" w:cs="Times New Roman"/>
              </w:rPr>
              <w:t>3</w:t>
            </w:r>
            <w:r w:rsidRPr="003A5639">
              <w:rPr>
                <w:rFonts w:ascii="Times New Roman" w:hAnsi="Times New Roman" w:cs="Times New Roman"/>
              </w:rPr>
              <w:t xml:space="preserve">0V AC“, „DUOMENYS / ETHERNET LAN“, „OPTIKA LC“, „SISTEMOS ĮJUNGIMAS“). </w:t>
            </w:r>
          </w:p>
          <w:p w14:paraId="6257D130" w14:textId="77777777" w:rsidR="004C2686" w:rsidRPr="003A5639" w:rsidRDefault="004C2686" w:rsidP="004C2686">
            <w:pPr>
              <w:jc w:val="both"/>
              <w:rPr>
                <w:rFonts w:ascii="Times New Roman" w:hAnsi="Times New Roman" w:cs="Times New Roman"/>
              </w:rPr>
            </w:pPr>
          </w:p>
          <w:p w14:paraId="5E011473" w14:textId="77777777" w:rsidR="004C2686" w:rsidRPr="003A5639" w:rsidRDefault="004C2686" w:rsidP="004C2686">
            <w:pPr>
              <w:jc w:val="both"/>
              <w:rPr>
                <w:rFonts w:ascii="Times New Roman" w:hAnsi="Times New Roman" w:cs="Times New Roman"/>
              </w:rPr>
            </w:pPr>
            <w:r w:rsidRPr="003A5639">
              <w:rPr>
                <w:rFonts w:ascii="Times New Roman" w:hAnsi="Times New Roman" w:cs="Times New Roman"/>
              </w:rPr>
              <w:t>Visi žymėjimai privalo būti atlikti atspariu aplinkos poveikiui būdu (laseriniu graviravimu, ultravioletiniams spinduliams (UV) ir trinčiai atspariomis pramoninėmis lentelėmis arba tiesioginiu spausdinimu ant korpuso), kad išliktų įskaitomi visą Sistemos eksploatavimo laikotarpį lauko sąlygomis.</w:t>
            </w:r>
          </w:p>
          <w:p w14:paraId="7036F37B" w14:textId="30EDADFF" w:rsidR="00B033FE" w:rsidRPr="00B033FE" w:rsidRDefault="00B033FE"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p>
        </w:tc>
        <w:tc>
          <w:tcPr>
            <w:tcW w:w="6525" w:type="dxa"/>
            <w:tcBorders>
              <w:top w:val="single" w:sz="4" w:space="0" w:color="auto"/>
              <w:left w:val="single" w:sz="4" w:space="0" w:color="auto"/>
              <w:bottom w:val="single" w:sz="4" w:space="0" w:color="auto"/>
              <w:right w:val="single" w:sz="4" w:space="0" w:color="auto"/>
            </w:tcBorders>
          </w:tcPr>
          <w:p w14:paraId="0727A2EF"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60FC440A" w14:textId="77777777" w:rsidTr="00575836">
        <w:tc>
          <w:tcPr>
            <w:tcW w:w="571" w:type="dxa"/>
            <w:tcBorders>
              <w:top w:val="single" w:sz="4" w:space="0" w:color="auto"/>
              <w:left w:val="single" w:sz="4" w:space="0" w:color="auto"/>
              <w:bottom w:val="single" w:sz="4" w:space="0" w:color="auto"/>
              <w:right w:val="single" w:sz="4" w:space="0" w:color="auto"/>
            </w:tcBorders>
          </w:tcPr>
          <w:p w14:paraId="6D170C81" w14:textId="3F4F18BF"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lastRenderedPageBreak/>
              <w:t>10</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2847B184" w14:textId="3D44A5B4"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Transportavimo lagaminas</w:t>
            </w:r>
          </w:p>
        </w:tc>
        <w:tc>
          <w:tcPr>
            <w:tcW w:w="5803" w:type="dxa"/>
            <w:tcBorders>
              <w:top w:val="single" w:sz="4" w:space="0" w:color="auto"/>
              <w:left w:val="single" w:sz="4" w:space="0" w:color="auto"/>
              <w:bottom w:val="single" w:sz="4" w:space="0" w:color="auto"/>
              <w:right w:val="single" w:sz="4" w:space="0" w:color="auto"/>
            </w:tcBorders>
          </w:tcPr>
          <w:p w14:paraId="18022C3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Lagamino apsaugos klasė (įskaitant išorines jungtis): ne mažesnė kaip IP67.</w:t>
            </w:r>
          </w:p>
          <w:p w14:paraId="2666CF5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Palydovinė antena turi būti integruota ir tinkamai pritvirtinta lagamino viduje, užtikrinant stabilų jos fiksavimą ir patikimą veikimą.</w:t>
            </w:r>
          </w:p>
          <w:p w14:paraId="512CE72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Bendras svoris (su visais vidiniais Sistemoje integruotais komponentais): ne daugiau nei 45 kg.;</w:t>
            </w:r>
          </w:p>
          <w:p w14:paraId="42AD16B1" w14:textId="0A34636E" w:rsidR="003B01AF" w:rsidRPr="003B01AF" w:rsidRDefault="003B01AF" w:rsidP="000D645D">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r>
            <w:r w:rsidR="000D645D" w:rsidRPr="000D645D">
              <w:rPr>
                <w:rFonts w:ascii="Times New Roman" w:eastAsiaTheme="minorHAnsi" w:hAnsi="Times New Roman" w:cs="Times New Roman"/>
                <w:kern w:val="2"/>
                <w:lang w:eastAsia="en-US" w:bidi="ar-SA"/>
                <w14:ligatures w14:val="standardContextual"/>
              </w:rPr>
              <w:t xml:space="preserve"> </w:t>
            </w:r>
            <w:r w:rsidR="000D645D" w:rsidRPr="000D645D">
              <w:rPr>
                <w:rFonts w:ascii="Times New Roman" w:eastAsia="Times New Roman" w:hAnsi="Times New Roman" w:cs="Times New Roman"/>
                <w:kern w:val="2"/>
                <w:lang w:eastAsia="en-US" w:bidi="ar-SA"/>
                <w14:ligatures w14:val="standardContextual"/>
              </w:rPr>
              <w:t>Išoriniai matmenys ne didesni kaip: ilgis iki 750 mm; plotis iki 650 mm; aukštis iki 350 mm (arba su ±5 % tolerancija)</w:t>
            </w:r>
            <w:r w:rsidR="000D645D">
              <w:rPr>
                <w:rFonts w:ascii="Times New Roman" w:eastAsia="Times New Roman" w:hAnsi="Times New Roman" w:cs="Times New Roman"/>
                <w:kern w:val="2"/>
                <w:lang w:eastAsia="en-US" w:bidi="ar-SA"/>
                <w14:ligatures w14:val="standardContextual"/>
              </w:rPr>
              <w:t>;</w:t>
            </w:r>
          </w:p>
          <w:p w14:paraId="054C556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Smūgiams atsparus korpusas;</w:t>
            </w:r>
          </w:p>
          <w:p w14:paraId="5C740BE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Transportavimo rankenos, ne mažiau kaip 3 vnt.;</w:t>
            </w:r>
          </w:p>
          <w:p w14:paraId="6AF8A5E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Teleskopinė / ištraukiama rankena, skirta lagaminui tempti ant integruotų ratukų;</w:t>
            </w:r>
          </w:p>
          <w:p w14:paraId="60028A94"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Lagamino uždarymo bei fiksavimo mechanizmas – privaloma;</w:t>
            </w:r>
          </w:p>
          <w:p w14:paraId="5C8B37FD"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 xml:space="preserve">Turi būti integruotos ne mažiau kaip 2 aktyvios aušinimo angos: </w:t>
            </w:r>
          </w:p>
          <w:p w14:paraId="63EFD82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lastRenderedPageBreak/>
              <w:t>-</w:t>
            </w:r>
            <w:r w:rsidRPr="003B01AF">
              <w:rPr>
                <w:rFonts w:ascii="Times New Roman" w:eastAsia="Times New Roman" w:hAnsi="Times New Roman" w:cs="Times New Roman"/>
                <w:kern w:val="2"/>
                <w:lang w:eastAsia="en-US" w:bidi="ar-SA"/>
                <w14:ligatures w14:val="standardContextual"/>
              </w:rPr>
              <w:tab/>
              <w:t xml:space="preserve">atskiras oro srautas energijos posistemei; </w:t>
            </w:r>
          </w:p>
          <w:p w14:paraId="0344119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atskiras oro srautas ryšio įrangai.</w:t>
            </w:r>
          </w:p>
          <w:p w14:paraId="65634A8F"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aušinimo angos privalo turėti apsauginius tinklelius arba filtrus, apsaugančius nuo vabzdžių ir kitų pašalinių dalelių patekimo.</w:t>
            </w:r>
          </w:p>
          <w:p w14:paraId="2D302A1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Aušinimo angos gali būti uždaromos / atidaromos rankiniu būdu; tokiu atveju IP67 reikalavimas aušinimo angoms netaikomas.</w:t>
            </w:r>
          </w:p>
          <w:p w14:paraId="6171EA25" w14:textId="1BC397BC" w:rsidR="00B033FE" w:rsidRPr="00B033FE" w:rsidRDefault="003B01AF" w:rsidP="00F173A4">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Aušinimo posistemė privalo turėti integruotą temperatūros daviklį ir automatinį ventiliatorių valdymą (termostatą), kuris įjungia aktyvų oro pūtimą vidinei temperatūrai viršijus +50 °C.</w:t>
            </w:r>
          </w:p>
        </w:tc>
        <w:tc>
          <w:tcPr>
            <w:tcW w:w="6525" w:type="dxa"/>
            <w:tcBorders>
              <w:top w:val="single" w:sz="4" w:space="0" w:color="auto"/>
              <w:left w:val="single" w:sz="4" w:space="0" w:color="auto"/>
              <w:bottom w:val="single" w:sz="4" w:space="0" w:color="auto"/>
              <w:right w:val="single" w:sz="4" w:space="0" w:color="auto"/>
            </w:tcBorders>
          </w:tcPr>
          <w:p w14:paraId="6A307B6F"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61215EB7" w14:textId="77777777" w:rsidTr="00575836">
        <w:tc>
          <w:tcPr>
            <w:tcW w:w="571" w:type="dxa"/>
            <w:tcBorders>
              <w:top w:val="single" w:sz="4" w:space="0" w:color="auto"/>
              <w:left w:val="single" w:sz="4" w:space="0" w:color="auto"/>
              <w:bottom w:val="single" w:sz="4" w:space="0" w:color="auto"/>
              <w:right w:val="single" w:sz="4" w:space="0" w:color="auto"/>
            </w:tcBorders>
          </w:tcPr>
          <w:p w14:paraId="48CB10FE" w14:textId="35B32860"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11</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3157C68D" w14:textId="5ECAAEAB"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Integruota palydovinio interneto antena</w:t>
            </w:r>
          </w:p>
        </w:tc>
        <w:tc>
          <w:tcPr>
            <w:tcW w:w="5803" w:type="dxa"/>
            <w:tcBorders>
              <w:top w:val="single" w:sz="4" w:space="0" w:color="auto"/>
              <w:left w:val="single" w:sz="4" w:space="0" w:color="auto"/>
              <w:bottom w:val="single" w:sz="4" w:space="0" w:color="auto"/>
              <w:right w:val="single" w:sz="4" w:space="0" w:color="auto"/>
            </w:tcBorders>
          </w:tcPr>
          <w:p w14:paraId="5C8F70C8"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Antenos tipas: elektroniniu būdu valdoma fazinė antena (phased array), be mechaninio antenos pozicionavimo.</w:t>
            </w:r>
          </w:p>
          <w:p w14:paraId="05E6923C"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Antena turi būti integruota ir tinkamai pritvirtinta lagamino dangčio vidinėje dalyje, užtikrinant stabilų jos fiksavimą ir patikimą veikimą.</w:t>
            </w:r>
          </w:p>
          <w:p w14:paraId="7984B8A6"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Antenos dangaus matymo laukas (Field of View): ne mažesnis kaip 140°.</w:t>
            </w:r>
          </w:p>
          <w:p w14:paraId="73ACA2A0"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Dažnių juosta: Ku/Ka arba lygiavertė dažnių juosta, tinkama palydoviniam plačiajuosčiam duomenų perdavimui.  </w:t>
            </w:r>
          </w:p>
          <w:p w14:paraId="40E7CABD"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Darbinė temperatūra: ne mažesnė kaip nuo -40 °C iki +60 °C. </w:t>
            </w:r>
          </w:p>
          <w:p w14:paraId="17597CD2"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Apsaugos klasė: ne mažesnė kaip IP68.</w:t>
            </w:r>
          </w:p>
          <w:p w14:paraId="5F1634B1"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Atsparumas aplinkos poveikiui: įranga turi būti pritaikyta darbui esant lietui, sniegui, ledui ir stipriam vėjui. </w:t>
            </w:r>
          </w:p>
          <w:p w14:paraId="71F0512D"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Atsparumas vėjui: ne mažesnis kaip 270 km/h. </w:t>
            </w:r>
          </w:p>
          <w:p w14:paraId="2B671440" w14:textId="77777777" w:rsidR="003B01AF" w:rsidRPr="003A5639" w:rsidRDefault="003B01AF" w:rsidP="003B01AF">
            <w:pPr>
              <w:pStyle w:val="Sraopastraipa"/>
              <w:numPr>
                <w:ilvl w:val="0"/>
                <w:numId w:val="11"/>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Maitinimas: 100–240 V AC, 50–60 Hz ir/arba DC maitinimas, tinkamas autonominiam naudojimui.</w:t>
            </w:r>
          </w:p>
          <w:p w14:paraId="2C809A1E" w14:textId="77777777" w:rsidR="003B01AF" w:rsidRPr="003A5639" w:rsidRDefault="003B01AF" w:rsidP="003B01AF">
            <w:pPr>
              <w:pStyle w:val="Sraopastraipa"/>
              <w:numPr>
                <w:ilvl w:val="0"/>
                <w:numId w:val="12"/>
              </w:numPr>
              <w:suppressAutoHyphens w:val="0"/>
              <w:autoSpaceDN/>
              <w:spacing w:after="0" w:line="259" w:lineRule="auto"/>
              <w:contextualSpacing/>
              <w:jc w:val="both"/>
              <w:textAlignment w:val="auto"/>
              <w:rPr>
                <w:rFonts w:ascii="Times New Roman" w:hAnsi="Times New Roman" w:cs="Times New Roman"/>
              </w:rPr>
            </w:pPr>
            <w:r w:rsidRPr="003A5639">
              <w:rPr>
                <w:rFonts w:ascii="Times New Roman" w:hAnsi="Times New Roman" w:cs="Times New Roman"/>
              </w:rPr>
              <w:t xml:space="preserve">Duomenų perdavimo sparta: </w:t>
            </w:r>
          </w:p>
          <w:p w14:paraId="5CA53395" w14:textId="77777777" w:rsidR="003B01AF" w:rsidRPr="003A5639" w:rsidRDefault="003B01AF" w:rsidP="003B01AF">
            <w:pPr>
              <w:ind w:left="720"/>
              <w:jc w:val="both"/>
              <w:rPr>
                <w:rFonts w:ascii="Times New Roman" w:hAnsi="Times New Roman" w:cs="Times New Roman"/>
              </w:rPr>
            </w:pPr>
            <w:r w:rsidRPr="003A5639">
              <w:rPr>
                <w:rFonts w:ascii="Times New Roman" w:hAnsi="Times New Roman" w:cs="Times New Roman"/>
              </w:rPr>
              <w:lastRenderedPageBreak/>
              <w:t xml:space="preserve">Parsisiuntimas (download) – iki 400 Mbps; </w:t>
            </w:r>
          </w:p>
          <w:p w14:paraId="0B4092A1" w14:textId="48B8CE4B" w:rsidR="00B033FE" w:rsidRP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A5639">
              <w:rPr>
                <w:rFonts w:ascii="Times New Roman" w:hAnsi="Times New Roman" w:cs="Times New Roman"/>
              </w:rPr>
              <w:t>Automatiniai programinės įrangos atnaujinimai.</w:t>
            </w:r>
          </w:p>
        </w:tc>
        <w:tc>
          <w:tcPr>
            <w:tcW w:w="6525" w:type="dxa"/>
            <w:tcBorders>
              <w:top w:val="single" w:sz="4" w:space="0" w:color="auto"/>
              <w:left w:val="single" w:sz="4" w:space="0" w:color="auto"/>
              <w:bottom w:val="single" w:sz="4" w:space="0" w:color="auto"/>
              <w:right w:val="single" w:sz="4" w:space="0" w:color="auto"/>
            </w:tcBorders>
          </w:tcPr>
          <w:p w14:paraId="4745F052"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22AB19D4" w14:textId="77777777" w:rsidTr="00575836">
        <w:tc>
          <w:tcPr>
            <w:tcW w:w="571" w:type="dxa"/>
            <w:tcBorders>
              <w:top w:val="single" w:sz="4" w:space="0" w:color="auto"/>
              <w:left w:val="single" w:sz="4" w:space="0" w:color="auto"/>
              <w:bottom w:val="single" w:sz="4" w:space="0" w:color="auto"/>
              <w:right w:val="single" w:sz="4" w:space="0" w:color="auto"/>
            </w:tcBorders>
          </w:tcPr>
          <w:p w14:paraId="583B8605" w14:textId="1D8A3D5A"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12</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7E914B19" w14:textId="1E610733"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Maršrutizatoriaus posistemė</w:t>
            </w:r>
          </w:p>
        </w:tc>
        <w:tc>
          <w:tcPr>
            <w:tcW w:w="5803" w:type="dxa"/>
            <w:tcBorders>
              <w:top w:val="single" w:sz="4" w:space="0" w:color="auto"/>
              <w:left w:val="single" w:sz="4" w:space="0" w:color="auto"/>
              <w:bottom w:val="single" w:sz="4" w:space="0" w:color="auto"/>
              <w:right w:val="single" w:sz="4" w:space="0" w:color="auto"/>
            </w:tcBorders>
          </w:tcPr>
          <w:p w14:paraId="4BAF4BA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Maršrutizatoriaus tipas: Wi-Fi maršrutizatorius, suderinamas ir sujungtas su komplekte naudojama palydovine antena ir jos maitinimo sistema.</w:t>
            </w:r>
          </w:p>
          <w:p w14:paraId="1EF736C4"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Maršrutizatorius turi būti integruotas ir tinkamai pritvirtintas lagamino viduje, užtikrinant stabilų jo fiksavimą ir patikimą veikimą.</w:t>
            </w:r>
          </w:p>
          <w:p w14:paraId="0CFCCDE8"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Wi-Fi standartai: IEEE 802.11a/b/g/n/ac/ax, Wi-Fi 6 arba lygiavertis.</w:t>
            </w:r>
          </w:p>
          <w:p w14:paraId="5973E27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Dažnių juostos: 2,4 GHz ir 5 GHz, tri-band.</w:t>
            </w:r>
          </w:p>
          <w:p w14:paraId="4DC30CD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MIMO: ne mažiau kaip 4×4 MU-MIMO.</w:t>
            </w:r>
          </w:p>
          <w:p w14:paraId="4ED0CE14"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Ethernet jungtys: ne mažiau kaip 2 × RJ45 Ethernet LAN prievadai.</w:t>
            </w:r>
          </w:p>
          <w:p w14:paraId="3B7EA8A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Vienas LAN prievadas turi būti skirtas optinio ryšio sprendimui, kitas - vidiniam komutatoriui 4 vnt. RJ45 jungčių išvedimui lagamino korpuse.</w:t>
            </w:r>
          </w:p>
          <w:p w14:paraId="05193B9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WAN jungtis: turi būti numatyta Ethernet jungtis duomenų perdavimui iš palydovinės antenos sistemos. WAN jungtis turi palaikyti duomenų perdavimą ir, jei numatyta komplekte naudojamoje sistemoje, maršrutizatoriaus maitinimą per Ethernet (PoE) jungtį.</w:t>
            </w:r>
          </w:p>
          <w:p w14:paraId="3410657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Wi-Fi saugumas: ne žemesnis kaip WPA2.</w:t>
            </w:r>
          </w:p>
          <w:p w14:paraId="7411CDB0"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Darbinė temperatūra: ne mažesnė kaip nuo -30 °C iki +50 °C.</w:t>
            </w:r>
          </w:p>
          <w:p w14:paraId="6A0CC70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Apsaugos klasė: ne mažesnė kaip IP56 arba lygiavertė apsauga nuo aplinkos poveikio.</w:t>
            </w:r>
          </w:p>
          <w:p w14:paraId="073B6B20"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Maksimalus prijungiamų įrenginių skaičius: ne mažiau kaip 235 įrenginių.</w:t>
            </w:r>
          </w:p>
          <w:p w14:paraId="0D89647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Mesh funkcija: turi būti palaikomas belaidžio tinklo išplėtimas naudojant suderinamus papildomus Wi-Fi prieigos taškus / Mesh įrenginius.</w:t>
            </w:r>
          </w:p>
          <w:p w14:paraId="6AE0321F"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Automatiniai programinės įrangos atnaujinimai.</w:t>
            </w:r>
          </w:p>
          <w:p w14:paraId="35EFC9FF"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lastRenderedPageBreak/>
              <w:t>•</w:t>
            </w:r>
            <w:r w:rsidRPr="003B01AF">
              <w:rPr>
                <w:rFonts w:ascii="Times New Roman" w:eastAsia="Times New Roman" w:hAnsi="Times New Roman" w:cs="Times New Roman"/>
                <w:kern w:val="2"/>
                <w:lang w:eastAsia="en-US" w:bidi="ar-SA"/>
                <w14:ligatures w14:val="standardContextual"/>
              </w:rPr>
              <w:tab/>
              <w:t>Maitinimas: maršrutizatorius turi būti maitinamas iš komplekte naudojamos palydovinės antenos maitinimo sistemos per Ethernet/PoE jungtį arba lygiaverčiu būdu, nenaudojant atskiro elektros maitinimo šaltinio.</w:t>
            </w:r>
          </w:p>
          <w:p w14:paraId="4B25037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Suderinamumas: maršrutizatorius, palydovinė antena ir jos maitinimo sistema turi sudaryti tarpusavyje suderinamą ir pilnai funkcionuojantį sprendimą, užtikrinantį duomenų perdavimą į laidinius ir belaidžius galinius įrenginius.</w:t>
            </w:r>
          </w:p>
          <w:p w14:paraId="06CBDEC1" w14:textId="6603DA07" w:rsidR="00B033FE" w:rsidRP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Galimybė keisti maršrutizatorių neardant pagrindinės sistemos.</w:t>
            </w:r>
          </w:p>
        </w:tc>
        <w:tc>
          <w:tcPr>
            <w:tcW w:w="6525" w:type="dxa"/>
            <w:tcBorders>
              <w:top w:val="single" w:sz="4" w:space="0" w:color="auto"/>
              <w:left w:val="single" w:sz="4" w:space="0" w:color="auto"/>
              <w:bottom w:val="single" w:sz="4" w:space="0" w:color="auto"/>
              <w:right w:val="single" w:sz="4" w:space="0" w:color="auto"/>
            </w:tcBorders>
          </w:tcPr>
          <w:p w14:paraId="562D4B35"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6950CF93" w14:textId="77777777" w:rsidTr="00575836">
        <w:tc>
          <w:tcPr>
            <w:tcW w:w="571" w:type="dxa"/>
            <w:tcBorders>
              <w:top w:val="single" w:sz="4" w:space="0" w:color="auto"/>
              <w:left w:val="single" w:sz="4" w:space="0" w:color="auto"/>
              <w:bottom w:val="single" w:sz="4" w:space="0" w:color="auto"/>
              <w:right w:val="single" w:sz="4" w:space="0" w:color="auto"/>
            </w:tcBorders>
          </w:tcPr>
          <w:p w14:paraId="190AB13C" w14:textId="183D285C"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13</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4A3E0EC2" w14:textId="44815BBA"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Integruota energijos kaupimo sistema</w:t>
            </w:r>
          </w:p>
        </w:tc>
        <w:tc>
          <w:tcPr>
            <w:tcW w:w="5803" w:type="dxa"/>
            <w:tcBorders>
              <w:top w:val="single" w:sz="4" w:space="0" w:color="auto"/>
              <w:left w:val="single" w:sz="4" w:space="0" w:color="auto"/>
              <w:bottom w:val="single" w:sz="4" w:space="0" w:color="auto"/>
              <w:right w:val="single" w:sz="4" w:space="0" w:color="auto"/>
            </w:tcBorders>
          </w:tcPr>
          <w:p w14:paraId="73513508"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Komplekte turi būti integruota ličio geležies fosfatinis (LiFePO₄) arba lygiavertės technologijos baterija.</w:t>
            </w:r>
          </w:p>
          <w:p w14:paraId="0D6C7443"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Baterijos modulis turi būti suprojektuotas kaip savarankiškai pakeičiamas mazgas. Baterijos keitimui atlikti neturi būti reikalaujama specialių gamintojo įrankių ar programinės įrangos autorizacijos. Pakeitimas turi būti atliekamas naudojant standartinius šaltkalvystės įrankius, atsukant modulio tvirtinimo elementus ir atjungiant greitojo jungimo / saugias elektrines jungtis (pvz., pramonines srovinės jungtis), siunčiant įrangą remontui tik tuo atveju, jei sugedo kiti mazgai.</w:t>
            </w:r>
          </w:p>
          <w:p w14:paraId="14B4E7A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Tiekėjas instrukcijoje privalo pateikti aiškią procedūrą ir schemą, kaip saugiai išimti ir pakeisti baterijos modulį iš Sistemos lauko arba dirbtuvių sąlygomis.</w:t>
            </w:r>
          </w:p>
          <w:p w14:paraId="7B28168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Baterijos modulis privalo būti talpinamas atskirame apsauginiame dėkle / skyriuje, integruotame į vidinį lagamino rėmą, apsaugančiame bateriją nuo tiesioginių mechaninių smūgių, vibracijos ir skysčių patekimo iš kitų lagamino sekcijų.</w:t>
            </w:r>
          </w:p>
          <w:p w14:paraId="4BF46A7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Minimalūs parametrai:</w:t>
            </w:r>
          </w:p>
          <w:p w14:paraId="7AA45C9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naudingoji talpa ne mažesnė kaip 1024 Wh (20Ah / 51.2V);</w:t>
            </w:r>
          </w:p>
          <w:p w14:paraId="0E803FF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lastRenderedPageBreak/>
              <w:t>•</w:t>
            </w:r>
            <w:r w:rsidRPr="003B01AF">
              <w:rPr>
                <w:rFonts w:ascii="Times New Roman" w:eastAsia="Times New Roman" w:hAnsi="Times New Roman" w:cs="Times New Roman"/>
                <w:kern w:val="2"/>
                <w:lang w:eastAsia="en-US" w:bidi="ar-SA"/>
                <w14:ligatures w14:val="standardContextual"/>
              </w:rPr>
              <w:tab/>
              <w:t>baterijos ciklų skaičius ne mažesnis kaip 3000 ciklų;</w:t>
            </w:r>
          </w:p>
          <w:p w14:paraId="69234C3C"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integruota BMS (baterijos valdymo sistema) apsaugos sistema nuo:</w:t>
            </w:r>
          </w:p>
          <w:p w14:paraId="0A3081A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perkrovos;</w:t>
            </w:r>
          </w:p>
          <w:p w14:paraId="01EA8DB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gilaus iškrovimo;</w:t>
            </w:r>
          </w:p>
          <w:p w14:paraId="1E4B086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trumpojo jungimo;</w:t>
            </w:r>
          </w:p>
          <w:p w14:paraId="3F8E6BB4"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perkaitimo;</w:t>
            </w:r>
          </w:p>
          <w:p w14:paraId="55C6B4C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viršįtampio.</w:t>
            </w:r>
          </w:p>
          <w:p w14:paraId="43120EB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Nominali išėjimo galia:</w:t>
            </w:r>
          </w:p>
          <w:p w14:paraId="26CB1C7C"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1200 W.</w:t>
            </w:r>
          </w:p>
          <w:p w14:paraId="591075A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Maksimali išėjimo galia:</w:t>
            </w:r>
          </w:p>
          <w:p w14:paraId="677E286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3000 W.</w:t>
            </w:r>
          </w:p>
          <w:p w14:paraId="6DE12C7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Baterijos BMS valdiklis privalo turėti apsaugą nuo įkrovimo neigiamoje temperatūroje (Low-Temperature Charge Cut-off).</w:t>
            </w:r>
          </w:p>
          <w:p w14:paraId="49C8F8A6" w14:textId="7272E542" w:rsidR="00B033FE" w:rsidRP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Energijos kaupimo sistema privalo palaikyti nepertraukiamą „Pass-through“ įkrovimą ir maitinimą (UPS funkcija) – t.y. prijungus išorinį 230V AC arba 12V DC šaltinį, sistema turi vienu metu maitinti vidinius komponentus ir krauti bateriją.</w:t>
            </w:r>
          </w:p>
        </w:tc>
        <w:tc>
          <w:tcPr>
            <w:tcW w:w="6525" w:type="dxa"/>
            <w:tcBorders>
              <w:top w:val="single" w:sz="4" w:space="0" w:color="auto"/>
              <w:left w:val="single" w:sz="4" w:space="0" w:color="auto"/>
              <w:bottom w:val="single" w:sz="4" w:space="0" w:color="auto"/>
              <w:right w:val="single" w:sz="4" w:space="0" w:color="auto"/>
            </w:tcBorders>
          </w:tcPr>
          <w:p w14:paraId="3DF7DFC8"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3DC119EB" w14:textId="77777777" w:rsidTr="00575836">
        <w:tc>
          <w:tcPr>
            <w:tcW w:w="571" w:type="dxa"/>
            <w:tcBorders>
              <w:top w:val="single" w:sz="4" w:space="0" w:color="auto"/>
              <w:left w:val="single" w:sz="4" w:space="0" w:color="auto"/>
              <w:bottom w:val="single" w:sz="4" w:space="0" w:color="auto"/>
              <w:right w:val="single" w:sz="4" w:space="0" w:color="auto"/>
            </w:tcBorders>
          </w:tcPr>
          <w:p w14:paraId="5C382506" w14:textId="50916A2E"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14</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70F14339" w14:textId="76C7F116"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Interneto ryšio paslaugos planas (abonementas)</w:t>
            </w:r>
          </w:p>
        </w:tc>
        <w:tc>
          <w:tcPr>
            <w:tcW w:w="5803" w:type="dxa"/>
            <w:tcBorders>
              <w:top w:val="single" w:sz="4" w:space="0" w:color="auto"/>
              <w:left w:val="single" w:sz="4" w:space="0" w:color="auto"/>
              <w:bottom w:val="single" w:sz="4" w:space="0" w:color="auto"/>
              <w:right w:val="single" w:sz="4" w:space="0" w:color="auto"/>
            </w:tcBorders>
          </w:tcPr>
          <w:p w14:paraId="30A1C79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Bendras duomenų kiekis: ne mažiau kaip 20 TB per metus (dalijamas „Pool Data“ duomenų paketas). Duomenų paketas skirtas bendrai naudoti visam perkamam Terminalų kiekiui (palydovinio interneto antena, maršrutizatorius, maitinimo įranga ir kiti ryšio tiekimo komponentai esantys Sistemoje). Duomenys nėra priskiriami konkretiems Terminalams, visas duomenų kiekis naudojamas bendrai.</w:t>
            </w:r>
          </w:p>
          <w:p w14:paraId="497320F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 xml:space="preserve">Tiekėjas privalo užtikrinti galimybę Perkančiajai organizacijai sutarties galiojimo metu operatyviai įsigyti papildomus prioritetinių duomenų paketus (GB arba TB </w:t>
            </w:r>
            <w:r w:rsidRPr="003B01AF">
              <w:rPr>
                <w:rFonts w:ascii="Times New Roman" w:eastAsia="Times New Roman" w:hAnsi="Times New Roman" w:cs="Times New Roman"/>
                <w:kern w:val="2"/>
                <w:lang w:eastAsia="en-US" w:bidi="ar-SA"/>
                <w14:ligatures w14:val="standardContextual"/>
              </w:rPr>
              <w:lastRenderedPageBreak/>
              <w:t>tikslumu), jei bendras 20 TB „Pool Data“ duomenų paketas išnaudojamas nepasibaigus 12 mėnesių paslaugos teikimo laikotarpiui.</w:t>
            </w:r>
          </w:p>
          <w:p w14:paraId="60C431D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Paslaugos tipas: verslo klasės arba lygiavertis.</w:t>
            </w:r>
          </w:p>
          <w:p w14:paraId="61B7FE7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Prioritetinis srautas – privalomas.</w:t>
            </w:r>
          </w:p>
          <w:p w14:paraId="6AA9BF0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Pasiekiamumas (SLA): ne mažiau kaip 99%.</w:t>
            </w:r>
          </w:p>
          <w:p w14:paraId="0D130275"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Paslauga turi apimti Terminalo aktyvavimą, prijungimą prie palydovinio interneto ryšio tinklo ir jo nuolatinį administravimą.</w:t>
            </w:r>
          </w:p>
          <w:p w14:paraId="2D5206D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Tiekėjas turi užtikrinti galimybę administruoti Terminalą per gamintojo arba paslaugos teikėjo administravimo platformą ir turėti teisę (autorizaciją) administruoti siūlomus Terminalus ne trumpiau nei 12 mėn. laikotarpiui.</w:t>
            </w:r>
          </w:p>
          <w:p w14:paraId="3EDD32C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Paslaugos teikimo laikotarpiu Terminalui turi būti užtikrinama galimybė naudotis gamintojo teikiamais programinės įrangos atnaujinimais, jeigu jie yra numatyti gamintojo.</w:t>
            </w:r>
          </w:p>
          <w:p w14:paraId="46F10F5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Tiekėjas privalo užtikrinti Terminalų administravimo ir techninės pagalbos paslaugą lietuvių arba anglų kalba darbo valandomis. Paslauga atliekama elektroniniu paštu arba telefonu.</w:t>
            </w:r>
          </w:p>
          <w:p w14:paraId="2B980BB6" w14:textId="77777777" w:rsid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r>
            <w:r w:rsidR="003E0F63" w:rsidRPr="003E0F63">
              <w:rPr>
                <w:rFonts w:ascii="Times New Roman" w:eastAsia="Times New Roman" w:hAnsi="Times New Roman" w:cs="Times New Roman"/>
                <w:kern w:val="2"/>
                <w:lang w:eastAsia="en-US" w:bidi="ar-SA"/>
                <w14:ligatures w14:val="standardContextual"/>
              </w:rPr>
              <w:t>Tiekėjas turi turėti teisę tiekti siūlomą palydovinio interneto ryšio įrangą ir jai skirtus siūlomus duomenų planus (paslaugas) Lietuvos Respublikos teritorijoje (būti gamintojo arba jo įgalioto atstovo partneriu / platintoju arba pateikti kitus lygiaverčius įrodymus, patvirtinančius teisėtą įrangos bei paslaugų tiekimą, paslaugų aktyvavimą ir garantinių įsipareigojimų užtikrinimą).</w:t>
            </w:r>
          </w:p>
          <w:p w14:paraId="72ACDF0F" w14:textId="6B9AB811" w:rsidR="002F0E21" w:rsidRPr="00B033FE" w:rsidRDefault="002F0E21" w:rsidP="002F0E21">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2F0E21">
              <w:rPr>
                <w:rFonts w:ascii="Times New Roman" w:eastAsia="Times New Roman" w:hAnsi="Times New Roman" w:cs="Times New Roman"/>
                <w:kern w:val="2"/>
                <w:lang w:eastAsia="en-US" w:bidi="ar-SA"/>
                <w14:ligatures w14:val="standardContextual"/>
              </w:rPr>
              <w:t>•</w:t>
            </w:r>
            <w:r w:rsidRPr="002F0E21">
              <w:rPr>
                <w:rFonts w:ascii="Times New Roman" w:eastAsia="Times New Roman" w:hAnsi="Times New Roman" w:cs="Times New Roman"/>
                <w:kern w:val="2"/>
                <w:lang w:eastAsia="en-US" w:bidi="ar-SA"/>
                <w14:ligatures w14:val="standardContextual"/>
              </w:rPr>
              <w:tab/>
              <w:t>12 mėnesių interneto ryšio paslaugos plano (abonemento) bei centralizuotos valdymo platformos licencijų galiojimo terminas pradedamas skaičiuoti nuo galutinio Prekių perdavimo–priėmimo akto pasirašymo dienos, kai visa įranga yra pristatyta, patikrinta ir paruošta eksploata</w:t>
            </w:r>
            <w:r w:rsidRPr="002F0E21">
              <w:rPr>
                <w:rFonts w:ascii="Times New Roman" w:eastAsia="Times New Roman" w:hAnsi="Times New Roman" w:cs="Times New Roman"/>
                <w:kern w:val="2"/>
                <w:lang w:eastAsia="en-US" w:bidi="ar-SA"/>
                <w14:ligatures w14:val="standardContextual"/>
              </w:rPr>
              <w:lastRenderedPageBreak/>
              <w:t>cijai. Paslaugos ir licencijos aktyvuojamos galutinio įrangos perdavimo momentu. Tiekėjui draudžiama skaičiuoti paslaugų bei licencijų teikimo terminą iki galutinio Prekių perdavimo–priėmimo akto pasirašymo dienos</w:t>
            </w:r>
            <w:r>
              <w:rPr>
                <w:rFonts w:ascii="Times New Roman" w:eastAsia="Times New Roman" w:hAnsi="Times New Roman" w:cs="Times New Roman"/>
                <w:kern w:val="2"/>
                <w:lang w:eastAsia="en-US" w:bidi="ar-SA"/>
                <w14:ligatures w14:val="standardContextual"/>
              </w:rPr>
              <w:t>.</w:t>
            </w:r>
          </w:p>
        </w:tc>
        <w:tc>
          <w:tcPr>
            <w:tcW w:w="6525" w:type="dxa"/>
            <w:tcBorders>
              <w:top w:val="single" w:sz="4" w:space="0" w:color="auto"/>
              <w:left w:val="single" w:sz="4" w:space="0" w:color="auto"/>
              <w:bottom w:val="single" w:sz="4" w:space="0" w:color="auto"/>
              <w:right w:val="single" w:sz="4" w:space="0" w:color="auto"/>
            </w:tcBorders>
          </w:tcPr>
          <w:p w14:paraId="6CF63E4E"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071DCC06" w14:textId="77777777" w:rsidTr="00575836">
        <w:tc>
          <w:tcPr>
            <w:tcW w:w="571" w:type="dxa"/>
            <w:tcBorders>
              <w:top w:val="single" w:sz="4" w:space="0" w:color="auto"/>
              <w:left w:val="single" w:sz="4" w:space="0" w:color="auto"/>
              <w:bottom w:val="single" w:sz="4" w:space="0" w:color="auto"/>
              <w:right w:val="single" w:sz="4" w:space="0" w:color="auto"/>
            </w:tcBorders>
          </w:tcPr>
          <w:p w14:paraId="340C0F48" w14:textId="1B67F8A8"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lastRenderedPageBreak/>
              <w:t>15</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4DB31EDD" w14:textId="3807DB4E"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Maitinimo, duomenų kabeliai ir kita įranga</w:t>
            </w:r>
          </w:p>
        </w:tc>
        <w:tc>
          <w:tcPr>
            <w:tcW w:w="5803" w:type="dxa"/>
            <w:tcBorders>
              <w:top w:val="single" w:sz="4" w:space="0" w:color="auto"/>
              <w:left w:val="single" w:sz="4" w:space="0" w:color="auto"/>
              <w:bottom w:val="single" w:sz="4" w:space="0" w:color="auto"/>
              <w:right w:val="single" w:sz="4" w:space="0" w:color="auto"/>
            </w:tcBorders>
          </w:tcPr>
          <w:p w14:paraId="79EAF61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AC sistemos maitinimo kabelis</w:t>
            </w:r>
          </w:p>
          <w:p w14:paraId="45F0313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Ilgis: ne mažiau kaip 1,5 m;</w:t>
            </w:r>
          </w:p>
          <w:p w14:paraId="2A9CE8D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Įtampa: 230 V AC;</w:t>
            </w:r>
          </w:p>
          <w:p w14:paraId="609E56FA" w14:textId="77777777" w:rsid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Tinkamas Sistemos pajungimui.</w:t>
            </w:r>
          </w:p>
          <w:p w14:paraId="1F7AE459"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p w14:paraId="357B95DA" w14:textId="17C3EBB9"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12V į DC maitinimo kabelis</w:t>
            </w:r>
          </w:p>
          <w:p w14:paraId="6130AEA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Ilgis: ne mažiau kaip 1,5 m;</w:t>
            </w:r>
          </w:p>
          <w:p w14:paraId="23A90A1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Apsauga: nuo perkrovos, trumpo jungimo ir gilaus baterijos iškrovimo – privaloma (ši apsauga gali būti realizuota per Sistemoje esantį maitinimo bloką);</w:t>
            </w:r>
          </w:p>
          <w:p w14:paraId="26F4205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Galimybė krauti Sistemos bateriją tiesiogiai nuo automobilio 12V jungties – privaloma;</w:t>
            </w:r>
          </w:p>
          <w:p w14:paraId="7E8A891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Suderinamumas su Sistema – privalomas;</w:t>
            </w:r>
          </w:p>
          <w:p w14:paraId="23BA3A7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DC jungtis – XT60.</w:t>
            </w:r>
          </w:p>
          <w:p w14:paraId="697FA0A0"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p w14:paraId="60421515" w14:textId="00D573B1"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RJ45 į LC media konverteris</w:t>
            </w:r>
          </w:p>
          <w:p w14:paraId="622FA33D"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suderinamumas su visa Sistema  – privalomas;</w:t>
            </w:r>
          </w:p>
          <w:p w14:paraId="5896487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1 x RJ45 1000Base-T;</w:t>
            </w:r>
          </w:p>
          <w:p w14:paraId="1867710D"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1 x SFP lizdas;</w:t>
            </w:r>
          </w:p>
          <w:p w14:paraId="5368B572"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1 Gbps pralaidumas;</w:t>
            </w:r>
          </w:p>
          <w:p w14:paraId="7305B951" w14:textId="77777777" w:rsid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viduje lagamino (siūlomos Sistemos) turi būti numatyta vieta transportavimui.</w:t>
            </w:r>
          </w:p>
          <w:p w14:paraId="0856B11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p w14:paraId="3DA34FA3" w14:textId="59B9CF5E"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SFP modulis</w:t>
            </w:r>
          </w:p>
          <w:p w14:paraId="3D32F9C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suderinamumas su visa Sistema  – privalomas;</w:t>
            </w:r>
          </w:p>
          <w:p w14:paraId="67A43D46"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ne mažiau kaip 1000BASE-LX;</w:t>
            </w:r>
          </w:p>
          <w:p w14:paraId="22CF904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LC duplex jungtis;</w:t>
            </w:r>
          </w:p>
          <w:p w14:paraId="0FDFCD1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Vienmodės (angl. Single-mode) optikos palaikymas;</w:t>
            </w:r>
          </w:p>
          <w:p w14:paraId="17CAB8A8"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veikimo nuotolis: ne mažesnis kaip 10 km.</w:t>
            </w:r>
          </w:p>
          <w:p w14:paraId="571AB05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lastRenderedPageBreak/>
              <w:t>•</w:t>
            </w:r>
            <w:r w:rsidRPr="003B01AF">
              <w:rPr>
                <w:rFonts w:ascii="Times New Roman" w:eastAsia="Times New Roman" w:hAnsi="Times New Roman" w:cs="Times New Roman"/>
                <w:kern w:val="2"/>
                <w:lang w:eastAsia="en-US" w:bidi="ar-SA"/>
                <w14:ligatures w14:val="standardContextual"/>
              </w:rPr>
              <w:tab/>
              <w:t>viduje lagamino (siūlomos Sistemos) turi būti numatyta vieta transportavimui.</w:t>
            </w:r>
          </w:p>
          <w:p w14:paraId="35EBD2FF"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p w14:paraId="330A4EDD" w14:textId="11328234"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Optinis kabelis</w:t>
            </w:r>
          </w:p>
          <w:p w14:paraId="2D80400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Tipas: vienmodis (angl. Single-mode);</w:t>
            </w:r>
          </w:p>
          <w:p w14:paraId="2C258B9D"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Ilgis: ne mažiau kaip 150 metrų;</w:t>
            </w:r>
          </w:p>
          <w:p w14:paraId="3769C08E"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Jungtys: LC/UPC – LC/UPC;</w:t>
            </w:r>
          </w:p>
          <w:p w14:paraId="6F0CDC1A"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Konstrukcija: armuotas (armored) Duplex OS2;</w:t>
            </w:r>
          </w:p>
          <w:p w14:paraId="5B64CD73"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Suderinamumas su Sistemoje integruotais SFP moduliais – privalomas;</w:t>
            </w:r>
          </w:p>
          <w:p w14:paraId="452AA64B"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Optinis kabelis turi būti suvyniotas ant būgno.</w:t>
            </w:r>
          </w:p>
          <w:p w14:paraId="6BB3D8BA" w14:textId="103A6C35" w:rsidR="00B033FE" w:rsidRP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150 m optinio kabelio būgnas komplektuojamas ir transportuojamas atskirai, kad pats pagrindinis ryšio lagaminas (Sistema) neviršytų nurodytų svorio ribojimų.</w:t>
            </w:r>
          </w:p>
        </w:tc>
        <w:tc>
          <w:tcPr>
            <w:tcW w:w="6525" w:type="dxa"/>
            <w:tcBorders>
              <w:top w:val="single" w:sz="4" w:space="0" w:color="auto"/>
              <w:left w:val="single" w:sz="4" w:space="0" w:color="auto"/>
              <w:bottom w:val="single" w:sz="4" w:space="0" w:color="auto"/>
              <w:right w:val="single" w:sz="4" w:space="0" w:color="auto"/>
            </w:tcBorders>
          </w:tcPr>
          <w:p w14:paraId="6D8E4C9B"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r w:rsidR="00B033FE" w:rsidRPr="00B033FE" w14:paraId="5C4200BF" w14:textId="77777777" w:rsidTr="00575836">
        <w:tc>
          <w:tcPr>
            <w:tcW w:w="571" w:type="dxa"/>
            <w:tcBorders>
              <w:top w:val="single" w:sz="4" w:space="0" w:color="auto"/>
              <w:left w:val="single" w:sz="4" w:space="0" w:color="auto"/>
              <w:bottom w:val="single" w:sz="4" w:space="0" w:color="auto"/>
              <w:right w:val="single" w:sz="4" w:space="0" w:color="auto"/>
            </w:tcBorders>
          </w:tcPr>
          <w:p w14:paraId="1D28C372" w14:textId="4D43DBB8"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t>16</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3FDEA7E8" w14:textId="7E659EB6"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Belaidžio tinklo maršrutizatorius su integruotu 5G modemu ir ugniasiene</w:t>
            </w:r>
          </w:p>
        </w:tc>
        <w:tc>
          <w:tcPr>
            <w:tcW w:w="5803" w:type="dxa"/>
            <w:tcBorders>
              <w:top w:val="single" w:sz="4" w:space="0" w:color="auto"/>
              <w:left w:val="single" w:sz="4" w:space="0" w:color="auto"/>
              <w:bottom w:val="single" w:sz="4" w:space="0" w:color="auto"/>
              <w:right w:val="single" w:sz="4" w:space="0" w:color="auto"/>
            </w:tcBorders>
          </w:tcPr>
          <w:p w14:paraId="4EC4206A" w14:textId="77777777" w:rsidR="008E4C79" w:rsidRPr="008E4C79" w:rsidRDefault="008E4C79" w:rsidP="008E4C79">
            <w:pPr>
              <w:numPr>
                <w:ilvl w:val="0"/>
                <w:numId w:val="13"/>
              </w:num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Konstrukcija ir komplektavimas: </w:t>
            </w:r>
          </w:p>
          <w:p w14:paraId="551C6DA8" w14:textId="4CD6D479"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Įrangos elektros maitinimas turi būti ~230 V, 50 Hz.</w:t>
            </w:r>
          </w:p>
          <w:p w14:paraId="3EA79621"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turėti ne mažiau kaip 5 10/100/1000  Base-T Ethernet prievadus.</w:t>
            </w:r>
          </w:p>
          <w:p w14:paraId="3E37507F"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turėti ne mažiau kaip 1 USB prievadą.</w:t>
            </w:r>
          </w:p>
          <w:p w14:paraId="2C828864" w14:textId="77777777" w:rsid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Įrenginys turi turėti ne mažiau kaip vieną konsolės prievadą (RJ-45, USB-C arba micro-USB) arba palaikyti saugų valdymą komandine eilute (CLI) per tinklo sąsają (SSH). </w:t>
            </w:r>
          </w:p>
          <w:p w14:paraId="6B17F02D" w14:textId="68A2116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turėti integruotą mobiliojo ryšio maršrutizatorių veikiantį 4G, 5G režimais.</w:t>
            </w:r>
          </w:p>
          <w:p w14:paraId="1065D899"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turėti dubliuotą SIM kortelių palaikymą.</w:t>
            </w:r>
          </w:p>
          <w:p w14:paraId="2E332EF0"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palaikyti ne mažiau kaip 2 SMA arba RP-SMA tipo mobiliojo ryšio antenas.</w:t>
            </w:r>
          </w:p>
          <w:p w14:paraId="7C9C805B"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Licencijos: turi būti įtrauktos visos licencijos, reikalingos nurodytoms funkcijoms palaikyti.</w:t>
            </w:r>
          </w:p>
          <w:p w14:paraId="1AF514BA"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Aukštas patikimumas: Įranga turi turėti galimybę dirbti Aktyvus/Pasyvus (angl. Active/Passive) ir Aktyvus/Akty</w:t>
            </w:r>
            <w:r w:rsidRPr="008E4C79">
              <w:rPr>
                <w:rFonts w:ascii="Times New Roman" w:eastAsia="Times New Roman" w:hAnsi="Times New Roman" w:cs="Times New Roman"/>
                <w:kern w:val="2"/>
                <w:lang w:eastAsia="en-US" w:bidi="ar-SA"/>
                <w14:ligatures w14:val="standardContextual"/>
              </w:rPr>
              <w:lastRenderedPageBreak/>
              <w:t>vus (angl. Active/Active) režimais. Sutrikus aktyvaus įrenginio veikimui aukšto patikimumo sistema automatiškai persijungia į dubliuojantį įrenginį.</w:t>
            </w:r>
          </w:p>
          <w:p w14:paraId="4728EC2D"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Įrenginyje turi būti integruotas „Wi-Fi“ modulis, skirtas belaidžio tinklo prieigos veikimui. Modulis turi palaikyti IEEE 802.11a/b/g/n/ac/ax arba lygiaverčius standartus.</w:t>
            </w:r>
          </w:p>
          <w:p w14:paraId="07F95491" w14:textId="77777777" w:rsidR="008E4C79" w:rsidRPr="008E4C79" w:rsidRDefault="008E4C79" w:rsidP="008E4C79">
            <w:pPr>
              <w:numPr>
                <w:ilvl w:val="0"/>
                <w:numId w:val="13"/>
              </w:num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Ugniasienės našumas: </w:t>
            </w:r>
          </w:p>
          <w:p w14:paraId="032DE677"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Ugniasienės pralaidumas ne mažesnis kaip 2,6 Gbps</w:t>
            </w:r>
          </w:p>
          <w:p w14:paraId="12EF2805"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Ne mažiau kaip 150 000 sesijų vienu metu</w:t>
            </w:r>
          </w:p>
          <w:p w14:paraId="7BDEF18D"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Ne mažiau kaip 25 000 naujų sesijų per sekundę.</w:t>
            </w:r>
          </w:p>
          <w:p w14:paraId="32E5A5BC"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Aplikacijų kontrolės srauto pralaidumas nemažesnis negu 1 Gbps</w:t>
            </w:r>
          </w:p>
          <w:p w14:paraId="2F13EC59"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Palaikomų VPN tunelių skaičius – ne mažiau kaip 200 tunelių vienu metu.</w:t>
            </w:r>
          </w:p>
          <w:p w14:paraId="2A5EDE03"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Ugniasienės funkcionalumas: </w:t>
            </w:r>
          </w:p>
          <w:p w14:paraId="1477DE1A"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gebėti dirbti skaidriame režime (angl.transparent) ir maršrutizavimo režime (angl. routed)</w:t>
            </w:r>
          </w:p>
          <w:p w14:paraId="55904A16"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Gebėti atpažinti ir kontroliuoti ne mažiau kaip 2 000 aplikacijų.</w:t>
            </w:r>
          </w:p>
          <w:p w14:paraId="1B770224"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Gebėti atlikti taisyklėmis paremtą adresų transliavimą (angl., „policy-based NAT“).</w:t>
            </w:r>
          </w:p>
          <w:p w14:paraId="3F99D1E1"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būti IEEE 802.1Q VLAN palaikymas.</w:t>
            </w:r>
          </w:p>
          <w:p w14:paraId="0B15846D"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Vartotojų grupių autentifikavimas naudojant: LDAP, RADIUS, TACACS+</w:t>
            </w:r>
          </w:p>
          <w:p w14:paraId="5385FB59"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IPv6 palaikymas.</w:t>
            </w:r>
          </w:p>
          <w:p w14:paraId="5608768C"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DES, 3DES, ir AES256 šifravimas.</w:t>
            </w:r>
          </w:p>
          <w:p w14:paraId="1DB8C44F"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IKE autentifikavimas sertifikatais.</w:t>
            </w:r>
          </w:p>
          <w:p w14:paraId="544FD04F"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gebėti dirbti kaip DHCP klientas, DHCP serveris, DHCP tarpinis serveris.</w:t>
            </w:r>
          </w:p>
          <w:p w14:paraId="14F736BA"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Maršrutizavimas pagal taisykles (angl. Policy-Based)</w:t>
            </w:r>
          </w:p>
          <w:p w14:paraId="6AFB30BE"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Dinaminis maršrutizavimas (RIP v1 &amp; v2, OSPF, BGP).</w:t>
            </w:r>
          </w:p>
          <w:p w14:paraId="4189EB8C"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IPv6 maršrutizavimas.</w:t>
            </w:r>
          </w:p>
          <w:p w14:paraId="631E43E2"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Saugumo taisyklių apjungimas į saugumo zonas.</w:t>
            </w:r>
          </w:p>
          <w:p w14:paraId="1B1F0FC4"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lastRenderedPageBreak/>
              <w:t>Įrenginys turi būti valdomas per komandinę eilutę ir grafinę sąsają.</w:t>
            </w:r>
          </w:p>
          <w:p w14:paraId="11ACA3CE"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būti srauto ribojimo funkcionalumas (angl. Traffic shaping), nurodant garantuotą bei maksimalų duomenų srauto dydį.</w:t>
            </w:r>
          </w:p>
          <w:p w14:paraId="2714C1E5"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skaidriai nustatyti vartotojų tapatybę (naudojantis MS AD).</w:t>
            </w:r>
          </w:p>
          <w:p w14:paraId="625F4089" w14:textId="77777777" w:rsidR="008E4C79" w:rsidRPr="008E4C79" w:rsidRDefault="008E4C79" w:rsidP="008E4C79">
            <w:pPr>
              <w:numPr>
                <w:ilvl w:val="0"/>
                <w:numId w:val="13"/>
              </w:num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Saugumo funkcionalumas: </w:t>
            </w:r>
          </w:p>
          <w:p w14:paraId="7B3BB982"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Skirtingų lygiu administravimo rolės.</w:t>
            </w:r>
          </w:p>
          <w:p w14:paraId="3D48A617"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Saugumo taisyklių kūrimas naudojant vartotojus bei jų grupes, o ne IP adresus.</w:t>
            </w:r>
          </w:p>
          <w:p w14:paraId="27188F8E"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Tapatumo nustatymas IEEE 802.1x protokolu.</w:t>
            </w:r>
          </w:p>
          <w:p w14:paraId="74481433"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Duomenų srauto, įeinančio ar išeinančio iš bet kurio fizinio prievado / VLAN kopijavimas į nustatytą prievadą stebėjimui (angl. Port mirroring).</w:t>
            </w:r>
          </w:p>
          <w:p w14:paraId="0C3BCBA9"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Lokalus administratoriaus autentifikavimas pagal vartotojo vardą / slaptažodį.</w:t>
            </w:r>
          </w:p>
          <w:p w14:paraId="6D00D1DB" w14:textId="77777777" w:rsidR="008E4C79" w:rsidRPr="008E4C79" w:rsidRDefault="008E4C79" w:rsidP="008E4C79">
            <w:pPr>
              <w:numPr>
                <w:ilvl w:val="0"/>
                <w:numId w:val="13"/>
              </w:num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Valdymas ir stebėjimas: </w:t>
            </w:r>
          </w:p>
          <w:p w14:paraId="537FB8FE"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Vidinis įvykių žurnalas.</w:t>
            </w:r>
          </w:p>
          <w:p w14:paraId="65E8BA9E"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Įvykių persiuntimas į nutolusį Syslog ar lygiavertį serverį.</w:t>
            </w:r>
          </w:p>
          <w:p w14:paraId="2C4C3124"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palaikyti SNMP v1, v2c ir v3.</w:t>
            </w:r>
          </w:p>
          <w:p w14:paraId="02060195"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Turi būti galimybė nustatyti kelių vartotojų tapatybę dirbančiu per tą patį terminalinį serverį.</w:t>
            </w:r>
          </w:p>
          <w:p w14:paraId="3B7759E4" w14:textId="77777777" w:rsidR="008E4C79" w:rsidRPr="008E4C79" w:rsidRDefault="008E4C79" w:rsidP="008E4C79">
            <w:pPr>
              <w:numPr>
                <w:ilvl w:val="0"/>
                <w:numId w:val="13"/>
              </w:num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Garantija: </w:t>
            </w:r>
          </w:p>
          <w:p w14:paraId="6CC05279"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Įrenginys turi būti pateikiamas su gamintojo garantija 12 mėnesių (nuo  sistemos pateikimo  priėmimo-perdavimo akto pasirašymo dienos) ir visomis reikalingomis licencijomis šiam periodui. Teikiamas gamintojo palaikymas 24x7 formatu.</w:t>
            </w:r>
          </w:p>
          <w:p w14:paraId="2928EA37" w14:textId="77777777" w:rsidR="008E4C79" w:rsidRPr="008E4C79"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 xml:space="preserve">Garantiniu laikotarpiu turi būti teikiamas nemokamas programinės įrangos klaidų šalinimas. Programinės įrangos klaidų šalinimas turi būti vykdomas kaip įmanoma per trumpesnį laiko periodą nuo Pirkėjo pranešimo Pardavėjui </w:t>
            </w:r>
            <w:r w:rsidRPr="008E4C79">
              <w:rPr>
                <w:rFonts w:ascii="Times New Roman" w:eastAsia="Times New Roman" w:hAnsi="Times New Roman" w:cs="Times New Roman"/>
                <w:kern w:val="2"/>
                <w:lang w:eastAsia="en-US" w:bidi="ar-SA"/>
                <w14:ligatures w14:val="standardContextual"/>
              </w:rPr>
              <w:lastRenderedPageBreak/>
              <w:t>išsiuntimo dienos. Turi būti programinės įrangos atnaujinimo galimybė garantiniu laikotarpiu. Programinės įrangos atsisiuntimas iš gamintojo puslapio.</w:t>
            </w:r>
          </w:p>
          <w:p w14:paraId="5BDC51A9" w14:textId="51B6FFE0" w:rsidR="00B033FE" w:rsidRPr="00B033FE" w:rsidRDefault="008E4C79" w:rsidP="008E4C79">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8E4C79">
              <w:rPr>
                <w:rFonts w:ascii="Times New Roman" w:eastAsia="Times New Roman" w:hAnsi="Times New Roman" w:cs="Times New Roman"/>
                <w:kern w:val="2"/>
                <w:lang w:eastAsia="en-US" w:bidi="ar-SA"/>
                <w14:ligatures w14:val="standardContextual"/>
              </w:rPr>
              <w:t>Viduje lagamino (siūlomos Sistemos) turi būti įrengta specializuota vieta transportuoti įrenginį, pajungimo laidus, instrukciją ir kitus susijusius priedus</w:t>
            </w:r>
            <w:r>
              <w:rPr>
                <w:rFonts w:ascii="Times New Roman" w:eastAsia="Times New Roman" w:hAnsi="Times New Roman" w:cs="Times New Roman"/>
                <w:kern w:val="2"/>
                <w:lang w:eastAsia="en-US" w:bidi="ar-SA"/>
                <w14:ligatures w14:val="standardContextual"/>
              </w:rPr>
              <w:t>.</w:t>
            </w:r>
          </w:p>
        </w:tc>
        <w:tc>
          <w:tcPr>
            <w:tcW w:w="6525" w:type="dxa"/>
            <w:tcBorders>
              <w:top w:val="single" w:sz="4" w:space="0" w:color="auto"/>
              <w:left w:val="single" w:sz="4" w:space="0" w:color="auto"/>
              <w:bottom w:val="single" w:sz="4" w:space="0" w:color="auto"/>
              <w:right w:val="single" w:sz="4" w:space="0" w:color="auto"/>
            </w:tcBorders>
          </w:tcPr>
          <w:p w14:paraId="2E35AD31"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bCs/>
                <w:kern w:val="2"/>
                <w:lang w:eastAsia="en-US" w:bidi="ar-SA"/>
                <w14:ligatures w14:val="standardContextual"/>
              </w:rPr>
            </w:pPr>
          </w:p>
        </w:tc>
      </w:tr>
      <w:tr w:rsidR="00B033FE" w:rsidRPr="00B033FE" w14:paraId="627A3827" w14:textId="77777777" w:rsidTr="00575836">
        <w:tc>
          <w:tcPr>
            <w:tcW w:w="571" w:type="dxa"/>
            <w:tcBorders>
              <w:top w:val="single" w:sz="4" w:space="0" w:color="auto"/>
              <w:left w:val="single" w:sz="4" w:space="0" w:color="auto"/>
              <w:bottom w:val="single" w:sz="4" w:space="0" w:color="auto"/>
              <w:right w:val="single" w:sz="4" w:space="0" w:color="auto"/>
            </w:tcBorders>
          </w:tcPr>
          <w:p w14:paraId="6B239852" w14:textId="436E9095" w:rsidR="00B033FE" w:rsidRPr="00B033FE" w:rsidRDefault="00031245" w:rsidP="00E16F3B">
            <w:pPr>
              <w:suppressAutoHyphens w:val="0"/>
              <w:autoSpaceDN/>
              <w:spacing w:after="160"/>
              <w:contextualSpacing/>
              <w:jc w:val="center"/>
              <w:textAlignment w:val="auto"/>
              <w:rPr>
                <w:rFonts w:ascii="Times New Roman" w:eastAsia="Times New Roman" w:hAnsi="Times New Roman" w:cs="Times New Roman"/>
                <w:kern w:val="2"/>
                <w:lang w:eastAsia="en-US" w:bidi="ar-SA"/>
                <w14:ligatures w14:val="standardContextual"/>
              </w:rPr>
            </w:pPr>
            <w:r>
              <w:rPr>
                <w:rFonts w:ascii="Times New Roman" w:eastAsia="Times New Roman" w:hAnsi="Times New Roman" w:cs="Times New Roman"/>
                <w:kern w:val="2"/>
                <w:lang w:eastAsia="en-US" w:bidi="ar-SA"/>
                <w14:ligatures w14:val="standardContextual"/>
              </w:rPr>
              <w:lastRenderedPageBreak/>
              <w:t>17</w:t>
            </w:r>
            <w:r w:rsidR="00B033FE" w:rsidRPr="00B033FE">
              <w:rPr>
                <w:rFonts w:ascii="Times New Roman" w:eastAsia="Times New Roman" w:hAnsi="Times New Roman" w:cs="Times New Roman"/>
                <w:kern w:val="2"/>
                <w:lang w:eastAsia="en-US" w:bidi="ar-SA"/>
                <w14:ligatures w14:val="standardContextual"/>
              </w:rPr>
              <w:t>.</w:t>
            </w:r>
          </w:p>
        </w:tc>
        <w:tc>
          <w:tcPr>
            <w:tcW w:w="1985" w:type="dxa"/>
            <w:tcBorders>
              <w:top w:val="single" w:sz="4" w:space="0" w:color="auto"/>
              <w:left w:val="single" w:sz="4" w:space="0" w:color="auto"/>
              <w:bottom w:val="single" w:sz="4" w:space="0" w:color="auto"/>
              <w:right w:val="single" w:sz="4" w:space="0" w:color="auto"/>
            </w:tcBorders>
          </w:tcPr>
          <w:p w14:paraId="4F976212" w14:textId="39924503" w:rsidR="00B033FE" w:rsidRPr="00B033FE" w:rsidRDefault="003B01AF" w:rsidP="00E16F3B">
            <w:pPr>
              <w:suppressAutoHyphens w:val="0"/>
              <w:autoSpaceDN/>
              <w:spacing w:after="160"/>
              <w:contextualSpacing/>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Garantija</w:t>
            </w:r>
          </w:p>
        </w:tc>
        <w:tc>
          <w:tcPr>
            <w:tcW w:w="5803" w:type="dxa"/>
            <w:tcBorders>
              <w:top w:val="single" w:sz="4" w:space="0" w:color="auto"/>
              <w:left w:val="single" w:sz="4" w:space="0" w:color="auto"/>
              <w:bottom w:val="single" w:sz="4" w:space="0" w:color="auto"/>
              <w:right w:val="single" w:sz="4" w:space="0" w:color="auto"/>
            </w:tcBorders>
          </w:tcPr>
          <w:p w14:paraId="58EC5FEC"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Tiekėjas turi suteikti:</w:t>
            </w:r>
          </w:p>
          <w:p w14:paraId="7F28CD27"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Palydovinio ryšio antenai (integruotai lagamino dangtyje): ne trumpesnę kaip 36 mėnesių garantiją.</w:t>
            </w:r>
          </w:p>
          <w:p w14:paraId="5B534B00"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Palydovinio ryšio maršrutizatoriui ne trumpesnę kaip 24 mėnesių garantiją.</w:t>
            </w:r>
          </w:p>
          <w:p w14:paraId="25712654"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Belaidžio tinklo maršrutizatoriui su integruotu 5G modemu ir ugniasiene (8.6 poskyris): 12 mėnesių garantiją (įskaitant gamintojo garantinį palaikymą ir reikalaujamas licencijas šiam periodui).</w:t>
            </w:r>
          </w:p>
          <w:p w14:paraId="00D82A81"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Bendram Sistemos sprendimui ir energijos kaupimo sistemai (baterijai, BMS, maitinimo keitikliui, transportavimo lagaminui su rėmu bei išorinėms jungtims): 12 mėnesių garantiją.</w:t>
            </w:r>
          </w:p>
          <w:p w14:paraId="7FE33D00" w14:textId="77777777" w:rsidR="003B01AF" w:rsidRPr="003B01AF"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Atsarginių dalių prieinamumas: atsarginės dalys ir komponentai turi būti prieinami įsigyti ne trumpiau kaip 36 mėnesius.</w:t>
            </w:r>
          </w:p>
          <w:p w14:paraId="352F5661" w14:textId="4BA8144C" w:rsidR="00B033FE" w:rsidRPr="00B033FE" w:rsidRDefault="003B01AF" w:rsidP="003B01AF">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r w:rsidRPr="003B01AF">
              <w:rPr>
                <w:rFonts w:ascii="Times New Roman" w:eastAsia="Times New Roman" w:hAnsi="Times New Roman" w:cs="Times New Roman"/>
                <w:kern w:val="2"/>
                <w:lang w:eastAsia="en-US" w:bidi="ar-SA"/>
                <w14:ligatures w14:val="standardContextual"/>
              </w:rPr>
              <w:t>•</w:t>
            </w:r>
            <w:r w:rsidRPr="003B01AF">
              <w:rPr>
                <w:rFonts w:ascii="Times New Roman" w:eastAsia="Times New Roman" w:hAnsi="Times New Roman" w:cs="Times New Roman"/>
                <w:kern w:val="2"/>
                <w:lang w:eastAsia="en-US" w:bidi="ar-SA"/>
                <w14:ligatures w14:val="standardContextual"/>
              </w:rPr>
              <w:tab/>
              <w:t>Įrangos būklė: siūloma Sistema, visi jos vidiniai ir išoriniai komponentai bei papildoma įranga privalo būti visiškai nauja, nenaudota.</w:t>
            </w:r>
          </w:p>
        </w:tc>
        <w:tc>
          <w:tcPr>
            <w:tcW w:w="6525" w:type="dxa"/>
            <w:tcBorders>
              <w:top w:val="single" w:sz="4" w:space="0" w:color="auto"/>
              <w:left w:val="single" w:sz="4" w:space="0" w:color="auto"/>
              <w:bottom w:val="single" w:sz="4" w:space="0" w:color="auto"/>
              <w:right w:val="single" w:sz="4" w:space="0" w:color="auto"/>
            </w:tcBorders>
          </w:tcPr>
          <w:p w14:paraId="74119B28" w14:textId="77777777" w:rsidR="00B033FE" w:rsidRPr="00B033FE" w:rsidRDefault="00B033FE" w:rsidP="00E16F3B">
            <w:pPr>
              <w:suppressAutoHyphens w:val="0"/>
              <w:autoSpaceDN/>
              <w:spacing w:after="160"/>
              <w:contextualSpacing/>
              <w:jc w:val="both"/>
              <w:textAlignment w:val="auto"/>
              <w:rPr>
                <w:rFonts w:ascii="Times New Roman" w:eastAsia="Times New Roman" w:hAnsi="Times New Roman" w:cs="Times New Roman"/>
                <w:kern w:val="2"/>
                <w:lang w:eastAsia="en-US" w:bidi="ar-SA"/>
                <w14:ligatures w14:val="standardContextual"/>
              </w:rPr>
            </w:pPr>
          </w:p>
        </w:tc>
      </w:tr>
    </w:tbl>
    <w:p w14:paraId="48FFFF1F" w14:textId="77777777" w:rsidR="007438DC" w:rsidRPr="002870FB" w:rsidRDefault="007438DC" w:rsidP="00E16F3B">
      <w:pPr>
        <w:rPr>
          <w:rFonts w:ascii="Times New Roman" w:hAnsi="Times New Roman" w:cs="Times New Roman"/>
          <w:b/>
          <w:bCs/>
          <w:noProof/>
        </w:rPr>
      </w:pPr>
    </w:p>
    <w:p w14:paraId="1FEB173D" w14:textId="77777777" w:rsidR="007438DC" w:rsidRPr="002870FB" w:rsidRDefault="007438DC" w:rsidP="007438DC">
      <w:pPr>
        <w:ind w:firstLine="142"/>
        <w:jc w:val="center"/>
        <w:rPr>
          <w:rFonts w:ascii="Times New Roman" w:hAnsi="Times New Roman" w:cs="Times New Roman"/>
          <w:b/>
          <w:bCs/>
          <w:noProof/>
        </w:rPr>
      </w:pPr>
      <w:r w:rsidRPr="002870FB">
        <w:rPr>
          <w:rFonts w:ascii="Times New Roman" w:hAnsi="Times New Roman" w:cs="Times New Roman"/>
          <w:b/>
          <w:bCs/>
          <w:noProof/>
        </w:rPr>
        <w:t>_________________________________________________________</w:t>
      </w:r>
    </w:p>
    <w:p w14:paraId="066FC1A0" w14:textId="436A7DA1" w:rsidR="007664EC" w:rsidRPr="002870FB" w:rsidRDefault="00117E93" w:rsidP="00117E93">
      <w:pPr>
        <w:tabs>
          <w:tab w:val="left" w:pos="426"/>
        </w:tabs>
        <w:jc w:val="center"/>
        <w:rPr>
          <w:rFonts w:ascii="Times New Roman" w:hAnsi="Times New Roman" w:cs="Times New Roman"/>
        </w:rPr>
      </w:pPr>
      <w:r>
        <w:rPr>
          <w:rFonts w:ascii="Times New Roman" w:hAnsi="Times New Roman" w:cs="Times New Roman"/>
        </w:rPr>
        <w:t>___________________________________________</w:t>
      </w:r>
    </w:p>
    <w:sectPr w:rsidR="007664EC" w:rsidRPr="002870FB" w:rsidSect="00445354">
      <w:pgSz w:w="16840" w:h="11907" w:orient="landscape" w:code="9"/>
      <w:pgMar w:top="1418" w:right="851" w:bottom="851" w:left="85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2652D" w14:textId="77777777" w:rsidR="00CE2614" w:rsidRDefault="00CE2614">
      <w:r>
        <w:separator/>
      </w:r>
    </w:p>
  </w:endnote>
  <w:endnote w:type="continuationSeparator" w:id="0">
    <w:p w14:paraId="06AB9362" w14:textId="77777777" w:rsidR="00CE2614" w:rsidRDefault="00CE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charset w:val="BA"/>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Univers LT Std 47 Cn L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font293">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1301C" w14:textId="77777777" w:rsidR="00CE2614" w:rsidRDefault="00CE2614">
      <w:r>
        <w:rPr>
          <w:color w:val="000000"/>
        </w:rPr>
        <w:separator/>
      </w:r>
    </w:p>
  </w:footnote>
  <w:footnote w:type="continuationSeparator" w:id="0">
    <w:p w14:paraId="49D7442E" w14:textId="77777777" w:rsidR="00CE2614" w:rsidRDefault="00CE2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067C"/>
    <w:multiLevelType w:val="hybridMultilevel"/>
    <w:tmpl w:val="DE5C1E2A"/>
    <w:lvl w:ilvl="0" w:tplc="067E840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D1121"/>
    <w:multiLevelType w:val="multilevel"/>
    <w:tmpl w:val="A848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D53EB"/>
    <w:multiLevelType w:val="multilevel"/>
    <w:tmpl w:val="2E724F6E"/>
    <w:styleLink w:val="WWNum1"/>
    <w:lvl w:ilvl="0">
      <w:numFmt w:val="bullet"/>
      <w:lvlText w:val="-"/>
      <w:lvlJc w:val="left"/>
      <w:pPr>
        <w:ind w:left="720" w:hanging="360"/>
      </w:pPr>
      <w:rPr>
        <w:rFonts w:ascii="Times New Roman" w:hAnsi="Times New Roman" w:cs="Times New Roman"/>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2EE552DC"/>
    <w:multiLevelType w:val="multilevel"/>
    <w:tmpl w:val="0022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D01CB"/>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9A10B1"/>
    <w:multiLevelType w:val="multilevel"/>
    <w:tmpl w:val="2A90376E"/>
    <w:styleLink w:val="WWNum7"/>
    <w:lvl w:ilvl="0">
      <w:numFmt w:val="bullet"/>
      <w:lvlText w:val="•"/>
      <w:lvlJc w:val="left"/>
      <w:pPr>
        <w:ind w:left="1084" w:hanging="360"/>
      </w:pPr>
    </w:lvl>
    <w:lvl w:ilvl="1">
      <w:start w:val="1"/>
      <w:numFmt w:val="lowerLetter"/>
      <w:lvlText w:val="%2."/>
      <w:lvlJc w:val="left"/>
      <w:pPr>
        <w:ind w:left="1804" w:hanging="360"/>
      </w:pPr>
    </w:lvl>
    <w:lvl w:ilvl="2">
      <w:start w:val="1"/>
      <w:numFmt w:val="lowerRoman"/>
      <w:lvlText w:val="%3."/>
      <w:lvlJc w:val="right"/>
      <w:pPr>
        <w:ind w:left="2524" w:hanging="180"/>
      </w:pPr>
    </w:lvl>
    <w:lvl w:ilvl="3">
      <w:start w:val="1"/>
      <w:numFmt w:val="decimal"/>
      <w:lvlText w:val="%4."/>
      <w:lvlJc w:val="left"/>
      <w:pPr>
        <w:ind w:left="3244" w:hanging="360"/>
      </w:pPr>
    </w:lvl>
    <w:lvl w:ilvl="4">
      <w:start w:val="1"/>
      <w:numFmt w:val="lowerLetter"/>
      <w:lvlText w:val="%5."/>
      <w:lvlJc w:val="left"/>
      <w:pPr>
        <w:ind w:left="3964" w:hanging="360"/>
      </w:pPr>
    </w:lvl>
    <w:lvl w:ilvl="5">
      <w:start w:val="1"/>
      <w:numFmt w:val="lowerRoman"/>
      <w:lvlText w:val="%6."/>
      <w:lvlJc w:val="right"/>
      <w:pPr>
        <w:ind w:left="4684" w:hanging="180"/>
      </w:pPr>
    </w:lvl>
    <w:lvl w:ilvl="6">
      <w:start w:val="1"/>
      <w:numFmt w:val="decimal"/>
      <w:lvlText w:val="%7."/>
      <w:lvlJc w:val="left"/>
      <w:pPr>
        <w:ind w:left="5404" w:hanging="360"/>
      </w:pPr>
    </w:lvl>
    <w:lvl w:ilvl="7">
      <w:start w:val="1"/>
      <w:numFmt w:val="lowerLetter"/>
      <w:lvlText w:val="%8."/>
      <w:lvlJc w:val="left"/>
      <w:pPr>
        <w:ind w:left="6124" w:hanging="360"/>
      </w:pPr>
    </w:lvl>
    <w:lvl w:ilvl="8">
      <w:start w:val="1"/>
      <w:numFmt w:val="lowerRoman"/>
      <w:lvlText w:val="%9."/>
      <w:lvlJc w:val="right"/>
      <w:pPr>
        <w:ind w:left="6844" w:hanging="180"/>
      </w:pPr>
    </w:lvl>
  </w:abstractNum>
  <w:abstractNum w:abstractNumId="6" w15:restartNumberingAfterBreak="0">
    <w:nsid w:val="5C502236"/>
    <w:multiLevelType w:val="multilevel"/>
    <w:tmpl w:val="5D363B0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E461C5"/>
    <w:multiLevelType w:val="multilevel"/>
    <w:tmpl w:val="0B261278"/>
    <w:lvl w:ilvl="0">
      <w:start w:val="1"/>
      <w:numFmt w:val="decimal"/>
      <w:lvlText w:val="%1."/>
      <w:lvlJc w:val="left"/>
      <w:pPr>
        <w:ind w:left="360" w:hanging="360"/>
      </w:p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39054A7"/>
    <w:multiLevelType w:val="multilevel"/>
    <w:tmpl w:val="98EAF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B93B15"/>
    <w:multiLevelType w:val="multilevel"/>
    <w:tmpl w:val="B3B2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5D02E6"/>
    <w:multiLevelType w:val="hybridMultilevel"/>
    <w:tmpl w:val="CC3CB840"/>
    <w:lvl w:ilvl="0" w:tplc="FDD2E458">
      <w:start w:val="1"/>
      <w:numFmt w:val="decimal"/>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121670">
    <w:abstractNumId w:val="2"/>
  </w:num>
  <w:num w:numId="2" w16cid:durableId="339770633">
    <w:abstractNumId w:val="5"/>
  </w:num>
  <w:num w:numId="3" w16cid:durableId="1136724105">
    <w:abstractNumId w:val="2"/>
  </w:num>
  <w:num w:numId="4" w16cid:durableId="2141263592">
    <w:abstractNumId w:val="5"/>
  </w:num>
  <w:num w:numId="5" w16cid:durableId="1138379964">
    <w:abstractNumId w:val="10"/>
  </w:num>
  <w:num w:numId="6" w16cid:durableId="305935413">
    <w:abstractNumId w:val="4"/>
  </w:num>
  <w:num w:numId="7" w16cid:durableId="383407089">
    <w:abstractNumId w:val="7"/>
  </w:num>
  <w:num w:numId="8" w16cid:durableId="446511729">
    <w:abstractNumId w:val="8"/>
  </w:num>
  <w:num w:numId="9" w16cid:durableId="628097494">
    <w:abstractNumId w:val="0"/>
  </w:num>
  <w:num w:numId="10" w16cid:durableId="568734145">
    <w:abstractNumId w:val="3"/>
  </w:num>
  <w:num w:numId="11" w16cid:durableId="1430199031">
    <w:abstractNumId w:val="6"/>
  </w:num>
  <w:num w:numId="12" w16cid:durableId="1076125125">
    <w:abstractNumId w:val="9"/>
  </w:num>
  <w:num w:numId="13" w16cid:durableId="1127242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B5"/>
    <w:rsid w:val="00000C8C"/>
    <w:rsid w:val="000033C1"/>
    <w:rsid w:val="0000570C"/>
    <w:rsid w:val="0000627E"/>
    <w:rsid w:val="00006776"/>
    <w:rsid w:val="00006EA0"/>
    <w:rsid w:val="00010709"/>
    <w:rsid w:val="00013507"/>
    <w:rsid w:val="00016CA0"/>
    <w:rsid w:val="00020B27"/>
    <w:rsid w:val="00023A14"/>
    <w:rsid w:val="00024626"/>
    <w:rsid w:val="00024A8A"/>
    <w:rsid w:val="0002515C"/>
    <w:rsid w:val="000269EB"/>
    <w:rsid w:val="00031245"/>
    <w:rsid w:val="00031249"/>
    <w:rsid w:val="00033FD8"/>
    <w:rsid w:val="00036FBC"/>
    <w:rsid w:val="00042559"/>
    <w:rsid w:val="00042819"/>
    <w:rsid w:val="00042FB1"/>
    <w:rsid w:val="00044F90"/>
    <w:rsid w:val="00047E86"/>
    <w:rsid w:val="00050930"/>
    <w:rsid w:val="00051308"/>
    <w:rsid w:val="00051BC7"/>
    <w:rsid w:val="00053844"/>
    <w:rsid w:val="00056B6A"/>
    <w:rsid w:val="00061548"/>
    <w:rsid w:val="000619E4"/>
    <w:rsid w:val="00066B56"/>
    <w:rsid w:val="00067E85"/>
    <w:rsid w:val="000701E7"/>
    <w:rsid w:val="00074968"/>
    <w:rsid w:val="0008339D"/>
    <w:rsid w:val="0008776D"/>
    <w:rsid w:val="00087FE7"/>
    <w:rsid w:val="00094109"/>
    <w:rsid w:val="000959E9"/>
    <w:rsid w:val="00097C62"/>
    <w:rsid w:val="000A236E"/>
    <w:rsid w:val="000A764A"/>
    <w:rsid w:val="000B032F"/>
    <w:rsid w:val="000B21CA"/>
    <w:rsid w:val="000C32FE"/>
    <w:rsid w:val="000C3995"/>
    <w:rsid w:val="000C5DFB"/>
    <w:rsid w:val="000C5E59"/>
    <w:rsid w:val="000C7F7B"/>
    <w:rsid w:val="000D0FC1"/>
    <w:rsid w:val="000D2B91"/>
    <w:rsid w:val="000D645D"/>
    <w:rsid w:val="000D776B"/>
    <w:rsid w:val="000E3465"/>
    <w:rsid w:val="000E4568"/>
    <w:rsid w:val="000E6204"/>
    <w:rsid w:val="000F1B3C"/>
    <w:rsid w:val="000F3BFC"/>
    <w:rsid w:val="000F6DE2"/>
    <w:rsid w:val="000F7287"/>
    <w:rsid w:val="001042D3"/>
    <w:rsid w:val="001079AD"/>
    <w:rsid w:val="00107C05"/>
    <w:rsid w:val="00111459"/>
    <w:rsid w:val="00111C78"/>
    <w:rsid w:val="00117E93"/>
    <w:rsid w:val="00120457"/>
    <w:rsid w:val="00120991"/>
    <w:rsid w:val="00120F62"/>
    <w:rsid w:val="00121F11"/>
    <w:rsid w:val="00124253"/>
    <w:rsid w:val="00127F98"/>
    <w:rsid w:val="00130219"/>
    <w:rsid w:val="0013412B"/>
    <w:rsid w:val="0014083B"/>
    <w:rsid w:val="0014168D"/>
    <w:rsid w:val="00142058"/>
    <w:rsid w:val="001445E2"/>
    <w:rsid w:val="00146A3E"/>
    <w:rsid w:val="00152269"/>
    <w:rsid w:val="001528FD"/>
    <w:rsid w:val="00155280"/>
    <w:rsid w:val="00155D79"/>
    <w:rsid w:val="00156BD3"/>
    <w:rsid w:val="00157D12"/>
    <w:rsid w:val="00160A20"/>
    <w:rsid w:val="001627E9"/>
    <w:rsid w:val="00163678"/>
    <w:rsid w:val="00163F62"/>
    <w:rsid w:val="0016552F"/>
    <w:rsid w:val="00170A9F"/>
    <w:rsid w:val="001711BF"/>
    <w:rsid w:val="0017373E"/>
    <w:rsid w:val="00174E64"/>
    <w:rsid w:val="001767E0"/>
    <w:rsid w:val="0018117E"/>
    <w:rsid w:val="00182F9E"/>
    <w:rsid w:val="00184828"/>
    <w:rsid w:val="001856EA"/>
    <w:rsid w:val="001874F6"/>
    <w:rsid w:val="0019043A"/>
    <w:rsid w:val="00194C76"/>
    <w:rsid w:val="00195948"/>
    <w:rsid w:val="00196598"/>
    <w:rsid w:val="0019670E"/>
    <w:rsid w:val="00196EFE"/>
    <w:rsid w:val="001A238B"/>
    <w:rsid w:val="001A78E2"/>
    <w:rsid w:val="001B0C51"/>
    <w:rsid w:val="001B0FA1"/>
    <w:rsid w:val="001B12A9"/>
    <w:rsid w:val="001B1349"/>
    <w:rsid w:val="001B22BF"/>
    <w:rsid w:val="001B289D"/>
    <w:rsid w:val="001B3D63"/>
    <w:rsid w:val="001B42AD"/>
    <w:rsid w:val="001B5EAC"/>
    <w:rsid w:val="001B5F77"/>
    <w:rsid w:val="001B794B"/>
    <w:rsid w:val="001C3932"/>
    <w:rsid w:val="001C3FC1"/>
    <w:rsid w:val="001D02EE"/>
    <w:rsid w:val="001D0D13"/>
    <w:rsid w:val="001D17E2"/>
    <w:rsid w:val="001D1A52"/>
    <w:rsid w:val="001D1DAC"/>
    <w:rsid w:val="001D77C3"/>
    <w:rsid w:val="001E063F"/>
    <w:rsid w:val="001E295A"/>
    <w:rsid w:val="001E5596"/>
    <w:rsid w:val="001E5F6F"/>
    <w:rsid w:val="001E696D"/>
    <w:rsid w:val="001E77C8"/>
    <w:rsid w:val="001F0489"/>
    <w:rsid w:val="001F1D9C"/>
    <w:rsid w:val="001F2513"/>
    <w:rsid w:val="001F4E3B"/>
    <w:rsid w:val="001F6323"/>
    <w:rsid w:val="001F6395"/>
    <w:rsid w:val="001F7DA0"/>
    <w:rsid w:val="0020244E"/>
    <w:rsid w:val="00202509"/>
    <w:rsid w:val="00202ABD"/>
    <w:rsid w:val="002076A2"/>
    <w:rsid w:val="00210607"/>
    <w:rsid w:val="0021063B"/>
    <w:rsid w:val="0022088D"/>
    <w:rsid w:val="00220BBE"/>
    <w:rsid w:val="00222C85"/>
    <w:rsid w:val="00230A3C"/>
    <w:rsid w:val="00231F0C"/>
    <w:rsid w:val="002353BA"/>
    <w:rsid w:val="002353E5"/>
    <w:rsid w:val="0024148D"/>
    <w:rsid w:val="00241EA5"/>
    <w:rsid w:val="00242BA9"/>
    <w:rsid w:val="00243832"/>
    <w:rsid w:val="00245261"/>
    <w:rsid w:val="00251596"/>
    <w:rsid w:val="00252153"/>
    <w:rsid w:val="00252F90"/>
    <w:rsid w:val="002562E1"/>
    <w:rsid w:val="00256A1B"/>
    <w:rsid w:val="002609EA"/>
    <w:rsid w:val="0026114C"/>
    <w:rsid w:val="002612AB"/>
    <w:rsid w:val="002627A1"/>
    <w:rsid w:val="002627DB"/>
    <w:rsid w:val="00263408"/>
    <w:rsid w:val="00273EA1"/>
    <w:rsid w:val="00274E8A"/>
    <w:rsid w:val="00275BF1"/>
    <w:rsid w:val="002763E2"/>
    <w:rsid w:val="0028032F"/>
    <w:rsid w:val="00283BA9"/>
    <w:rsid w:val="00284BCF"/>
    <w:rsid w:val="002870FB"/>
    <w:rsid w:val="002872DD"/>
    <w:rsid w:val="002A0C66"/>
    <w:rsid w:val="002A1927"/>
    <w:rsid w:val="002A3588"/>
    <w:rsid w:val="002A3F79"/>
    <w:rsid w:val="002A40A0"/>
    <w:rsid w:val="002A5147"/>
    <w:rsid w:val="002A589E"/>
    <w:rsid w:val="002A6A77"/>
    <w:rsid w:val="002B37DB"/>
    <w:rsid w:val="002C0CAF"/>
    <w:rsid w:val="002C1F93"/>
    <w:rsid w:val="002C221A"/>
    <w:rsid w:val="002C5B63"/>
    <w:rsid w:val="002C6EA3"/>
    <w:rsid w:val="002D2343"/>
    <w:rsid w:val="002D2631"/>
    <w:rsid w:val="002D2F9A"/>
    <w:rsid w:val="002D6004"/>
    <w:rsid w:val="002E350F"/>
    <w:rsid w:val="002E4C37"/>
    <w:rsid w:val="002E4D1E"/>
    <w:rsid w:val="002E5213"/>
    <w:rsid w:val="002F0E21"/>
    <w:rsid w:val="002F2066"/>
    <w:rsid w:val="002F25ED"/>
    <w:rsid w:val="002F3186"/>
    <w:rsid w:val="002F3416"/>
    <w:rsid w:val="002F7379"/>
    <w:rsid w:val="002F7575"/>
    <w:rsid w:val="002F7797"/>
    <w:rsid w:val="002F7BB6"/>
    <w:rsid w:val="002F7FEC"/>
    <w:rsid w:val="0030303B"/>
    <w:rsid w:val="0030364F"/>
    <w:rsid w:val="00305CFB"/>
    <w:rsid w:val="00305D26"/>
    <w:rsid w:val="00305EF2"/>
    <w:rsid w:val="003061DE"/>
    <w:rsid w:val="00306830"/>
    <w:rsid w:val="003073AE"/>
    <w:rsid w:val="003137BC"/>
    <w:rsid w:val="0031400B"/>
    <w:rsid w:val="0031791F"/>
    <w:rsid w:val="003200D5"/>
    <w:rsid w:val="00321EDE"/>
    <w:rsid w:val="00325967"/>
    <w:rsid w:val="00325D39"/>
    <w:rsid w:val="00332598"/>
    <w:rsid w:val="003351D4"/>
    <w:rsid w:val="00336E88"/>
    <w:rsid w:val="00340354"/>
    <w:rsid w:val="00341D82"/>
    <w:rsid w:val="00342BB5"/>
    <w:rsid w:val="0034558A"/>
    <w:rsid w:val="00347E58"/>
    <w:rsid w:val="00347ED4"/>
    <w:rsid w:val="00347F5F"/>
    <w:rsid w:val="0035214B"/>
    <w:rsid w:val="00360A35"/>
    <w:rsid w:val="003617C8"/>
    <w:rsid w:val="00361E3F"/>
    <w:rsid w:val="0036227D"/>
    <w:rsid w:val="003632F9"/>
    <w:rsid w:val="003639D8"/>
    <w:rsid w:val="0036549D"/>
    <w:rsid w:val="00365C31"/>
    <w:rsid w:val="00367AA1"/>
    <w:rsid w:val="00371E20"/>
    <w:rsid w:val="00374ABC"/>
    <w:rsid w:val="00376E35"/>
    <w:rsid w:val="00383505"/>
    <w:rsid w:val="0038449F"/>
    <w:rsid w:val="00385997"/>
    <w:rsid w:val="00396125"/>
    <w:rsid w:val="003A0036"/>
    <w:rsid w:val="003A02D9"/>
    <w:rsid w:val="003A4CC4"/>
    <w:rsid w:val="003A6297"/>
    <w:rsid w:val="003B01AF"/>
    <w:rsid w:val="003B074C"/>
    <w:rsid w:val="003B22E5"/>
    <w:rsid w:val="003B26F5"/>
    <w:rsid w:val="003B4BB8"/>
    <w:rsid w:val="003C0C31"/>
    <w:rsid w:val="003C39BE"/>
    <w:rsid w:val="003D5619"/>
    <w:rsid w:val="003D6BDD"/>
    <w:rsid w:val="003E041A"/>
    <w:rsid w:val="003E071C"/>
    <w:rsid w:val="003E0F63"/>
    <w:rsid w:val="003E4811"/>
    <w:rsid w:val="003E5288"/>
    <w:rsid w:val="003E5C97"/>
    <w:rsid w:val="003F2E18"/>
    <w:rsid w:val="003F533F"/>
    <w:rsid w:val="00401D0A"/>
    <w:rsid w:val="00402185"/>
    <w:rsid w:val="00402F1B"/>
    <w:rsid w:val="0040371C"/>
    <w:rsid w:val="004045AF"/>
    <w:rsid w:val="00406CFC"/>
    <w:rsid w:val="00410072"/>
    <w:rsid w:val="00412CF4"/>
    <w:rsid w:val="00413C2F"/>
    <w:rsid w:val="0041432E"/>
    <w:rsid w:val="00415FDF"/>
    <w:rsid w:val="00420DCC"/>
    <w:rsid w:val="004214D3"/>
    <w:rsid w:val="00421DB8"/>
    <w:rsid w:val="004221D1"/>
    <w:rsid w:val="00423981"/>
    <w:rsid w:val="00425534"/>
    <w:rsid w:val="0043373D"/>
    <w:rsid w:val="0043552B"/>
    <w:rsid w:val="004415AC"/>
    <w:rsid w:val="004432D7"/>
    <w:rsid w:val="00443A92"/>
    <w:rsid w:val="00445064"/>
    <w:rsid w:val="00445354"/>
    <w:rsid w:val="00446336"/>
    <w:rsid w:val="00452E48"/>
    <w:rsid w:val="0045301D"/>
    <w:rsid w:val="004549E0"/>
    <w:rsid w:val="00454A03"/>
    <w:rsid w:val="00454F60"/>
    <w:rsid w:val="004550E2"/>
    <w:rsid w:val="00460B24"/>
    <w:rsid w:val="0046452F"/>
    <w:rsid w:val="004727D6"/>
    <w:rsid w:val="0047631D"/>
    <w:rsid w:val="00477E64"/>
    <w:rsid w:val="004953C3"/>
    <w:rsid w:val="004A3297"/>
    <w:rsid w:val="004A5685"/>
    <w:rsid w:val="004B16FD"/>
    <w:rsid w:val="004B1D1E"/>
    <w:rsid w:val="004B2FDC"/>
    <w:rsid w:val="004B41EC"/>
    <w:rsid w:val="004B4898"/>
    <w:rsid w:val="004B4E5F"/>
    <w:rsid w:val="004B5189"/>
    <w:rsid w:val="004C1517"/>
    <w:rsid w:val="004C2686"/>
    <w:rsid w:val="004C47AD"/>
    <w:rsid w:val="004C482D"/>
    <w:rsid w:val="004C543E"/>
    <w:rsid w:val="004C5630"/>
    <w:rsid w:val="004C681C"/>
    <w:rsid w:val="004C7369"/>
    <w:rsid w:val="004D2892"/>
    <w:rsid w:val="004D2C36"/>
    <w:rsid w:val="004D2D40"/>
    <w:rsid w:val="004D3FCC"/>
    <w:rsid w:val="004D4C56"/>
    <w:rsid w:val="004E2BF7"/>
    <w:rsid w:val="004E2D74"/>
    <w:rsid w:val="004E469B"/>
    <w:rsid w:val="004E5E3D"/>
    <w:rsid w:val="004E64D5"/>
    <w:rsid w:val="004F0847"/>
    <w:rsid w:val="004F0A11"/>
    <w:rsid w:val="004F0CC1"/>
    <w:rsid w:val="004F1724"/>
    <w:rsid w:val="004F2E42"/>
    <w:rsid w:val="004F6A61"/>
    <w:rsid w:val="00504290"/>
    <w:rsid w:val="00505D26"/>
    <w:rsid w:val="00507A78"/>
    <w:rsid w:val="0051094B"/>
    <w:rsid w:val="005109A1"/>
    <w:rsid w:val="00511305"/>
    <w:rsid w:val="00513994"/>
    <w:rsid w:val="0051450C"/>
    <w:rsid w:val="005153B9"/>
    <w:rsid w:val="00515C9D"/>
    <w:rsid w:val="00516F3D"/>
    <w:rsid w:val="00517564"/>
    <w:rsid w:val="00523C86"/>
    <w:rsid w:val="0052478E"/>
    <w:rsid w:val="00525A11"/>
    <w:rsid w:val="00525F68"/>
    <w:rsid w:val="005275AB"/>
    <w:rsid w:val="0053065B"/>
    <w:rsid w:val="00532BE6"/>
    <w:rsid w:val="0053389D"/>
    <w:rsid w:val="00547EA4"/>
    <w:rsid w:val="00547FFA"/>
    <w:rsid w:val="005519DA"/>
    <w:rsid w:val="0055387B"/>
    <w:rsid w:val="00553DAD"/>
    <w:rsid w:val="005572DD"/>
    <w:rsid w:val="00557309"/>
    <w:rsid w:val="00557431"/>
    <w:rsid w:val="00557819"/>
    <w:rsid w:val="00560A5B"/>
    <w:rsid w:val="00562F6B"/>
    <w:rsid w:val="00565251"/>
    <w:rsid w:val="00565522"/>
    <w:rsid w:val="005663B2"/>
    <w:rsid w:val="00567C0C"/>
    <w:rsid w:val="00567E5A"/>
    <w:rsid w:val="00570996"/>
    <w:rsid w:val="005720B0"/>
    <w:rsid w:val="00574AF8"/>
    <w:rsid w:val="00575836"/>
    <w:rsid w:val="00576AF4"/>
    <w:rsid w:val="005810D6"/>
    <w:rsid w:val="00582610"/>
    <w:rsid w:val="0058585B"/>
    <w:rsid w:val="00585962"/>
    <w:rsid w:val="0058599B"/>
    <w:rsid w:val="00586770"/>
    <w:rsid w:val="00586D50"/>
    <w:rsid w:val="00590184"/>
    <w:rsid w:val="0059033F"/>
    <w:rsid w:val="005931D9"/>
    <w:rsid w:val="00593617"/>
    <w:rsid w:val="00594D21"/>
    <w:rsid w:val="00596570"/>
    <w:rsid w:val="0059762F"/>
    <w:rsid w:val="005977E3"/>
    <w:rsid w:val="005A114C"/>
    <w:rsid w:val="005A287E"/>
    <w:rsid w:val="005A4634"/>
    <w:rsid w:val="005A4BB3"/>
    <w:rsid w:val="005A5F97"/>
    <w:rsid w:val="005B0680"/>
    <w:rsid w:val="005B6B95"/>
    <w:rsid w:val="005C32FC"/>
    <w:rsid w:val="005C44D7"/>
    <w:rsid w:val="005C5E3A"/>
    <w:rsid w:val="005C663C"/>
    <w:rsid w:val="005C702D"/>
    <w:rsid w:val="005D0263"/>
    <w:rsid w:val="005D1C90"/>
    <w:rsid w:val="005D4EE9"/>
    <w:rsid w:val="005D5D20"/>
    <w:rsid w:val="005D5E0E"/>
    <w:rsid w:val="005D689E"/>
    <w:rsid w:val="005D704D"/>
    <w:rsid w:val="005E1479"/>
    <w:rsid w:val="005E2204"/>
    <w:rsid w:val="005E27F6"/>
    <w:rsid w:val="005E3A5B"/>
    <w:rsid w:val="005E482A"/>
    <w:rsid w:val="005E6044"/>
    <w:rsid w:val="005E659B"/>
    <w:rsid w:val="005E6924"/>
    <w:rsid w:val="005F04DB"/>
    <w:rsid w:val="005F1B00"/>
    <w:rsid w:val="005F2486"/>
    <w:rsid w:val="005F33C7"/>
    <w:rsid w:val="005F6961"/>
    <w:rsid w:val="005F72B7"/>
    <w:rsid w:val="005F7FCD"/>
    <w:rsid w:val="0060520A"/>
    <w:rsid w:val="00605620"/>
    <w:rsid w:val="00610D23"/>
    <w:rsid w:val="00611BC0"/>
    <w:rsid w:val="00612F2B"/>
    <w:rsid w:val="0061420D"/>
    <w:rsid w:val="006227E6"/>
    <w:rsid w:val="00623D40"/>
    <w:rsid w:val="00624048"/>
    <w:rsid w:val="00625E5C"/>
    <w:rsid w:val="006278FA"/>
    <w:rsid w:val="006314D2"/>
    <w:rsid w:val="00632830"/>
    <w:rsid w:val="00636D6B"/>
    <w:rsid w:val="0063775C"/>
    <w:rsid w:val="00640EA6"/>
    <w:rsid w:val="00641037"/>
    <w:rsid w:val="006421E7"/>
    <w:rsid w:val="00642543"/>
    <w:rsid w:val="0064386F"/>
    <w:rsid w:val="006468C7"/>
    <w:rsid w:val="0065013F"/>
    <w:rsid w:val="00652FF7"/>
    <w:rsid w:val="00662B29"/>
    <w:rsid w:val="00662C3A"/>
    <w:rsid w:val="0066711B"/>
    <w:rsid w:val="0067219C"/>
    <w:rsid w:val="0067265F"/>
    <w:rsid w:val="00675564"/>
    <w:rsid w:val="0068214A"/>
    <w:rsid w:val="00683A7F"/>
    <w:rsid w:val="00684743"/>
    <w:rsid w:val="00692B49"/>
    <w:rsid w:val="006A0EB6"/>
    <w:rsid w:val="006A12DE"/>
    <w:rsid w:val="006A3EE7"/>
    <w:rsid w:val="006A53BF"/>
    <w:rsid w:val="006A5AFC"/>
    <w:rsid w:val="006A5EBA"/>
    <w:rsid w:val="006A600B"/>
    <w:rsid w:val="006A6023"/>
    <w:rsid w:val="006B0241"/>
    <w:rsid w:val="006B073E"/>
    <w:rsid w:val="006B0F7D"/>
    <w:rsid w:val="006B10F3"/>
    <w:rsid w:val="006B1449"/>
    <w:rsid w:val="006B1868"/>
    <w:rsid w:val="006B2D6E"/>
    <w:rsid w:val="006B3469"/>
    <w:rsid w:val="006B55A8"/>
    <w:rsid w:val="006B6162"/>
    <w:rsid w:val="006B6372"/>
    <w:rsid w:val="006B6A0C"/>
    <w:rsid w:val="006C51CD"/>
    <w:rsid w:val="006D2B4B"/>
    <w:rsid w:val="006D40E0"/>
    <w:rsid w:val="006D58BD"/>
    <w:rsid w:val="006D59D2"/>
    <w:rsid w:val="006D72A7"/>
    <w:rsid w:val="006D7813"/>
    <w:rsid w:val="006E023B"/>
    <w:rsid w:val="006E0489"/>
    <w:rsid w:val="006E080B"/>
    <w:rsid w:val="006E1BEF"/>
    <w:rsid w:val="006E2E54"/>
    <w:rsid w:val="006E32CA"/>
    <w:rsid w:val="006E32D9"/>
    <w:rsid w:val="006F11F6"/>
    <w:rsid w:val="006F6DA2"/>
    <w:rsid w:val="0070009D"/>
    <w:rsid w:val="00701C45"/>
    <w:rsid w:val="007021B0"/>
    <w:rsid w:val="007052B9"/>
    <w:rsid w:val="00707F8D"/>
    <w:rsid w:val="00711A2A"/>
    <w:rsid w:val="00711D7D"/>
    <w:rsid w:val="00713B90"/>
    <w:rsid w:val="00715710"/>
    <w:rsid w:val="0071739E"/>
    <w:rsid w:val="007176FB"/>
    <w:rsid w:val="00720DAE"/>
    <w:rsid w:val="007213A3"/>
    <w:rsid w:val="00721D94"/>
    <w:rsid w:val="0072222D"/>
    <w:rsid w:val="00723C89"/>
    <w:rsid w:val="0072568E"/>
    <w:rsid w:val="00727966"/>
    <w:rsid w:val="007304C9"/>
    <w:rsid w:val="00731BE3"/>
    <w:rsid w:val="007345BA"/>
    <w:rsid w:val="00735B18"/>
    <w:rsid w:val="00736404"/>
    <w:rsid w:val="00737EB1"/>
    <w:rsid w:val="00741562"/>
    <w:rsid w:val="00742206"/>
    <w:rsid w:val="0074319A"/>
    <w:rsid w:val="007438DC"/>
    <w:rsid w:val="0074466B"/>
    <w:rsid w:val="00750526"/>
    <w:rsid w:val="00752952"/>
    <w:rsid w:val="0075624B"/>
    <w:rsid w:val="00756324"/>
    <w:rsid w:val="00756CD4"/>
    <w:rsid w:val="007600B5"/>
    <w:rsid w:val="00762777"/>
    <w:rsid w:val="007659E8"/>
    <w:rsid w:val="007664EC"/>
    <w:rsid w:val="00767A1A"/>
    <w:rsid w:val="00770C7A"/>
    <w:rsid w:val="00771F67"/>
    <w:rsid w:val="00773432"/>
    <w:rsid w:val="007743B4"/>
    <w:rsid w:val="00774E37"/>
    <w:rsid w:val="00776D46"/>
    <w:rsid w:val="00777AE2"/>
    <w:rsid w:val="00780431"/>
    <w:rsid w:val="00780F5B"/>
    <w:rsid w:val="007821E6"/>
    <w:rsid w:val="007832D4"/>
    <w:rsid w:val="007844A9"/>
    <w:rsid w:val="0079451B"/>
    <w:rsid w:val="007A225D"/>
    <w:rsid w:val="007A324D"/>
    <w:rsid w:val="007A40B7"/>
    <w:rsid w:val="007A72F2"/>
    <w:rsid w:val="007A7D14"/>
    <w:rsid w:val="007B261A"/>
    <w:rsid w:val="007B2E96"/>
    <w:rsid w:val="007B3DB2"/>
    <w:rsid w:val="007B49C1"/>
    <w:rsid w:val="007B4AB1"/>
    <w:rsid w:val="007B4B50"/>
    <w:rsid w:val="007B5A86"/>
    <w:rsid w:val="007C0F46"/>
    <w:rsid w:val="007C2AFC"/>
    <w:rsid w:val="007C48CA"/>
    <w:rsid w:val="007C74F4"/>
    <w:rsid w:val="007C7BBE"/>
    <w:rsid w:val="007D35D2"/>
    <w:rsid w:val="007D37CA"/>
    <w:rsid w:val="007D4EB1"/>
    <w:rsid w:val="007D58CD"/>
    <w:rsid w:val="007D6C88"/>
    <w:rsid w:val="007E0798"/>
    <w:rsid w:val="007E127B"/>
    <w:rsid w:val="007E1DBB"/>
    <w:rsid w:val="007E2362"/>
    <w:rsid w:val="007E2D91"/>
    <w:rsid w:val="007E3AA2"/>
    <w:rsid w:val="007F19D0"/>
    <w:rsid w:val="007F1D3A"/>
    <w:rsid w:val="007F22FF"/>
    <w:rsid w:val="007F2EC6"/>
    <w:rsid w:val="007F40C4"/>
    <w:rsid w:val="008057D9"/>
    <w:rsid w:val="008060D5"/>
    <w:rsid w:val="008067B7"/>
    <w:rsid w:val="00807B5E"/>
    <w:rsid w:val="00810C6D"/>
    <w:rsid w:val="00811B69"/>
    <w:rsid w:val="008122E3"/>
    <w:rsid w:val="00813037"/>
    <w:rsid w:val="00813E6D"/>
    <w:rsid w:val="008177E5"/>
    <w:rsid w:val="00821284"/>
    <w:rsid w:val="00822931"/>
    <w:rsid w:val="008233A4"/>
    <w:rsid w:val="008238F4"/>
    <w:rsid w:val="00824C31"/>
    <w:rsid w:val="00826F0F"/>
    <w:rsid w:val="008323F2"/>
    <w:rsid w:val="00833D94"/>
    <w:rsid w:val="00835CC4"/>
    <w:rsid w:val="00840C45"/>
    <w:rsid w:val="00840C68"/>
    <w:rsid w:val="008411F6"/>
    <w:rsid w:val="00841357"/>
    <w:rsid w:val="00842005"/>
    <w:rsid w:val="00844D2D"/>
    <w:rsid w:val="00845F38"/>
    <w:rsid w:val="00846774"/>
    <w:rsid w:val="00852046"/>
    <w:rsid w:val="008520CB"/>
    <w:rsid w:val="008531FB"/>
    <w:rsid w:val="00853A89"/>
    <w:rsid w:val="00855797"/>
    <w:rsid w:val="00862901"/>
    <w:rsid w:val="008629F9"/>
    <w:rsid w:val="008647F5"/>
    <w:rsid w:val="0086540B"/>
    <w:rsid w:val="00870324"/>
    <w:rsid w:val="00870E2C"/>
    <w:rsid w:val="00871BB9"/>
    <w:rsid w:val="00872CAE"/>
    <w:rsid w:val="00882235"/>
    <w:rsid w:val="00882857"/>
    <w:rsid w:val="00883265"/>
    <w:rsid w:val="008855B4"/>
    <w:rsid w:val="00895EF2"/>
    <w:rsid w:val="008A12EB"/>
    <w:rsid w:val="008A26EF"/>
    <w:rsid w:val="008A297C"/>
    <w:rsid w:val="008A470C"/>
    <w:rsid w:val="008B0374"/>
    <w:rsid w:val="008B1350"/>
    <w:rsid w:val="008B244D"/>
    <w:rsid w:val="008B3D3D"/>
    <w:rsid w:val="008B5D97"/>
    <w:rsid w:val="008B755D"/>
    <w:rsid w:val="008B780E"/>
    <w:rsid w:val="008C0ADA"/>
    <w:rsid w:val="008C4538"/>
    <w:rsid w:val="008D22B3"/>
    <w:rsid w:val="008D38CB"/>
    <w:rsid w:val="008D3E3D"/>
    <w:rsid w:val="008D655F"/>
    <w:rsid w:val="008D6E07"/>
    <w:rsid w:val="008E0020"/>
    <w:rsid w:val="008E1119"/>
    <w:rsid w:val="008E22DB"/>
    <w:rsid w:val="008E4C79"/>
    <w:rsid w:val="008E5686"/>
    <w:rsid w:val="008E7468"/>
    <w:rsid w:val="008F1988"/>
    <w:rsid w:val="008F5C3D"/>
    <w:rsid w:val="0090005E"/>
    <w:rsid w:val="00901357"/>
    <w:rsid w:val="00904A8F"/>
    <w:rsid w:val="009073B3"/>
    <w:rsid w:val="0091172B"/>
    <w:rsid w:val="00914F03"/>
    <w:rsid w:val="00916E69"/>
    <w:rsid w:val="009216E4"/>
    <w:rsid w:val="009244AC"/>
    <w:rsid w:val="009313FB"/>
    <w:rsid w:val="009336C3"/>
    <w:rsid w:val="00934F67"/>
    <w:rsid w:val="00936507"/>
    <w:rsid w:val="00937F74"/>
    <w:rsid w:val="0094065E"/>
    <w:rsid w:val="00940C1A"/>
    <w:rsid w:val="00943033"/>
    <w:rsid w:val="00943621"/>
    <w:rsid w:val="00944EF0"/>
    <w:rsid w:val="00945A5F"/>
    <w:rsid w:val="00946B62"/>
    <w:rsid w:val="0095197E"/>
    <w:rsid w:val="00951A64"/>
    <w:rsid w:val="00955069"/>
    <w:rsid w:val="009553F2"/>
    <w:rsid w:val="00957C5A"/>
    <w:rsid w:val="00964DF8"/>
    <w:rsid w:val="009656D2"/>
    <w:rsid w:val="00967634"/>
    <w:rsid w:val="009700A9"/>
    <w:rsid w:val="009713F5"/>
    <w:rsid w:val="00971A1D"/>
    <w:rsid w:val="00971AF0"/>
    <w:rsid w:val="009726B5"/>
    <w:rsid w:val="00973AA0"/>
    <w:rsid w:val="0097574E"/>
    <w:rsid w:val="00976E71"/>
    <w:rsid w:val="00977C94"/>
    <w:rsid w:val="00977D6C"/>
    <w:rsid w:val="00981021"/>
    <w:rsid w:val="00982947"/>
    <w:rsid w:val="009829A7"/>
    <w:rsid w:val="009840FF"/>
    <w:rsid w:val="00990EE8"/>
    <w:rsid w:val="00997F5F"/>
    <w:rsid w:val="009A111B"/>
    <w:rsid w:val="009A15C8"/>
    <w:rsid w:val="009A2EC5"/>
    <w:rsid w:val="009B2817"/>
    <w:rsid w:val="009B572C"/>
    <w:rsid w:val="009B5BF8"/>
    <w:rsid w:val="009B6D9D"/>
    <w:rsid w:val="009B7662"/>
    <w:rsid w:val="009C1B54"/>
    <w:rsid w:val="009C1B6B"/>
    <w:rsid w:val="009C244C"/>
    <w:rsid w:val="009D049B"/>
    <w:rsid w:val="009D172A"/>
    <w:rsid w:val="009D3123"/>
    <w:rsid w:val="009D41CE"/>
    <w:rsid w:val="009D4224"/>
    <w:rsid w:val="009D5FF7"/>
    <w:rsid w:val="009D6A10"/>
    <w:rsid w:val="009D79F1"/>
    <w:rsid w:val="009E1238"/>
    <w:rsid w:val="009E1D88"/>
    <w:rsid w:val="009E4E0C"/>
    <w:rsid w:val="009E6E85"/>
    <w:rsid w:val="009E74DF"/>
    <w:rsid w:val="009F0A5E"/>
    <w:rsid w:val="009F2993"/>
    <w:rsid w:val="009F2F3E"/>
    <w:rsid w:val="009F563D"/>
    <w:rsid w:val="009F78E7"/>
    <w:rsid w:val="00A01215"/>
    <w:rsid w:val="00A0189A"/>
    <w:rsid w:val="00A050B0"/>
    <w:rsid w:val="00A056AD"/>
    <w:rsid w:val="00A056EB"/>
    <w:rsid w:val="00A11B43"/>
    <w:rsid w:val="00A12693"/>
    <w:rsid w:val="00A12843"/>
    <w:rsid w:val="00A13270"/>
    <w:rsid w:val="00A153BC"/>
    <w:rsid w:val="00A15B9E"/>
    <w:rsid w:val="00A165CA"/>
    <w:rsid w:val="00A16D61"/>
    <w:rsid w:val="00A179B2"/>
    <w:rsid w:val="00A31B28"/>
    <w:rsid w:val="00A35604"/>
    <w:rsid w:val="00A3700B"/>
    <w:rsid w:val="00A37153"/>
    <w:rsid w:val="00A406AE"/>
    <w:rsid w:val="00A41955"/>
    <w:rsid w:val="00A50B44"/>
    <w:rsid w:val="00A5625E"/>
    <w:rsid w:val="00A56794"/>
    <w:rsid w:val="00A57929"/>
    <w:rsid w:val="00A60F00"/>
    <w:rsid w:val="00A70AB7"/>
    <w:rsid w:val="00A72769"/>
    <w:rsid w:val="00A77C92"/>
    <w:rsid w:val="00A81893"/>
    <w:rsid w:val="00A82E24"/>
    <w:rsid w:val="00A9498D"/>
    <w:rsid w:val="00A9682C"/>
    <w:rsid w:val="00A97BFE"/>
    <w:rsid w:val="00AA07F8"/>
    <w:rsid w:val="00AA3709"/>
    <w:rsid w:val="00AA7BD0"/>
    <w:rsid w:val="00AB4944"/>
    <w:rsid w:val="00AB6179"/>
    <w:rsid w:val="00AB6AA2"/>
    <w:rsid w:val="00AB7DEF"/>
    <w:rsid w:val="00AC0306"/>
    <w:rsid w:val="00AC1CA3"/>
    <w:rsid w:val="00AC25D1"/>
    <w:rsid w:val="00AC3110"/>
    <w:rsid w:val="00AC4321"/>
    <w:rsid w:val="00AC569E"/>
    <w:rsid w:val="00AC7D2D"/>
    <w:rsid w:val="00AD237C"/>
    <w:rsid w:val="00AE413D"/>
    <w:rsid w:val="00AF0885"/>
    <w:rsid w:val="00AF641C"/>
    <w:rsid w:val="00AF758E"/>
    <w:rsid w:val="00B009F7"/>
    <w:rsid w:val="00B01575"/>
    <w:rsid w:val="00B02974"/>
    <w:rsid w:val="00B03228"/>
    <w:rsid w:val="00B033FE"/>
    <w:rsid w:val="00B1066A"/>
    <w:rsid w:val="00B10D3D"/>
    <w:rsid w:val="00B119AD"/>
    <w:rsid w:val="00B32C65"/>
    <w:rsid w:val="00B32DCD"/>
    <w:rsid w:val="00B333A3"/>
    <w:rsid w:val="00B34A1D"/>
    <w:rsid w:val="00B35175"/>
    <w:rsid w:val="00B36E93"/>
    <w:rsid w:val="00B37C0B"/>
    <w:rsid w:val="00B41B92"/>
    <w:rsid w:val="00B42958"/>
    <w:rsid w:val="00B4586A"/>
    <w:rsid w:val="00B467BD"/>
    <w:rsid w:val="00B46D06"/>
    <w:rsid w:val="00B47347"/>
    <w:rsid w:val="00B4774A"/>
    <w:rsid w:val="00B50BEF"/>
    <w:rsid w:val="00B54836"/>
    <w:rsid w:val="00B55B78"/>
    <w:rsid w:val="00B61D53"/>
    <w:rsid w:val="00B61FDD"/>
    <w:rsid w:val="00B640C6"/>
    <w:rsid w:val="00B6483C"/>
    <w:rsid w:val="00B6553B"/>
    <w:rsid w:val="00B6629B"/>
    <w:rsid w:val="00B662D6"/>
    <w:rsid w:val="00B701F0"/>
    <w:rsid w:val="00B73050"/>
    <w:rsid w:val="00B7353B"/>
    <w:rsid w:val="00B74A9F"/>
    <w:rsid w:val="00B77302"/>
    <w:rsid w:val="00B81022"/>
    <w:rsid w:val="00B81E30"/>
    <w:rsid w:val="00B82F93"/>
    <w:rsid w:val="00B846F7"/>
    <w:rsid w:val="00B861D0"/>
    <w:rsid w:val="00B86A11"/>
    <w:rsid w:val="00BA13EE"/>
    <w:rsid w:val="00BA28E5"/>
    <w:rsid w:val="00BA2C1C"/>
    <w:rsid w:val="00BB3E4D"/>
    <w:rsid w:val="00BB444B"/>
    <w:rsid w:val="00BB5EFA"/>
    <w:rsid w:val="00BB68C6"/>
    <w:rsid w:val="00BB75FD"/>
    <w:rsid w:val="00BC17AC"/>
    <w:rsid w:val="00BC23A7"/>
    <w:rsid w:val="00BC4C99"/>
    <w:rsid w:val="00BC7513"/>
    <w:rsid w:val="00BC7B3A"/>
    <w:rsid w:val="00BC7B53"/>
    <w:rsid w:val="00BD0828"/>
    <w:rsid w:val="00BD2A8C"/>
    <w:rsid w:val="00BD3507"/>
    <w:rsid w:val="00BD4B2F"/>
    <w:rsid w:val="00BD56B9"/>
    <w:rsid w:val="00BD65C1"/>
    <w:rsid w:val="00BD669C"/>
    <w:rsid w:val="00BD7A9E"/>
    <w:rsid w:val="00BE0AC1"/>
    <w:rsid w:val="00BE218B"/>
    <w:rsid w:val="00BE2D23"/>
    <w:rsid w:val="00BE583E"/>
    <w:rsid w:val="00BF0361"/>
    <w:rsid w:val="00BF037B"/>
    <w:rsid w:val="00BF0FAF"/>
    <w:rsid w:val="00BF34D1"/>
    <w:rsid w:val="00BF5720"/>
    <w:rsid w:val="00C01BA8"/>
    <w:rsid w:val="00C0475F"/>
    <w:rsid w:val="00C06F76"/>
    <w:rsid w:val="00C15F08"/>
    <w:rsid w:val="00C167FA"/>
    <w:rsid w:val="00C22510"/>
    <w:rsid w:val="00C253F4"/>
    <w:rsid w:val="00C25979"/>
    <w:rsid w:val="00C3410C"/>
    <w:rsid w:val="00C344FC"/>
    <w:rsid w:val="00C3503A"/>
    <w:rsid w:val="00C36091"/>
    <w:rsid w:val="00C37325"/>
    <w:rsid w:val="00C37B91"/>
    <w:rsid w:val="00C41EB5"/>
    <w:rsid w:val="00C42C92"/>
    <w:rsid w:val="00C45290"/>
    <w:rsid w:val="00C45D55"/>
    <w:rsid w:val="00C46E67"/>
    <w:rsid w:val="00C51BDD"/>
    <w:rsid w:val="00C543AA"/>
    <w:rsid w:val="00C57D66"/>
    <w:rsid w:val="00C60297"/>
    <w:rsid w:val="00C60F9C"/>
    <w:rsid w:val="00C63E72"/>
    <w:rsid w:val="00C644AA"/>
    <w:rsid w:val="00C66F11"/>
    <w:rsid w:val="00C66FFD"/>
    <w:rsid w:val="00C74FCC"/>
    <w:rsid w:val="00C752EE"/>
    <w:rsid w:val="00C75ABC"/>
    <w:rsid w:val="00C76FB2"/>
    <w:rsid w:val="00C77566"/>
    <w:rsid w:val="00C846CA"/>
    <w:rsid w:val="00C84A86"/>
    <w:rsid w:val="00C90344"/>
    <w:rsid w:val="00C9445A"/>
    <w:rsid w:val="00C94A89"/>
    <w:rsid w:val="00C96895"/>
    <w:rsid w:val="00CA1BD8"/>
    <w:rsid w:val="00CA294F"/>
    <w:rsid w:val="00CA2D19"/>
    <w:rsid w:val="00CA3A2B"/>
    <w:rsid w:val="00CA4BB2"/>
    <w:rsid w:val="00CA70CC"/>
    <w:rsid w:val="00CB01D2"/>
    <w:rsid w:val="00CB0D1F"/>
    <w:rsid w:val="00CB304D"/>
    <w:rsid w:val="00CB3952"/>
    <w:rsid w:val="00CC1D1D"/>
    <w:rsid w:val="00CC1F52"/>
    <w:rsid w:val="00CC3AC3"/>
    <w:rsid w:val="00CC4BAC"/>
    <w:rsid w:val="00CD1590"/>
    <w:rsid w:val="00CD446E"/>
    <w:rsid w:val="00CD49D1"/>
    <w:rsid w:val="00CD51F2"/>
    <w:rsid w:val="00CE2614"/>
    <w:rsid w:val="00CE681A"/>
    <w:rsid w:val="00CE7963"/>
    <w:rsid w:val="00CF25AA"/>
    <w:rsid w:val="00CF2B15"/>
    <w:rsid w:val="00CF4900"/>
    <w:rsid w:val="00CF543C"/>
    <w:rsid w:val="00CF5D62"/>
    <w:rsid w:val="00CF632A"/>
    <w:rsid w:val="00CF63BE"/>
    <w:rsid w:val="00CF70B6"/>
    <w:rsid w:val="00CF7484"/>
    <w:rsid w:val="00D00C7C"/>
    <w:rsid w:val="00D016B0"/>
    <w:rsid w:val="00D04941"/>
    <w:rsid w:val="00D07786"/>
    <w:rsid w:val="00D12AB6"/>
    <w:rsid w:val="00D1421F"/>
    <w:rsid w:val="00D14823"/>
    <w:rsid w:val="00D15D5C"/>
    <w:rsid w:val="00D16955"/>
    <w:rsid w:val="00D16B6E"/>
    <w:rsid w:val="00D20706"/>
    <w:rsid w:val="00D2328C"/>
    <w:rsid w:val="00D232D1"/>
    <w:rsid w:val="00D2768C"/>
    <w:rsid w:val="00D3204C"/>
    <w:rsid w:val="00D3223D"/>
    <w:rsid w:val="00D32896"/>
    <w:rsid w:val="00D35FB7"/>
    <w:rsid w:val="00D36BBE"/>
    <w:rsid w:val="00D37BE9"/>
    <w:rsid w:val="00D42DCF"/>
    <w:rsid w:val="00D4468E"/>
    <w:rsid w:val="00D447B8"/>
    <w:rsid w:val="00D45E27"/>
    <w:rsid w:val="00D4794D"/>
    <w:rsid w:val="00D5044D"/>
    <w:rsid w:val="00D55C73"/>
    <w:rsid w:val="00D56D66"/>
    <w:rsid w:val="00D572A7"/>
    <w:rsid w:val="00D61465"/>
    <w:rsid w:val="00D618AF"/>
    <w:rsid w:val="00D62500"/>
    <w:rsid w:val="00D67947"/>
    <w:rsid w:val="00D73ED0"/>
    <w:rsid w:val="00D75566"/>
    <w:rsid w:val="00D77185"/>
    <w:rsid w:val="00D81B7F"/>
    <w:rsid w:val="00D8523D"/>
    <w:rsid w:val="00D86900"/>
    <w:rsid w:val="00D878FC"/>
    <w:rsid w:val="00D904AB"/>
    <w:rsid w:val="00D92078"/>
    <w:rsid w:val="00D93972"/>
    <w:rsid w:val="00D947C4"/>
    <w:rsid w:val="00DA0282"/>
    <w:rsid w:val="00DA2712"/>
    <w:rsid w:val="00DA57B3"/>
    <w:rsid w:val="00DA5E73"/>
    <w:rsid w:val="00DB312E"/>
    <w:rsid w:val="00DB4D26"/>
    <w:rsid w:val="00DB6F6B"/>
    <w:rsid w:val="00DC1487"/>
    <w:rsid w:val="00DD126B"/>
    <w:rsid w:val="00DD584F"/>
    <w:rsid w:val="00DD61AE"/>
    <w:rsid w:val="00DD7867"/>
    <w:rsid w:val="00DE12FA"/>
    <w:rsid w:val="00DE3A53"/>
    <w:rsid w:val="00DE443F"/>
    <w:rsid w:val="00DE63C7"/>
    <w:rsid w:val="00DF0447"/>
    <w:rsid w:val="00DF1D96"/>
    <w:rsid w:val="00DF1EBD"/>
    <w:rsid w:val="00DF21F8"/>
    <w:rsid w:val="00DF6361"/>
    <w:rsid w:val="00DF6B33"/>
    <w:rsid w:val="00E02183"/>
    <w:rsid w:val="00E0500D"/>
    <w:rsid w:val="00E05438"/>
    <w:rsid w:val="00E07F04"/>
    <w:rsid w:val="00E11C50"/>
    <w:rsid w:val="00E12DC9"/>
    <w:rsid w:val="00E14346"/>
    <w:rsid w:val="00E16F3B"/>
    <w:rsid w:val="00E223A2"/>
    <w:rsid w:val="00E2656E"/>
    <w:rsid w:val="00E27C63"/>
    <w:rsid w:val="00E27DC3"/>
    <w:rsid w:val="00E339DB"/>
    <w:rsid w:val="00E42B86"/>
    <w:rsid w:val="00E460FA"/>
    <w:rsid w:val="00E52132"/>
    <w:rsid w:val="00E52884"/>
    <w:rsid w:val="00E54EC7"/>
    <w:rsid w:val="00E55494"/>
    <w:rsid w:val="00E57562"/>
    <w:rsid w:val="00E57C73"/>
    <w:rsid w:val="00E602DE"/>
    <w:rsid w:val="00E610A6"/>
    <w:rsid w:val="00E6140D"/>
    <w:rsid w:val="00E617E2"/>
    <w:rsid w:val="00E634A1"/>
    <w:rsid w:val="00E63EC2"/>
    <w:rsid w:val="00E722A1"/>
    <w:rsid w:val="00E73005"/>
    <w:rsid w:val="00E7567E"/>
    <w:rsid w:val="00E75994"/>
    <w:rsid w:val="00E76179"/>
    <w:rsid w:val="00E823B6"/>
    <w:rsid w:val="00E853A0"/>
    <w:rsid w:val="00E91B23"/>
    <w:rsid w:val="00E91D98"/>
    <w:rsid w:val="00E93F86"/>
    <w:rsid w:val="00EA154B"/>
    <w:rsid w:val="00EA1DA4"/>
    <w:rsid w:val="00EA3845"/>
    <w:rsid w:val="00EA3A21"/>
    <w:rsid w:val="00EB336C"/>
    <w:rsid w:val="00EB405E"/>
    <w:rsid w:val="00EC0EEE"/>
    <w:rsid w:val="00EC3FA8"/>
    <w:rsid w:val="00EC61C5"/>
    <w:rsid w:val="00ED025B"/>
    <w:rsid w:val="00ED140B"/>
    <w:rsid w:val="00ED1855"/>
    <w:rsid w:val="00ED2001"/>
    <w:rsid w:val="00ED2DD3"/>
    <w:rsid w:val="00ED3FF5"/>
    <w:rsid w:val="00EE0EBB"/>
    <w:rsid w:val="00EE162B"/>
    <w:rsid w:val="00EE5FB2"/>
    <w:rsid w:val="00EE68B0"/>
    <w:rsid w:val="00EE77F4"/>
    <w:rsid w:val="00EE7BE6"/>
    <w:rsid w:val="00EF2BBB"/>
    <w:rsid w:val="00EF2CCF"/>
    <w:rsid w:val="00EF5A0F"/>
    <w:rsid w:val="00F02DCD"/>
    <w:rsid w:val="00F03B68"/>
    <w:rsid w:val="00F10EA3"/>
    <w:rsid w:val="00F12F15"/>
    <w:rsid w:val="00F1670D"/>
    <w:rsid w:val="00F168CC"/>
    <w:rsid w:val="00F1728F"/>
    <w:rsid w:val="00F17352"/>
    <w:rsid w:val="00F173A4"/>
    <w:rsid w:val="00F200AB"/>
    <w:rsid w:val="00F22BAE"/>
    <w:rsid w:val="00F22C3D"/>
    <w:rsid w:val="00F242C1"/>
    <w:rsid w:val="00F2737D"/>
    <w:rsid w:val="00F27677"/>
    <w:rsid w:val="00F31445"/>
    <w:rsid w:val="00F36AC6"/>
    <w:rsid w:val="00F41D4D"/>
    <w:rsid w:val="00F423CD"/>
    <w:rsid w:val="00F42998"/>
    <w:rsid w:val="00F45010"/>
    <w:rsid w:val="00F47402"/>
    <w:rsid w:val="00F47873"/>
    <w:rsid w:val="00F50EE8"/>
    <w:rsid w:val="00F51DD7"/>
    <w:rsid w:val="00F52546"/>
    <w:rsid w:val="00F52A37"/>
    <w:rsid w:val="00F54471"/>
    <w:rsid w:val="00F62451"/>
    <w:rsid w:val="00F638DC"/>
    <w:rsid w:val="00F644AF"/>
    <w:rsid w:val="00F647C8"/>
    <w:rsid w:val="00F65802"/>
    <w:rsid w:val="00F66052"/>
    <w:rsid w:val="00F67476"/>
    <w:rsid w:val="00F74574"/>
    <w:rsid w:val="00F763D9"/>
    <w:rsid w:val="00F76F4E"/>
    <w:rsid w:val="00F77B6A"/>
    <w:rsid w:val="00F77DCA"/>
    <w:rsid w:val="00F8054E"/>
    <w:rsid w:val="00F81471"/>
    <w:rsid w:val="00F820BC"/>
    <w:rsid w:val="00F85A50"/>
    <w:rsid w:val="00F867F0"/>
    <w:rsid w:val="00F87374"/>
    <w:rsid w:val="00F94173"/>
    <w:rsid w:val="00F95FB5"/>
    <w:rsid w:val="00F97EA7"/>
    <w:rsid w:val="00FA0581"/>
    <w:rsid w:val="00FA072A"/>
    <w:rsid w:val="00FA0F47"/>
    <w:rsid w:val="00FA1995"/>
    <w:rsid w:val="00FA354E"/>
    <w:rsid w:val="00FA5E3B"/>
    <w:rsid w:val="00FB20D1"/>
    <w:rsid w:val="00FB399F"/>
    <w:rsid w:val="00FB5775"/>
    <w:rsid w:val="00FC03BE"/>
    <w:rsid w:val="00FC3EF0"/>
    <w:rsid w:val="00FC5E86"/>
    <w:rsid w:val="00FC6EA9"/>
    <w:rsid w:val="00FC7A32"/>
    <w:rsid w:val="00FD2F40"/>
    <w:rsid w:val="00FD3D55"/>
    <w:rsid w:val="00FD4FC9"/>
    <w:rsid w:val="00FD5495"/>
    <w:rsid w:val="00FE0077"/>
    <w:rsid w:val="00FE04DB"/>
    <w:rsid w:val="00FE3CB5"/>
    <w:rsid w:val="00FE4134"/>
    <w:rsid w:val="00FF1E27"/>
    <w:rsid w:val="00FF3F07"/>
    <w:rsid w:val="00FF7D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5E2B"/>
  <w15:docId w15:val="{81371C9F-D9DB-45A4-89FF-B1CFA30A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Standard"/>
    <w:pPr>
      <w:keepNext/>
      <w:jc w:val="center"/>
      <w:outlineLvl w:val="0"/>
    </w:pPr>
    <w:rPr>
      <w:rFonts w:ascii="Times New Roman" w:eastAsia="Times New Roman" w:hAnsi="Times New Roman" w:cs="Times New Roman"/>
      <w:b/>
    </w:rPr>
  </w:style>
  <w:style w:type="paragraph" w:styleId="Antrat2">
    <w:name w:val="heading 2"/>
    <w:basedOn w:val="prastasis"/>
    <w:next w:val="prastasis"/>
    <w:link w:val="Antrat2Diagrama"/>
    <w:uiPriority w:val="9"/>
    <w:semiHidden/>
    <w:unhideWhenUsed/>
    <w:qFormat/>
    <w:rsid w:val="004D2C36"/>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Sraas">
    <w:name w:val="List"/>
    <w:basedOn w:val="Textbody"/>
  </w:style>
  <w:style w:type="paragraph" w:styleId="Antra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VARNELES,Bul,Lentele"/>
    <w:basedOn w:val="Standard"/>
    <w:link w:val="SraopastraipaDiagrama"/>
    <w:uiPriority w:val="34"/>
    <w:qFormat/>
    <w:pPr>
      <w:spacing w:after="200"/>
      <w:ind w:left="720"/>
    </w:pPr>
  </w:style>
  <w:style w:type="paragraph" w:customStyle="1" w:styleId="Standarduser">
    <w:name w:val="Standard (user)"/>
  </w:style>
  <w:style w:type="paragraph" w:customStyle="1" w:styleId="PreformattedText">
    <w:name w:val="Preformatted Text"/>
    <w:basedOn w:val="Standard"/>
    <w:rPr>
      <w:rFonts w:ascii="Liberation Mono" w:eastAsia="NSimSun" w:hAnsi="Liberation Mono" w:cs="Liberation Mono"/>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prastasiniatinklio">
    <w:name w:val="Normal (Web)"/>
    <w:basedOn w:val="Standard"/>
    <w:pPr>
      <w:spacing w:before="280" w:after="280"/>
    </w:pPr>
    <w:rPr>
      <w:rFonts w:ascii="Times New Roman" w:eastAsia="Times New Roman" w:hAnsi="Times New Roman" w:cs="Times New Roman"/>
    </w:rPr>
  </w:style>
  <w:style w:type="character" w:customStyle="1" w:styleId="ListLabel17">
    <w:name w:val="ListLabel 17"/>
    <w:rPr>
      <w:rFonts w:cs="Times New Roman"/>
      <w:sz w:val="24"/>
      <w:szCs w:val="24"/>
    </w:rPr>
  </w:style>
  <w:style w:type="character" w:customStyle="1" w:styleId="ListLabel18">
    <w:name w:val="ListLabel 18"/>
    <w:rPr>
      <w:rFonts w:cs="Courier New"/>
    </w:rPr>
  </w:style>
  <w:style w:type="character" w:customStyle="1" w:styleId="ListLabel19">
    <w:name w:val="ListLabel 19"/>
    <w:rPr>
      <w:rFonts w:cs="Wingdings"/>
    </w:rPr>
  </w:style>
  <w:style w:type="character" w:customStyle="1" w:styleId="ListLabel20">
    <w:name w:val="ListLabel 20"/>
    <w:rPr>
      <w:rFonts w:cs="Symbol"/>
    </w:rPr>
  </w:style>
  <w:style w:type="character" w:customStyle="1" w:styleId="ListLabel21">
    <w:name w:val="ListLabel 21"/>
    <w:rPr>
      <w:rFonts w:cs="Courier New"/>
    </w:rPr>
  </w:style>
  <w:style w:type="character" w:customStyle="1" w:styleId="ListLabel22">
    <w:name w:val="ListLabel 22"/>
    <w:rPr>
      <w:rFonts w:cs="Wingdings"/>
    </w:rPr>
  </w:style>
  <w:style w:type="character" w:customStyle="1" w:styleId="ListLabel23">
    <w:name w:val="ListLabel 23"/>
    <w:rPr>
      <w:rFonts w:cs="Symbol"/>
    </w:rPr>
  </w:style>
  <w:style w:type="character" w:customStyle="1" w:styleId="ListLabel24">
    <w:name w:val="ListLabel 24"/>
    <w:rPr>
      <w:rFonts w:cs="Courier New"/>
    </w:rPr>
  </w:style>
  <w:style w:type="character" w:customStyle="1" w:styleId="ListLabel25">
    <w:name w:val="ListLabel 25"/>
    <w:rPr>
      <w:rFonts w:cs="Wingdings"/>
    </w:rPr>
  </w:style>
  <w:style w:type="numbering" w:customStyle="1" w:styleId="WWNum1">
    <w:name w:val="WWNum1"/>
    <w:basedOn w:val="Sraonra"/>
    <w:pPr>
      <w:numPr>
        <w:numId w:val="1"/>
      </w:numPr>
    </w:pPr>
  </w:style>
  <w:style w:type="numbering" w:customStyle="1" w:styleId="WWNum7">
    <w:name w:val="WWNum7"/>
    <w:basedOn w:val="Sraonra"/>
    <w:pPr>
      <w:numPr>
        <w:numId w:val="2"/>
      </w:numPr>
    </w:pPr>
  </w:style>
  <w:style w:type="paragraph" w:styleId="HTMLiankstoformatuotas">
    <w:name w:val="HTML Preformatted"/>
    <w:basedOn w:val="prastasis"/>
    <w:link w:val="HTMLiankstoformatuotasDiagrama"/>
    <w:uiPriority w:val="99"/>
    <w:unhideWhenUsed/>
    <w:rsid w:val="005A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lt-LT" w:bidi="ar-SA"/>
    </w:rPr>
  </w:style>
  <w:style w:type="character" w:customStyle="1" w:styleId="HTMLiankstoformatuotasDiagrama">
    <w:name w:val="HTML iš anksto formatuotas Diagrama"/>
    <w:basedOn w:val="Numatytasispastraiposriftas"/>
    <w:link w:val="HTMLiankstoformatuotas"/>
    <w:uiPriority w:val="99"/>
    <w:rsid w:val="005A4BB3"/>
    <w:rPr>
      <w:rFonts w:ascii="Courier New" w:eastAsia="Times New Roman" w:hAnsi="Courier New" w:cs="Courier New"/>
      <w:kern w:val="0"/>
      <w:sz w:val="20"/>
      <w:szCs w:val="20"/>
      <w:lang w:eastAsia="lt-LT" w:bidi="ar-SA"/>
    </w:rPr>
  </w:style>
  <w:style w:type="character" w:customStyle="1" w:styleId="y2iqfc">
    <w:name w:val="y2iqfc"/>
    <w:basedOn w:val="Numatytasispastraiposriftas"/>
    <w:rsid w:val="005A4BB3"/>
  </w:style>
  <w:style w:type="paragraph" w:customStyle="1" w:styleId="Default">
    <w:name w:val="Default"/>
    <w:rsid w:val="00C45D55"/>
    <w:pPr>
      <w:suppressAutoHyphens w:val="0"/>
      <w:autoSpaceDE w:val="0"/>
      <w:adjustRightInd w:val="0"/>
      <w:textAlignment w:val="auto"/>
    </w:pPr>
    <w:rPr>
      <w:rFonts w:ascii="Univers LT Std 47 Cn Lt" w:hAnsi="Univers LT Std 47 Cn Lt" w:cs="Univers LT Std 47 Cn Lt"/>
      <w:color w:val="000000"/>
      <w:kern w:val="0"/>
      <w:lang w:bidi="ar-SA"/>
    </w:rPr>
  </w:style>
  <w:style w:type="paragraph" w:customStyle="1" w:styleId="Pa1">
    <w:name w:val="Pa1"/>
    <w:basedOn w:val="Default"/>
    <w:next w:val="Default"/>
    <w:uiPriority w:val="99"/>
    <w:rsid w:val="00C45D55"/>
    <w:pPr>
      <w:spacing w:line="181" w:lineRule="atLeast"/>
    </w:pPr>
    <w:rPr>
      <w:rFonts w:cs="Times New Roman"/>
      <w:color w:val="auto"/>
    </w:rPr>
  </w:style>
  <w:style w:type="character" w:customStyle="1" w:styleId="A1">
    <w:name w:val="A1"/>
    <w:uiPriority w:val="99"/>
    <w:rsid w:val="00C45D55"/>
    <w:rPr>
      <w:rFonts w:cs="Univers LT Std 47 Cn Lt"/>
      <w:color w:val="000000"/>
      <w:sz w:val="16"/>
      <w:szCs w:val="16"/>
    </w:rPr>
  </w:style>
  <w:style w:type="character" w:customStyle="1" w:styleId="Antrat2Diagrama">
    <w:name w:val="Antraštė 2 Diagrama"/>
    <w:basedOn w:val="Numatytasispastraiposriftas"/>
    <w:link w:val="Antrat2"/>
    <w:uiPriority w:val="9"/>
    <w:rsid w:val="004D2C36"/>
    <w:rPr>
      <w:rFonts w:asciiTheme="majorHAnsi" w:eastAsiaTheme="majorEastAsia" w:hAnsiTheme="majorHAnsi"/>
      <w:color w:val="2E74B5" w:themeColor="accent1" w:themeShade="BF"/>
      <w:sz w:val="26"/>
      <w:szCs w:val="23"/>
    </w:rPr>
  </w:style>
  <w:style w:type="paragraph" w:customStyle="1" w:styleId="DefaultDrawingStyle">
    <w:name w:val="Default Drawing Style"/>
    <w:rsid w:val="005E27F6"/>
    <w:pPr>
      <w:suppressAutoHyphens w:val="0"/>
      <w:autoSpaceDE w:val="0"/>
      <w:adjustRightInd w:val="0"/>
      <w:spacing w:line="200" w:lineRule="atLeast"/>
      <w:textAlignment w:val="auto"/>
    </w:pPr>
    <w:rPr>
      <w:rFonts w:ascii="Arial Unicode MS" w:eastAsia="Arial Unicode MS" w:hAnsi="Liberation Sans" w:cs="Arial Unicode MS"/>
      <w:kern w:val="1"/>
      <w:sz w:val="36"/>
      <w:szCs w:val="36"/>
      <w:lang w:bidi="ar-SA"/>
    </w:rPr>
  </w:style>
  <w:style w:type="table" w:customStyle="1" w:styleId="TableGrid1">
    <w:name w:val="Table Grid1"/>
    <w:basedOn w:val="prastojilentel"/>
    <w:next w:val="Lentelstinklelis"/>
    <w:uiPriority w:val="39"/>
    <w:rsid w:val="002A0C66"/>
    <w:pPr>
      <w:suppressAutoHyphens w:val="0"/>
      <w:autoSpaceDN/>
      <w:textAlignment w:val="auto"/>
    </w:pPr>
    <w:rPr>
      <w:rFonts w:ascii="Calibri" w:eastAsia="Calibri" w:hAnsi="Calibri" w:cs="Times New Roman"/>
      <w:kern w:val="0"/>
      <w:sz w:val="22"/>
      <w:szCs w:val="22"/>
      <w:lang w:val="en-US"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A0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uiPriority w:val="99"/>
    <w:rsid w:val="00BD7A9E"/>
    <w:rPr>
      <w:color w:val="0000FF"/>
      <w:u w:val="single"/>
    </w:rPr>
  </w:style>
  <w:style w:type="paragraph" w:styleId="Debesliotekstas">
    <w:name w:val="Balloon Text"/>
    <w:basedOn w:val="prastasis"/>
    <w:link w:val="DebesliotekstasDiagrama"/>
    <w:uiPriority w:val="99"/>
    <w:semiHidden/>
    <w:unhideWhenUsed/>
    <w:rsid w:val="00FC5E86"/>
    <w:rPr>
      <w:rFonts w:ascii="Segoe UI" w:hAnsi="Segoe UI"/>
      <w:sz w:val="18"/>
      <w:szCs w:val="16"/>
    </w:rPr>
  </w:style>
  <w:style w:type="character" w:customStyle="1" w:styleId="DebesliotekstasDiagrama">
    <w:name w:val="Debesėlio tekstas Diagrama"/>
    <w:basedOn w:val="Numatytasispastraiposriftas"/>
    <w:link w:val="Debesliotekstas"/>
    <w:uiPriority w:val="99"/>
    <w:semiHidden/>
    <w:rsid w:val="00FC5E86"/>
    <w:rPr>
      <w:rFonts w:ascii="Segoe UI" w:hAnsi="Segoe UI"/>
      <w:sz w:val="18"/>
      <w:szCs w:val="16"/>
    </w:rPr>
  </w:style>
  <w:style w:type="character" w:styleId="Komentaronuoroda">
    <w:name w:val="annotation reference"/>
    <w:basedOn w:val="Numatytasispastraiposriftas"/>
    <w:uiPriority w:val="99"/>
    <w:semiHidden/>
    <w:unhideWhenUsed/>
    <w:rsid w:val="00A9682C"/>
    <w:rPr>
      <w:sz w:val="16"/>
      <w:szCs w:val="16"/>
    </w:rPr>
  </w:style>
  <w:style w:type="paragraph" w:styleId="Komentarotekstas">
    <w:name w:val="annotation text"/>
    <w:basedOn w:val="prastasis"/>
    <w:link w:val="KomentarotekstasDiagrama"/>
    <w:uiPriority w:val="99"/>
    <w:semiHidden/>
    <w:unhideWhenUsed/>
    <w:rsid w:val="00A9682C"/>
    <w:rPr>
      <w:sz w:val="20"/>
      <w:szCs w:val="18"/>
    </w:rPr>
  </w:style>
  <w:style w:type="character" w:customStyle="1" w:styleId="KomentarotekstasDiagrama">
    <w:name w:val="Komentaro tekstas Diagrama"/>
    <w:basedOn w:val="Numatytasispastraiposriftas"/>
    <w:link w:val="Komentarotekstas"/>
    <w:uiPriority w:val="99"/>
    <w:semiHidden/>
    <w:rsid w:val="00A9682C"/>
    <w:rPr>
      <w:sz w:val="20"/>
      <w:szCs w:val="18"/>
    </w:rPr>
  </w:style>
  <w:style w:type="paragraph" w:styleId="Komentarotema">
    <w:name w:val="annotation subject"/>
    <w:basedOn w:val="Komentarotekstas"/>
    <w:next w:val="Komentarotekstas"/>
    <w:link w:val="KomentarotemaDiagrama"/>
    <w:uiPriority w:val="99"/>
    <w:semiHidden/>
    <w:unhideWhenUsed/>
    <w:rsid w:val="00A9682C"/>
    <w:rPr>
      <w:b/>
      <w:bCs/>
    </w:rPr>
  </w:style>
  <w:style w:type="character" w:customStyle="1" w:styleId="KomentarotemaDiagrama">
    <w:name w:val="Komentaro tema Diagrama"/>
    <w:basedOn w:val="KomentarotekstasDiagrama"/>
    <w:link w:val="Komentarotema"/>
    <w:uiPriority w:val="99"/>
    <w:semiHidden/>
    <w:rsid w:val="00A9682C"/>
    <w:rPr>
      <w:b/>
      <w:bCs/>
      <w:sz w:val="20"/>
      <w:szCs w:val="18"/>
    </w:rPr>
  </w:style>
  <w:style w:type="paragraph" w:styleId="Pataisymai">
    <w:name w:val="Revision"/>
    <w:hidden/>
    <w:uiPriority w:val="99"/>
    <w:semiHidden/>
    <w:rsid w:val="00321EDE"/>
    <w:pPr>
      <w:suppressAutoHyphens w:val="0"/>
      <w:autoSpaceDN/>
      <w:textAlignment w:val="auto"/>
    </w:pPr>
    <w:rPr>
      <w:szCs w:val="2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1C90"/>
  </w:style>
  <w:style w:type="character" w:customStyle="1" w:styleId="form-control">
    <w:name w:val="form-control"/>
    <w:basedOn w:val="Numatytasispastraiposriftas"/>
    <w:rsid w:val="00051308"/>
  </w:style>
  <w:style w:type="table" w:customStyle="1" w:styleId="Lentelstinklelis1">
    <w:name w:val="Lentelės tinklelis1"/>
    <w:basedOn w:val="prastojilentel"/>
    <w:next w:val="Lentelstinklelis"/>
    <w:uiPriority w:val="39"/>
    <w:rsid w:val="00B033FE"/>
    <w:pPr>
      <w:suppressAutoHyphens w:val="0"/>
      <w:autoSpaceDN/>
      <w:textAlignment w:val="auto"/>
    </w:pPr>
    <w:rPr>
      <w:rFonts w:ascii="Calibri" w:eastAsia="Calibri" w:hAnsi="Calibri" w:cs="Arial"/>
      <w:kern w:val="2"/>
      <w:lang w:val="en-US"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29921">
      <w:bodyDiv w:val="1"/>
      <w:marLeft w:val="0"/>
      <w:marRight w:val="0"/>
      <w:marTop w:val="0"/>
      <w:marBottom w:val="0"/>
      <w:divBdr>
        <w:top w:val="none" w:sz="0" w:space="0" w:color="auto"/>
        <w:left w:val="none" w:sz="0" w:space="0" w:color="auto"/>
        <w:bottom w:val="none" w:sz="0" w:space="0" w:color="auto"/>
        <w:right w:val="none" w:sz="0" w:space="0" w:color="auto"/>
      </w:divBdr>
    </w:div>
    <w:div w:id="415056257">
      <w:bodyDiv w:val="1"/>
      <w:marLeft w:val="0"/>
      <w:marRight w:val="0"/>
      <w:marTop w:val="0"/>
      <w:marBottom w:val="0"/>
      <w:divBdr>
        <w:top w:val="none" w:sz="0" w:space="0" w:color="auto"/>
        <w:left w:val="none" w:sz="0" w:space="0" w:color="auto"/>
        <w:bottom w:val="none" w:sz="0" w:space="0" w:color="auto"/>
        <w:right w:val="none" w:sz="0" w:space="0" w:color="auto"/>
      </w:divBdr>
    </w:div>
    <w:div w:id="813329022">
      <w:bodyDiv w:val="1"/>
      <w:marLeft w:val="0"/>
      <w:marRight w:val="0"/>
      <w:marTop w:val="0"/>
      <w:marBottom w:val="0"/>
      <w:divBdr>
        <w:top w:val="none" w:sz="0" w:space="0" w:color="auto"/>
        <w:left w:val="none" w:sz="0" w:space="0" w:color="auto"/>
        <w:bottom w:val="none" w:sz="0" w:space="0" w:color="auto"/>
        <w:right w:val="none" w:sz="0" w:space="0" w:color="auto"/>
      </w:divBdr>
    </w:div>
    <w:div w:id="870992068">
      <w:bodyDiv w:val="1"/>
      <w:marLeft w:val="0"/>
      <w:marRight w:val="0"/>
      <w:marTop w:val="0"/>
      <w:marBottom w:val="0"/>
      <w:divBdr>
        <w:top w:val="none" w:sz="0" w:space="0" w:color="auto"/>
        <w:left w:val="none" w:sz="0" w:space="0" w:color="auto"/>
        <w:bottom w:val="none" w:sz="0" w:space="0" w:color="auto"/>
        <w:right w:val="none" w:sz="0" w:space="0" w:color="auto"/>
      </w:divBdr>
    </w:div>
    <w:div w:id="989020604">
      <w:bodyDiv w:val="1"/>
      <w:marLeft w:val="0"/>
      <w:marRight w:val="0"/>
      <w:marTop w:val="0"/>
      <w:marBottom w:val="0"/>
      <w:divBdr>
        <w:top w:val="none" w:sz="0" w:space="0" w:color="auto"/>
        <w:left w:val="none" w:sz="0" w:space="0" w:color="auto"/>
        <w:bottom w:val="none" w:sz="0" w:space="0" w:color="auto"/>
        <w:right w:val="none" w:sz="0" w:space="0" w:color="auto"/>
      </w:divBdr>
    </w:div>
    <w:div w:id="1168130556">
      <w:bodyDiv w:val="1"/>
      <w:marLeft w:val="0"/>
      <w:marRight w:val="0"/>
      <w:marTop w:val="0"/>
      <w:marBottom w:val="0"/>
      <w:divBdr>
        <w:top w:val="none" w:sz="0" w:space="0" w:color="auto"/>
        <w:left w:val="none" w:sz="0" w:space="0" w:color="auto"/>
        <w:bottom w:val="none" w:sz="0" w:space="0" w:color="auto"/>
        <w:right w:val="none" w:sz="0" w:space="0" w:color="auto"/>
      </w:divBdr>
    </w:div>
    <w:div w:id="1241477710">
      <w:bodyDiv w:val="1"/>
      <w:marLeft w:val="0"/>
      <w:marRight w:val="0"/>
      <w:marTop w:val="0"/>
      <w:marBottom w:val="0"/>
      <w:divBdr>
        <w:top w:val="none" w:sz="0" w:space="0" w:color="auto"/>
        <w:left w:val="none" w:sz="0" w:space="0" w:color="auto"/>
        <w:bottom w:val="none" w:sz="0" w:space="0" w:color="auto"/>
        <w:right w:val="none" w:sz="0" w:space="0" w:color="auto"/>
      </w:divBdr>
    </w:div>
    <w:div w:id="200042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4518D-B87B-4E2B-B9E1-A60709491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17117</Words>
  <Characters>9757</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Budraitis Vaclovas</dc:creator>
  <cp:keywords/>
  <dc:description/>
  <cp:lastModifiedBy>Daubarienė Anastasija</cp:lastModifiedBy>
  <cp:revision>2</cp:revision>
  <dcterms:created xsi:type="dcterms:W3CDTF">2026-10-20T09:44:00Z</dcterms:created>
  <dcterms:modified xsi:type="dcterms:W3CDTF">2026-10-20T09:44:00Z</dcterms:modified>
</cp:coreProperties>
</file>