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A8E8" w14:textId="77777777" w:rsidR="00C06D07" w:rsidRDefault="00C06D07" w:rsidP="00C06D07">
      <w:pPr>
        <w:jc w:val="center"/>
        <w:rPr>
          <w:rFonts w:ascii="Arial" w:hAnsi="Arial" w:cs="Arial"/>
          <w:b/>
          <w:bCs/>
        </w:rPr>
      </w:pPr>
      <w:r w:rsidRPr="00065343">
        <w:rPr>
          <w:rFonts w:ascii="Arial" w:hAnsi="Arial" w:cs="Arial"/>
          <w:b/>
          <w:bCs/>
        </w:rPr>
        <w:t xml:space="preserve">PLŪDRIOSIOS BUJOS </w:t>
      </w:r>
      <w:r w:rsidRPr="007271AF">
        <w:rPr>
          <w:rFonts w:ascii="Arial" w:hAnsi="Arial" w:cs="Arial"/>
          <w:b/>
          <w:bCs/>
        </w:rPr>
        <w:t>ZONAI „INKARUOTIS DRAUDŽIAMA“ ŽYMĖTI</w:t>
      </w:r>
      <w:r w:rsidRPr="00065343">
        <w:rPr>
          <w:rFonts w:ascii="Arial" w:hAnsi="Arial" w:cs="Arial"/>
          <w:b/>
          <w:bCs/>
        </w:rPr>
        <w:t xml:space="preserve"> </w:t>
      </w:r>
    </w:p>
    <w:p w14:paraId="7D31164D" w14:textId="77777777" w:rsidR="008E351B" w:rsidRDefault="008E351B" w:rsidP="007E5EBF">
      <w:pPr>
        <w:jc w:val="center"/>
        <w:rPr>
          <w:rFonts w:ascii="Arial" w:hAnsi="Arial" w:cs="Arial"/>
          <w:b/>
          <w:bCs/>
          <w:kern w:val="2"/>
          <w:szCs w:val="24"/>
          <w:shd w:val="clear" w:color="auto" w:fill="FFFFFF"/>
        </w:rPr>
      </w:pPr>
    </w:p>
    <w:p w14:paraId="16FD718D" w14:textId="673BD396" w:rsidR="007E5EBF" w:rsidRPr="007E5EBF" w:rsidRDefault="007E5EBF" w:rsidP="007E5EBF">
      <w:pPr>
        <w:jc w:val="center"/>
        <w:rPr>
          <w:rFonts w:ascii="Arial" w:hAnsi="Arial" w:cs="Arial"/>
          <w:b/>
          <w:bCs/>
          <w:kern w:val="2"/>
          <w:szCs w:val="24"/>
          <w:shd w:val="clear" w:color="auto" w:fill="FFFFFF"/>
        </w:rPr>
      </w:pPr>
      <w:r w:rsidRPr="007E5EBF">
        <w:rPr>
          <w:rFonts w:ascii="Arial" w:hAnsi="Arial" w:cs="Arial"/>
          <w:b/>
          <w:bCs/>
          <w:kern w:val="2"/>
          <w:szCs w:val="24"/>
          <w:shd w:val="clear" w:color="auto" w:fill="FFFFFF"/>
        </w:rPr>
        <w:t>ŽALIEJI REIKALAVIMAI</w:t>
      </w:r>
    </w:p>
    <w:p w14:paraId="4BE87DB6" w14:textId="13F9E12D" w:rsidR="007E5EBF" w:rsidRPr="004F139D" w:rsidRDefault="007E5EBF" w:rsidP="007E5EBF">
      <w:pPr>
        <w:ind w:firstLine="697"/>
        <w:jc w:val="center"/>
        <w:rPr>
          <w:rFonts w:ascii="Arial" w:hAnsi="Arial" w:cs="Arial"/>
          <w:b/>
          <w:bCs/>
          <w:szCs w:val="24"/>
        </w:rPr>
      </w:pPr>
    </w:p>
    <w:p w14:paraId="5D792116" w14:textId="77777777" w:rsidR="00C06D07" w:rsidRDefault="00C06D07" w:rsidP="00C06D07">
      <w:pPr>
        <w:spacing w:line="360" w:lineRule="auto"/>
        <w:jc w:val="both"/>
        <w:rPr>
          <w:rFonts w:ascii="Arial" w:hAnsi="Arial" w:cs="Arial"/>
          <w:kern w:val="2"/>
          <w:szCs w:val="24"/>
          <w:shd w:val="clear" w:color="auto" w:fill="FFFFFF"/>
        </w:rPr>
      </w:pPr>
    </w:p>
    <w:p w14:paraId="5709E2CE" w14:textId="77777777" w:rsidR="00C06D07" w:rsidRPr="00C06D07" w:rsidRDefault="00C06D07" w:rsidP="00C06D07">
      <w:pPr>
        <w:spacing w:line="360" w:lineRule="auto"/>
        <w:ind w:firstLine="851"/>
        <w:jc w:val="both"/>
        <w:rPr>
          <w:rFonts w:ascii="Arial" w:hAnsi="Arial" w:cs="Arial"/>
          <w:kern w:val="2"/>
          <w:szCs w:val="24"/>
          <w:shd w:val="clear" w:color="auto" w:fill="FFFFFF"/>
        </w:rPr>
      </w:pPr>
      <w:r w:rsidRPr="00C06D07">
        <w:rPr>
          <w:rFonts w:ascii="Arial" w:hAnsi="Arial" w:cs="Arial"/>
          <w:kern w:val="2"/>
          <w:szCs w:val="24"/>
          <w:shd w:val="clear" w:color="auto" w:fill="FFFFFF"/>
        </w:rPr>
        <w:t>Vadovaujantis Lietuvos Respublikos aplinkos ministro 2011 m. birželio 28 d. įsakymu Nr. D1-508 patvirtinto Aplinkos apsaugos kriterijų taikymo, vykdant žaliuosius pirkimus, tvarkos aprašo 4.4.4. nuostatomis 4.4.4.4 papunkčiu, nustatomas šis aplinkos apsaugos kriterijus:</w:t>
      </w:r>
      <w:r w:rsidRPr="00C06D07">
        <w:rPr>
          <w:color w:val="000000"/>
        </w:rPr>
        <w:t xml:space="preserve"> </w:t>
      </w:r>
      <w:r w:rsidRPr="00C06D07">
        <w:rPr>
          <w:rFonts w:ascii="Arial" w:hAnsi="Arial" w:cs="Arial"/>
          <w:kern w:val="2"/>
          <w:szCs w:val="24"/>
          <w:shd w:val="clear" w:color="auto" w:fill="FFFFFF"/>
        </w:rPr>
        <w:t>„prekė yra tvirta, ilgaamžė, funkcionali, ji ar jos sudedamosios dalys tinka naudoti daug kartų ir (ar) lengvai pataisomos, ir (ar) pakeičiamos“.</w:t>
      </w:r>
    </w:p>
    <w:p w14:paraId="7179A627" w14:textId="3C8E0FF5" w:rsidR="00C06D07" w:rsidRPr="00C06D07" w:rsidRDefault="00C06D07" w:rsidP="00C06D07">
      <w:pPr>
        <w:numPr>
          <w:ilvl w:val="0"/>
          <w:numId w:val="7"/>
        </w:numPr>
        <w:tabs>
          <w:tab w:val="clear" w:pos="720"/>
        </w:tabs>
        <w:spacing w:line="360" w:lineRule="auto"/>
        <w:ind w:left="0" w:firstLine="851"/>
        <w:jc w:val="both"/>
        <w:rPr>
          <w:rFonts w:ascii="Arial" w:hAnsi="Arial" w:cs="Arial"/>
          <w:kern w:val="2"/>
          <w:szCs w:val="24"/>
          <w:shd w:val="clear" w:color="auto" w:fill="FFFFFF"/>
        </w:rPr>
      </w:pPr>
      <w:r w:rsidRPr="00C06D07">
        <w:rPr>
          <w:rFonts w:ascii="Arial" w:hAnsi="Arial" w:cs="Arial"/>
          <w:b/>
          <w:bCs/>
          <w:kern w:val="2"/>
          <w:szCs w:val="24"/>
          <w:shd w:val="clear" w:color="auto" w:fill="FFFFFF"/>
        </w:rPr>
        <w:t>Ilgaamžiškumas.</w:t>
      </w:r>
      <w:r w:rsidRPr="00C06D07">
        <w:rPr>
          <w:rFonts w:ascii="Arial" w:hAnsi="Arial" w:cs="Arial"/>
          <w:kern w:val="2"/>
          <w:szCs w:val="24"/>
          <w:shd w:val="clear" w:color="auto" w:fill="FFFFFF"/>
        </w:rPr>
        <w:t xml:space="preserve"> Bujos turi būti pagamintos iš ultravioletiniams (UV) spinduliams, vandens, atmosferos poveikiui ir temperatūros svyravimams atsparių medžiagų, užtikrinančių jų ilgalaikį naudojimą gėlame vandenyje. </w:t>
      </w:r>
    </w:p>
    <w:p w14:paraId="62E81270" w14:textId="77777777" w:rsidR="00C06D07" w:rsidRPr="00C06D07" w:rsidRDefault="00C06D07" w:rsidP="00C06D07">
      <w:pPr>
        <w:numPr>
          <w:ilvl w:val="0"/>
          <w:numId w:val="7"/>
        </w:numPr>
        <w:tabs>
          <w:tab w:val="clear" w:pos="720"/>
        </w:tabs>
        <w:spacing w:line="360" w:lineRule="auto"/>
        <w:ind w:left="0" w:firstLine="851"/>
        <w:jc w:val="both"/>
        <w:rPr>
          <w:rFonts w:ascii="Arial" w:hAnsi="Arial" w:cs="Arial"/>
          <w:kern w:val="2"/>
          <w:szCs w:val="24"/>
          <w:shd w:val="clear" w:color="auto" w:fill="FFFFFF"/>
        </w:rPr>
      </w:pPr>
      <w:r w:rsidRPr="00C06D07">
        <w:rPr>
          <w:rFonts w:ascii="Arial" w:hAnsi="Arial" w:cs="Arial"/>
          <w:b/>
          <w:bCs/>
          <w:kern w:val="2"/>
          <w:szCs w:val="24"/>
          <w:shd w:val="clear" w:color="auto" w:fill="FFFFFF"/>
        </w:rPr>
        <w:t>Sudedamųjų dalių keičiamumas.</w:t>
      </w:r>
      <w:r w:rsidRPr="00C06D07">
        <w:rPr>
          <w:rFonts w:ascii="Arial" w:hAnsi="Arial" w:cs="Arial"/>
          <w:kern w:val="2"/>
          <w:szCs w:val="24"/>
          <w:shd w:val="clear" w:color="auto" w:fill="FFFFFF"/>
        </w:rPr>
        <w:t xml:space="preserve"> </w:t>
      </w:r>
      <w:proofErr w:type="spellStart"/>
      <w:r w:rsidRPr="00C06D07">
        <w:rPr>
          <w:rFonts w:ascii="Arial" w:hAnsi="Arial" w:cs="Arial"/>
          <w:kern w:val="2"/>
          <w:szCs w:val="24"/>
          <w:shd w:val="clear" w:color="auto" w:fill="FFFFFF"/>
        </w:rPr>
        <w:t>Bujų</w:t>
      </w:r>
      <w:proofErr w:type="spellEnd"/>
      <w:r w:rsidRPr="00C06D07">
        <w:rPr>
          <w:rFonts w:ascii="Arial" w:hAnsi="Arial" w:cs="Arial"/>
          <w:kern w:val="2"/>
          <w:szCs w:val="24"/>
          <w:shd w:val="clear" w:color="auto" w:fill="FFFFFF"/>
        </w:rPr>
        <w:t xml:space="preserve"> tvirtinimo ir </w:t>
      </w:r>
      <w:proofErr w:type="spellStart"/>
      <w:r w:rsidRPr="00C06D07">
        <w:rPr>
          <w:rFonts w:ascii="Arial" w:hAnsi="Arial" w:cs="Arial"/>
          <w:kern w:val="2"/>
          <w:szCs w:val="24"/>
          <w:shd w:val="clear" w:color="auto" w:fill="FFFFFF"/>
        </w:rPr>
        <w:t>inkaravimo</w:t>
      </w:r>
      <w:proofErr w:type="spellEnd"/>
      <w:r w:rsidRPr="00C06D07">
        <w:rPr>
          <w:rFonts w:ascii="Arial" w:hAnsi="Arial" w:cs="Arial"/>
          <w:kern w:val="2"/>
          <w:szCs w:val="24"/>
          <w:shd w:val="clear" w:color="auto" w:fill="FFFFFF"/>
        </w:rPr>
        <w:t xml:space="preserve"> elementai turi būti sukonstruoti taip, kad prireikus susidėvėjusius ar pažeistus elementus būtų galima pakeisti atskirai, nekeičiant visos bujos, jeigu jos korpusas išlieka tinkamas naudoti.</w:t>
      </w:r>
    </w:p>
    <w:p w14:paraId="7C183EA8" w14:textId="77777777" w:rsidR="00C06D07" w:rsidRPr="00C06D07" w:rsidRDefault="00C06D07" w:rsidP="00C06D07">
      <w:pPr>
        <w:numPr>
          <w:ilvl w:val="0"/>
          <w:numId w:val="7"/>
        </w:numPr>
        <w:tabs>
          <w:tab w:val="clear" w:pos="720"/>
        </w:tabs>
        <w:spacing w:line="360" w:lineRule="auto"/>
        <w:ind w:left="0" w:firstLine="851"/>
        <w:jc w:val="both"/>
        <w:rPr>
          <w:rFonts w:ascii="Arial" w:hAnsi="Arial" w:cs="Arial"/>
          <w:kern w:val="2"/>
          <w:szCs w:val="24"/>
          <w:shd w:val="clear" w:color="auto" w:fill="FFFFFF"/>
        </w:rPr>
      </w:pPr>
      <w:r w:rsidRPr="00C06D07">
        <w:rPr>
          <w:rFonts w:ascii="Arial" w:hAnsi="Arial" w:cs="Arial"/>
          <w:b/>
          <w:bCs/>
          <w:kern w:val="2"/>
          <w:szCs w:val="24"/>
          <w:shd w:val="clear" w:color="auto" w:fill="FFFFFF"/>
        </w:rPr>
        <w:t>Pakartotinis naudojimas.</w:t>
      </w:r>
      <w:r w:rsidRPr="00C06D07">
        <w:rPr>
          <w:rFonts w:ascii="Arial" w:hAnsi="Arial" w:cs="Arial"/>
          <w:kern w:val="2"/>
          <w:szCs w:val="24"/>
          <w:shd w:val="clear" w:color="auto" w:fill="FFFFFF"/>
        </w:rPr>
        <w:t xml:space="preserve"> </w:t>
      </w:r>
      <w:proofErr w:type="spellStart"/>
      <w:r w:rsidRPr="00C06D07">
        <w:rPr>
          <w:rFonts w:ascii="Arial" w:hAnsi="Arial" w:cs="Arial"/>
          <w:kern w:val="2"/>
          <w:szCs w:val="24"/>
          <w:shd w:val="clear" w:color="auto" w:fill="FFFFFF"/>
        </w:rPr>
        <w:t>Bujų</w:t>
      </w:r>
      <w:proofErr w:type="spellEnd"/>
      <w:r w:rsidRPr="00C06D07">
        <w:rPr>
          <w:rFonts w:ascii="Arial" w:hAnsi="Arial" w:cs="Arial"/>
          <w:kern w:val="2"/>
          <w:szCs w:val="24"/>
          <w:shd w:val="clear" w:color="auto" w:fill="FFFFFF"/>
        </w:rPr>
        <w:t xml:space="preserve"> konstrukcija turi užtikrinti galimybę jas iškelti iš vandens ir pakartotinai naudoti pagal paskirtį, nepažeidžiant bujos korpuso, laikantis gamintojo pateiktų naudojimo ir priežiūros instrukcijų.</w:t>
      </w:r>
    </w:p>
    <w:p w14:paraId="4928A96B" w14:textId="08F49F9E" w:rsidR="00C06D07" w:rsidRPr="00C06D07" w:rsidRDefault="00C06D07" w:rsidP="00C06D07">
      <w:pPr>
        <w:spacing w:line="360" w:lineRule="auto"/>
        <w:ind w:firstLine="851"/>
        <w:jc w:val="both"/>
        <w:rPr>
          <w:rFonts w:ascii="Arial" w:hAnsi="Arial" w:cs="Arial"/>
          <w:kern w:val="2"/>
          <w:szCs w:val="24"/>
          <w:shd w:val="clear" w:color="auto" w:fill="FFFFFF"/>
        </w:rPr>
      </w:pPr>
      <w:r w:rsidRPr="00C06D07">
        <w:rPr>
          <w:rFonts w:ascii="Arial" w:hAnsi="Arial" w:cs="Arial"/>
          <w:b/>
          <w:bCs/>
          <w:kern w:val="2"/>
          <w:szCs w:val="24"/>
          <w:shd w:val="clear" w:color="auto" w:fill="FFFFFF"/>
        </w:rPr>
        <w:t>Atitiktį pagrindžiantys dokumentai:</w:t>
      </w:r>
      <w:r w:rsidRPr="00C06D07">
        <w:rPr>
          <w:rFonts w:ascii="Arial" w:hAnsi="Arial" w:cs="Arial"/>
          <w:kern w:val="2"/>
          <w:szCs w:val="24"/>
          <w:shd w:val="clear" w:color="auto" w:fill="FFFFFF"/>
        </w:rPr>
        <w:t xml:space="preserve"> tiekėjas kartu su pasiūlymu pateikia </w:t>
      </w:r>
      <w:r>
        <w:rPr>
          <w:rFonts w:ascii="Arial" w:hAnsi="Arial" w:cs="Arial"/>
          <w:kern w:val="2"/>
          <w:szCs w:val="24"/>
          <w:shd w:val="clear" w:color="auto" w:fill="FFFFFF"/>
        </w:rPr>
        <w:t xml:space="preserve">laisvos formos deklaracija, kad atitinka iškeltus kriterijus, taip pat pateikia </w:t>
      </w:r>
      <w:r w:rsidRPr="00C06D07">
        <w:rPr>
          <w:rFonts w:ascii="Arial" w:hAnsi="Arial" w:cs="Arial"/>
          <w:kern w:val="2"/>
          <w:szCs w:val="24"/>
          <w:shd w:val="clear" w:color="auto" w:fill="FFFFFF"/>
        </w:rPr>
        <w:t>gamintojo techninius dokumentus, gaminio aprašymą, naudojimo ir priežiūros instrukciją ir (ar) kitus lygiaverčius dokumentus, kuriuose pateikta informacija, leidžianti patikrinti atitiktį nustatytiems aplinkos apsaugos reikalavimams.</w:t>
      </w:r>
    </w:p>
    <w:p w14:paraId="4D67C925" w14:textId="77777777" w:rsidR="00274A94" w:rsidRPr="007E5EBF" w:rsidRDefault="00274A94" w:rsidP="00C06D07">
      <w:pPr>
        <w:spacing w:line="360" w:lineRule="auto"/>
        <w:jc w:val="both"/>
        <w:rPr>
          <w:rFonts w:ascii="Arial" w:hAnsi="Arial" w:cs="Arial"/>
        </w:rPr>
      </w:pPr>
    </w:p>
    <w:sectPr w:rsidR="00274A94" w:rsidRPr="007E5EBF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78C8"/>
    <w:multiLevelType w:val="multilevel"/>
    <w:tmpl w:val="D1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FC3F1D"/>
    <w:multiLevelType w:val="multilevel"/>
    <w:tmpl w:val="AEA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6223D6"/>
    <w:multiLevelType w:val="multilevel"/>
    <w:tmpl w:val="E87C7B5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881511"/>
    <w:multiLevelType w:val="multilevel"/>
    <w:tmpl w:val="BED6C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8D00D7"/>
    <w:multiLevelType w:val="multilevel"/>
    <w:tmpl w:val="B8FC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2C51DB"/>
    <w:multiLevelType w:val="multilevel"/>
    <w:tmpl w:val="08028B3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DC6335"/>
    <w:multiLevelType w:val="multilevel"/>
    <w:tmpl w:val="7B90A3E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6663160">
    <w:abstractNumId w:val="4"/>
  </w:num>
  <w:num w:numId="2" w16cid:durableId="1279222025">
    <w:abstractNumId w:val="6"/>
  </w:num>
  <w:num w:numId="3" w16cid:durableId="1942178907">
    <w:abstractNumId w:val="3"/>
  </w:num>
  <w:num w:numId="4" w16cid:durableId="1601523303">
    <w:abstractNumId w:val="5"/>
  </w:num>
  <w:num w:numId="5" w16cid:durableId="297297001">
    <w:abstractNumId w:val="0"/>
  </w:num>
  <w:num w:numId="6" w16cid:durableId="1988048760">
    <w:abstractNumId w:val="2"/>
  </w:num>
  <w:num w:numId="7" w16cid:durableId="1855345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63"/>
    <w:rsid w:val="001609D1"/>
    <w:rsid w:val="00274A94"/>
    <w:rsid w:val="00387A01"/>
    <w:rsid w:val="003A33FD"/>
    <w:rsid w:val="00473DF5"/>
    <w:rsid w:val="004F403E"/>
    <w:rsid w:val="0059558C"/>
    <w:rsid w:val="0067665D"/>
    <w:rsid w:val="00680829"/>
    <w:rsid w:val="006B46AC"/>
    <w:rsid w:val="00732D77"/>
    <w:rsid w:val="007E5EBF"/>
    <w:rsid w:val="007F7EDF"/>
    <w:rsid w:val="008E351B"/>
    <w:rsid w:val="009C0863"/>
    <w:rsid w:val="00C06D07"/>
    <w:rsid w:val="00CD0E84"/>
    <w:rsid w:val="00CE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FFCA"/>
  <w15:chartTrackingRefBased/>
  <w15:docId w15:val="{90DCAD1D-566E-4F7C-9D31-C77721B9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E5E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C0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C0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C08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C0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C08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C08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C08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C08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C08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C0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C0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C0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C086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C086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C086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C086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C086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C086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C08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C0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C0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C0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C0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C086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C086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C086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C0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C086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C08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1004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2026-07-03T14:41:00Z</dcterms:created>
  <dc:creator>Evelina Kajumovaite</dc:creator>
  <cp:lastModifiedBy>Evelina Kajumovaite</cp:lastModifiedBy>
  <dcterms:modified xsi:type="dcterms:W3CDTF">2026-10-21T08:59:00Z</dcterms:modified>
  <cp:revision>9</cp:revision>
</cp:coreProperties>
</file>