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BBEB" w14:textId="357B8B64" w:rsidR="002C7E76" w:rsidRDefault="00806B80" w:rsidP="002C7E7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 8</w:t>
      </w:r>
      <w:r w:rsidR="002C7E76" w:rsidRPr="008B7925">
        <w:rPr>
          <w:rFonts w:ascii="Arial" w:hAnsi="Arial" w:cs="Arial"/>
          <w:sz w:val="20"/>
          <w:szCs w:val="20"/>
        </w:rPr>
        <w:t xml:space="preserve"> priedas</w:t>
      </w:r>
      <w:r w:rsidR="002C7E76">
        <w:rPr>
          <w:rFonts w:ascii="Arial" w:hAnsi="Arial" w:cs="Arial"/>
          <w:sz w:val="20"/>
          <w:szCs w:val="20"/>
        </w:rPr>
        <w:t xml:space="preserve"> </w:t>
      </w:r>
      <w:r w:rsidR="002C7E76" w:rsidRPr="008B7925">
        <w:rPr>
          <w:rFonts w:ascii="Arial" w:hAnsi="Arial" w:cs="Arial"/>
          <w:sz w:val="20"/>
          <w:szCs w:val="20"/>
        </w:rPr>
        <w:t>/</w:t>
      </w:r>
      <w:r w:rsidR="002C7E76">
        <w:rPr>
          <w:rFonts w:ascii="Arial" w:hAnsi="Arial" w:cs="Arial"/>
          <w:sz w:val="20"/>
          <w:szCs w:val="20"/>
        </w:rPr>
        <w:t xml:space="preserve"> </w:t>
      </w:r>
      <w:r w:rsidR="002C7E76" w:rsidRPr="002C7E76">
        <w:rPr>
          <w:rFonts w:ascii="Arial" w:hAnsi="Arial" w:cs="Arial"/>
          <w:sz w:val="20"/>
          <w:szCs w:val="20"/>
          <w:lang w:val="en-US"/>
        </w:rPr>
        <w:t xml:space="preserve">Annex </w:t>
      </w:r>
      <w:r>
        <w:rPr>
          <w:rFonts w:ascii="Arial" w:hAnsi="Arial" w:cs="Arial"/>
          <w:sz w:val="20"/>
          <w:szCs w:val="20"/>
          <w:lang w:val="en-US"/>
        </w:rPr>
        <w:t>8 to the SPC</w:t>
      </w:r>
    </w:p>
    <w:p w14:paraId="45160A4B" w14:textId="77777777" w:rsidR="002C7E76" w:rsidRDefault="002C7E76" w:rsidP="002C7E76">
      <w:pPr>
        <w:jc w:val="righ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7C3D8C" w:rsidRPr="007C3D8C" w14:paraId="07C9FFEC" w14:textId="77777777" w:rsidTr="00746DDA">
        <w:trPr>
          <w:trHeight w:val="418"/>
        </w:trPr>
        <w:tc>
          <w:tcPr>
            <w:tcW w:w="5000" w:type="pct"/>
            <w:gridSpan w:val="2"/>
          </w:tcPr>
          <w:p w14:paraId="2B4BFD95" w14:textId="5D55C8BE" w:rsidR="007C3D8C" w:rsidRPr="007C3D8C" w:rsidRDefault="007C3D8C" w:rsidP="007C3D8C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53645122"/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EKONOMIŠKAI NAUDINGIAUSIO PASIŪLYMO VERTINIMO METODIKA/ </w:t>
            </w:r>
          </w:p>
          <w:p w14:paraId="1D4C00DE" w14:textId="77777777" w:rsidR="007C3D8C" w:rsidRPr="007C3D8C" w:rsidRDefault="007C3D8C" w:rsidP="007C3D8C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>METHODOLOGY FOR EVALUATING THE MOST ECONOMICALLY ADVANTAGEOUS TENDER</w:t>
            </w:r>
          </w:p>
        </w:tc>
      </w:tr>
      <w:tr w:rsidR="007C3D8C" w:rsidRPr="007C3D8C" w14:paraId="2058A964" w14:textId="77777777" w:rsidTr="00FC34EA">
        <w:trPr>
          <w:trHeight w:val="1121"/>
        </w:trPr>
        <w:tc>
          <w:tcPr>
            <w:tcW w:w="2438" w:type="pct"/>
          </w:tcPr>
          <w:p w14:paraId="6B6BA7D8" w14:textId="5E7A2D0D" w:rsidR="007C3D8C" w:rsidRPr="007C3D8C" w:rsidRDefault="00FC34EA" w:rsidP="00FC34EA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C3D8C" w:rsidRPr="007C3D8C">
              <w:rPr>
                <w:rFonts w:ascii="Arial" w:hAnsi="Arial" w:cs="Arial"/>
                <w:sz w:val="20"/>
                <w:szCs w:val="20"/>
              </w:rPr>
              <w:t>Šiame Pirkimo sąlygų priede pateikiami ekonomiškai naudingiausio Pasiūlymo vertinimo kriterijai, formulės, pagal kurias bus skaičiuojamas pasiūlymų ekonominis naudingumas, ekspertinių vertinimų metodikos aprašymas</w:t>
            </w:r>
            <w:r w:rsidR="009761C3">
              <w:rPr>
                <w:rFonts w:ascii="Arial" w:hAnsi="Arial" w:cs="Arial"/>
                <w:sz w:val="20"/>
                <w:szCs w:val="20"/>
              </w:rPr>
              <w:t xml:space="preserve"> (toliau – Metodika)</w:t>
            </w:r>
            <w:r w:rsidR="007C3D8C" w:rsidRPr="007C3D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2" w:type="pct"/>
          </w:tcPr>
          <w:p w14:paraId="1C1302A1" w14:textId="412E4779" w:rsidR="007C3D8C" w:rsidRPr="007C3D8C" w:rsidRDefault="00FC34EA" w:rsidP="00FC34EA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C3D8C" w:rsidRPr="007C3D8C">
              <w:rPr>
                <w:rFonts w:ascii="Arial" w:hAnsi="Arial" w:cs="Arial"/>
                <w:sz w:val="20"/>
                <w:szCs w:val="20"/>
                <w:lang w:val="en-US"/>
              </w:rPr>
              <w:t>This Annex of Procurement documents contains the award criteria for the most cost-effective Tender, the formula according to which the economic efficiency of the tenders will be calculated, and the description of the methodology of expert evaluations</w:t>
            </w:r>
            <w:r w:rsidR="009761C3">
              <w:rPr>
                <w:rFonts w:ascii="Arial" w:hAnsi="Arial" w:cs="Arial"/>
                <w:sz w:val="20"/>
                <w:szCs w:val="20"/>
                <w:lang w:val="en-US"/>
              </w:rPr>
              <w:t xml:space="preserve"> (hereinafter – Methodology)</w:t>
            </w:r>
            <w:r w:rsidR="007C3D8C" w:rsidRPr="007C3D8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04671F13" w14:textId="77777777" w:rsidR="007C3D8C" w:rsidRPr="007C3D8C" w:rsidRDefault="007C3D8C" w:rsidP="007C3D8C">
      <w:pPr>
        <w:jc w:val="right"/>
        <w:rPr>
          <w:rFonts w:ascii="Arial" w:hAnsi="Arial" w:cs="Arial"/>
          <w:i/>
          <w:sz w:val="16"/>
          <w:szCs w:val="16"/>
        </w:rPr>
      </w:pPr>
    </w:p>
    <w:p w14:paraId="031FC2CB" w14:textId="2DE9C844" w:rsidR="007C3D8C" w:rsidRPr="007C3D8C" w:rsidRDefault="007C3D8C" w:rsidP="007C3D8C">
      <w:pPr>
        <w:jc w:val="right"/>
        <w:rPr>
          <w:rFonts w:ascii="Arial" w:hAnsi="Arial" w:cs="Arial"/>
          <w:i/>
          <w:sz w:val="16"/>
          <w:szCs w:val="16"/>
        </w:rPr>
      </w:pPr>
      <w:r w:rsidRPr="007C3D8C">
        <w:rPr>
          <w:rFonts w:ascii="Arial" w:hAnsi="Arial" w:cs="Arial"/>
          <w:i/>
          <w:sz w:val="16"/>
          <w:szCs w:val="16"/>
        </w:rPr>
        <w:t xml:space="preserve">1 </w:t>
      </w:r>
      <w:r w:rsidR="002C7E76">
        <w:rPr>
          <w:rFonts w:ascii="Arial" w:hAnsi="Arial" w:cs="Arial"/>
          <w:i/>
          <w:sz w:val="16"/>
          <w:szCs w:val="16"/>
        </w:rPr>
        <w:t>l</w:t>
      </w:r>
      <w:r w:rsidRPr="007C3D8C">
        <w:rPr>
          <w:rFonts w:ascii="Arial" w:hAnsi="Arial" w:cs="Arial"/>
          <w:i/>
          <w:sz w:val="16"/>
          <w:szCs w:val="16"/>
        </w:rPr>
        <w:t>entelė. Pasiūlymų vertinimo kriterijai ir lyginamieji svoriai/</w:t>
      </w:r>
    </w:p>
    <w:p w14:paraId="7480A3A2" w14:textId="77777777" w:rsidR="007C3D8C" w:rsidRPr="002C7E76" w:rsidRDefault="007C3D8C" w:rsidP="007C3D8C">
      <w:pPr>
        <w:jc w:val="right"/>
        <w:rPr>
          <w:rFonts w:ascii="Arial" w:hAnsi="Arial" w:cs="Arial"/>
          <w:i/>
          <w:sz w:val="16"/>
          <w:szCs w:val="16"/>
          <w:lang w:val="en-US"/>
        </w:rPr>
      </w:pPr>
      <w:r w:rsidRPr="002C7E76">
        <w:rPr>
          <w:rFonts w:ascii="Arial" w:hAnsi="Arial" w:cs="Arial"/>
          <w:i/>
          <w:sz w:val="16"/>
          <w:szCs w:val="16"/>
          <w:lang w:val="en-US"/>
        </w:rPr>
        <w:t xml:space="preserve">Table 1. Proposal </w:t>
      </w:r>
      <w:proofErr w:type="gramStart"/>
      <w:r w:rsidRPr="002C7E76">
        <w:rPr>
          <w:rFonts w:ascii="Arial" w:hAnsi="Arial" w:cs="Arial"/>
          <w:i/>
          <w:sz w:val="16"/>
          <w:szCs w:val="16"/>
          <w:lang w:val="en-US"/>
        </w:rPr>
        <w:t>evaluation</w:t>
      </w:r>
      <w:proofErr w:type="gramEnd"/>
      <w:r w:rsidRPr="002C7E76">
        <w:rPr>
          <w:rFonts w:ascii="Arial" w:hAnsi="Arial" w:cs="Arial"/>
          <w:i/>
          <w:sz w:val="16"/>
          <w:szCs w:val="16"/>
          <w:lang w:val="en-US"/>
        </w:rPr>
        <w:t xml:space="preserve"> criteria and comparative weights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1817"/>
        <w:gridCol w:w="3540"/>
      </w:tblGrid>
      <w:tr w:rsidR="009761C3" w:rsidRPr="007C3D8C" w14:paraId="0AB82D06" w14:textId="4D1D9761" w:rsidTr="000267BC">
        <w:trPr>
          <w:cantSplit/>
          <w:trHeight w:val="613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27F69" w14:textId="77777777" w:rsidR="009761C3" w:rsidRPr="007C3D8C" w:rsidRDefault="009761C3" w:rsidP="000267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>Vertinimo kriterijai/</w:t>
            </w:r>
          </w:p>
          <w:p w14:paraId="0EAE8570" w14:textId="77777777" w:rsidR="009761C3" w:rsidRPr="00880EAC" w:rsidRDefault="009761C3" w:rsidP="000267BC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80E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Evaluation criteria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1C632" w14:textId="0F1ED8C9" w:rsidR="009761C3" w:rsidRPr="007C3D8C" w:rsidRDefault="009761C3" w:rsidP="00F5558C">
            <w:pPr>
              <w:ind w:left="-108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Lyginamasis svoris ekonominio naudingumo įvertinime/</w:t>
            </w:r>
          </w:p>
          <w:p w14:paraId="6E5D41F4" w14:textId="77777777" w:rsidR="009761C3" w:rsidRPr="002C7E76" w:rsidRDefault="009761C3" w:rsidP="000267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C7E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Comparative weight in the assessment of economic advantage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E69B8" w14:textId="77777777" w:rsidR="009761C3" w:rsidRDefault="009761C3" w:rsidP="00F5558C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61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Pasiūlyme reikalinga pateikti informacija, kuri bus vertinama pagal ekonominio naudingumo kriterijus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</w:p>
          <w:p w14:paraId="034550BD" w14:textId="46CBFAC1" w:rsidR="009761C3" w:rsidRPr="002C7E76" w:rsidRDefault="009761C3" w:rsidP="000267BC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7E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The Tender must provide information that will be evaluated according to the criteria of economical advantageous</w:t>
            </w:r>
          </w:p>
        </w:tc>
      </w:tr>
      <w:tr w:rsidR="009761C3" w:rsidRPr="007C3D8C" w14:paraId="193A62FC" w14:textId="153716BD" w:rsidTr="000267BC">
        <w:trPr>
          <w:cantSplit/>
          <w:trHeight w:val="139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A90" w14:textId="77777777" w:rsidR="009761C3" w:rsidRPr="00FB1C00" w:rsidRDefault="009761C3" w:rsidP="007C3D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C00">
              <w:rPr>
                <w:rFonts w:ascii="Arial" w:hAnsi="Arial" w:cs="Arial"/>
                <w:b/>
                <w:sz w:val="18"/>
                <w:szCs w:val="18"/>
              </w:rPr>
              <w:t>I kriterijus – Pasiūlymo kaina (C)/</w:t>
            </w:r>
          </w:p>
          <w:p w14:paraId="003BE9A5" w14:textId="7A518E39" w:rsidR="009761C3" w:rsidRPr="00FB1C00" w:rsidRDefault="009761C3" w:rsidP="007C3D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C00">
              <w:rPr>
                <w:rFonts w:ascii="Arial" w:hAnsi="Arial" w:cs="Arial"/>
                <w:b/>
                <w:sz w:val="18"/>
                <w:szCs w:val="18"/>
                <w:lang w:val="en-US"/>
              </w:rPr>
              <w:t>Criterion I – Tender Price</w:t>
            </w:r>
            <w:r w:rsidRPr="00FB1C00">
              <w:rPr>
                <w:rFonts w:ascii="Arial" w:hAnsi="Arial" w:cs="Arial"/>
                <w:b/>
                <w:sz w:val="18"/>
                <w:szCs w:val="18"/>
              </w:rPr>
              <w:t xml:space="preserve"> (C)</w:t>
            </w:r>
          </w:p>
          <w:p w14:paraId="588BAE70" w14:textId="0DC8DB3B" w:rsidR="009761C3" w:rsidRPr="00FF54E5" w:rsidRDefault="009761C3" w:rsidP="00FF54E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Vertinama pasiūlymo kaina EUR be PVM pagal šios metodikos 1.1 punkte nurodytą formulę, kur </w:t>
            </w:r>
            <w:bookmarkStart w:id="1" w:name="_Hlk189026054"/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didžiausią įvertinimo balą gauna tas Pasiūlymas, kurio Pasiūlymo kaina yra mažiausia, o likę Pasiūlymai įvertinami proporcingai mažesniais balais</w:t>
            </w:r>
            <w:bookmarkEnd w:id="1"/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</w:t>
            </w:r>
          </w:p>
          <w:p w14:paraId="696A76AB" w14:textId="7B4F5BD2" w:rsidR="009761C3" w:rsidRPr="00FF54E5" w:rsidRDefault="009761C3" w:rsidP="00FF54E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</w:pP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The Tender price is evaluated in EUR excluding VAT </w:t>
            </w:r>
            <w:bookmarkStart w:id="2" w:name="_Hlk189026383"/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according to the formula specified in clause 1.1 of this methodology, where the </w:t>
            </w:r>
            <w:r w:rsidR="00876A88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Tender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with the lowest </w:t>
            </w:r>
            <w:r w:rsidR="00876A88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Tender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price receives the highest evaluation score, and the remaining </w:t>
            </w:r>
            <w:r w:rsidR="00876A88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Tenders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are evaluated with proportionally lower scores</w:t>
            </w:r>
            <w:bookmarkEnd w:id="2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E97" w14:textId="5982A58C" w:rsidR="009761C3" w:rsidRPr="00DA6007" w:rsidRDefault="009761C3" w:rsidP="00976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007">
              <w:rPr>
                <w:rFonts w:ascii="Arial" w:hAnsi="Arial" w:cs="Arial"/>
                <w:sz w:val="18"/>
                <w:szCs w:val="18"/>
              </w:rPr>
              <w:t xml:space="preserve">X = </w:t>
            </w:r>
            <w:r w:rsidR="0000665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82F" w14:textId="77777777" w:rsidR="009761C3" w:rsidRPr="00FB1C00" w:rsidRDefault="009761C3" w:rsidP="00976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C00">
              <w:rPr>
                <w:rFonts w:ascii="Arial" w:hAnsi="Arial" w:cs="Arial"/>
                <w:sz w:val="18"/>
                <w:szCs w:val="18"/>
              </w:rPr>
              <w:t>Užpildyta Pasiūlymo forma</w:t>
            </w:r>
          </w:p>
          <w:p w14:paraId="0DE71288" w14:textId="56418525" w:rsidR="009761C3" w:rsidRPr="00FB1C00" w:rsidRDefault="009761C3" w:rsidP="00976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C00">
              <w:rPr>
                <w:rFonts w:ascii="Arial" w:hAnsi="Arial" w:cs="Arial"/>
                <w:sz w:val="18"/>
                <w:szCs w:val="18"/>
              </w:rPr>
              <w:t>(SPS 2 priedas)</w:t>
            </w:r>
            <w:r w:rsidR="003425B3">
              <w:rPr>
                <w:rFonts w:ascii="Arial" w:hAnsi="Arial" w:cs="Arial"/>
                <w:sz w:val="18"/>
                <w:szCs w:val="18"/>
              </w:rPr>
              <w:t xml:space="preserve"> 1 lentelė</w:t>
            </w:r>
            <w:r w:rsidRPr="00FB1C00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1E99311" w14:textId="182D22C0" w:rsidR="009761C3" w:rsidRPr="00FB1C00" w:rsidRDefault="009761C3" w:rsidP="009761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B1C00">
              <w:rPr>
                <w:rFonts w:ascii="Arial" w:hAnsi="Arial" w:cs="Arial"/>
                <w:sz w:val="18"/>
                <w:szCs w:val="18"/>
                <w:lang w:val="en-US"/>
              </w:rPr>
              <w:t>Completed Tender Form</w:t>
            </w:r>
          </w:p>
          <w:p w14:paraId="7D700D5A" w14:textId="3827C483" w:rsidR="009761C3" w:rsidRPr="00FC34EA" w:rsidRDefault="009761C3" w:rsidP="00976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34EA">
              <w:rPr>
                <w:rFonts w:ascii="Arial" w:hAnsi="Arial" w:cs="Arial"/>
                <w:sz w:val="18"/>
                <w:szCs w:val="18"/>
                <w:lang w:val="en-US"/>
              </w:rPr>
              <w:t>(Annex 2 to SPC)</w:t>
            </w:r>
            <w:r w:rsidR="003425B3">
              <w:rPr>
                <w:rFonts w:ascii="Arial" w:hAnsi="Arial" w:cs="Arial"/>
                <w:sz w:val="18"/>
                <w:szCs w:val="18"/>
                <w:lang w:val="en-US"/>
              </w:rPr>
              <w:t xml:space="preserve"> in table 1</w:t>
            </w:r>
          </w:p>
        </w:tc>
      </w:tr>
      <w:tr w:rsidR="009761C3" w:rsidRPr="007C3D8C" w14:paraId="1EADB93C" w14:textId="4EBD2B7B" w:rsidTr="000267BC">
        <w:trPr>
          <w:cantSplit/>
          <w:trHeight w:val="1695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600" w14:textId="13DB55C5" w:rsidR="009761C3" w:rsidRPr="001F15B6" w:rsidRDefault="009761C3" w:rsidP="001F1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15B6">
              <w:rPr>
                <w:rFonts w:ascii="Arial" w:hAnsi="Arial" w:cs="Arial"/>
                <w:b/>
                <w:sz w:val="18"/>
                <w:szCs w:val="18"/>
              </w:rPr>
              <w:t>II kriterijus –</w:t>
            </w:r>
            <w:r w:rsidR="00FC34EA" w:rsidRPr="001F15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F15B6" w:rsidRPr="001F15B6">
              <w:rPr>
                <w:rFonts w:ascii="Arial" w:hAnsi="Arial" w:cs="Arial"/>
                <w:b/>
                <w:sz w:val="18"/>
                <w:szCs w:val="18"/>
              </w:rPr>
              <w:t>Intervalas</w:t>
            </w:r>
            <w:r w:rsidR="001F15B6">
              <w:rPr>
                <w:rFonts w:ascii="Arial" w:hAnsi="Arial" w:cs="Arial"/>
                <w:b/>
                <w:sz w:val="18"/>
                <w:szCs w:val="18"/>
              </w:rPr>
              <w:t xml:space="preserve"> (metais)</w:t>
            </w:r>
            <w:r w:rsidR="001F15B6" w:rsidRPr="001F15B6">
              <w:rPr>
                <w:rFonts w:ascii="Arial" w:hAnsi="Arial" w:cs="Arial"/>
                <w:b/>
                <w:sz w:val="18"/>
                <w:szCs w:val="18"/>
              </w:rPr>
              <w:t xml:space="preserve"> tarp planinių priežiūrų kai jungtuvas turi būti atjungtas nuo aukštos įtampos sistemos smulkiems patikrinimams ir matavimams, </w:t>
            </w:r>
            <w:r w:rsidR="006A007C">
              <w:rPr>
                <w:rFonts w:ascii="Arial" w:hAnsi="Arial" w:cs="Arial"/>
                <w:b/>
                <w:sz w:val="18"/>
                <w:szCs w:val="18"/>
              </w:rPr>
              <w:t>tačiau</w:t>
            </w:r>
            <w:r w:rsidR="001F15B6" w:rsidRPr="001F15B6">
              <w:rPr>
                <w:rFonts w:ascii="Arial" w:hAnsi="Arial" w:cs="Arial"/>
                <w:b/>
                <w:sz w:val="18"/>
                <w:szCs w:val="18"/>
              </w:rPr>
              <w:t xml:space="preserve"> dujų kamerų atidaryti nereikia</w:t>
            </w:r>
            <w:r w:rsidRPr="001F15B6">
              <w:rPr>
                <w:rFonts w:ascii="Arial" w:hAnsi="Arial" w:cs="Arial"/>
                <w:b/>
                <w:sz w:val="18"/>
                <w:szCs w:val="18"/>
              </w:rPr>
              <w:t xml:space="preserve"> (B)/</w:t>
            </w:r>
          </w:p>
          <w:p w14:paraId="5A67AC59" w14:textId="6DD2AE09" w:rsidR="009761C3" w:rsidRPr="001F15B6" w:rsidRDefault="009761C3" w:rsidP="00D43E6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F15B6">
              <w:rPr>
                <w:rFonts w:ascii="Arial" w:hAnsi="Arial" w:cs="Arial"/>
                <w:b/>
                <w:sz w:val="18"/>
                <w:szCs w:val="18"/>
                <w:lang w:val="en-US"/>
              </w:rPr>
              <w:t>Criterion II –</w:t>
            </w:r>
            <w:r w:rsidR="00FC34EA" w:rsidRPr="001F15B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1F15B6" w:rsidRPr="001F15B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Interval </w:t>
            </w:r>
            <w:r w:rsidR="001F15B6">
              <w:rPr>
                <w:rFonts w:ascii="Arial" w:hAnsi="Arial" w:cs="Arial"/>
                <w:b/>
                <w:sz w:val="18"/>
                <w:szCs w:val="18"/>
                <w:lang w:val="en-US"/>
              </w:rPr>
              <w:t>(in year</w:t>
            </w:r>
            <w:r w:rsidR="009507EE"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r w:rsidR="001F15B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) </w:t>
            </w:r>
            <w:r w:rsidR="001F15B6" w:rsidRPr="001F15B6">
              <w:rPr>
                <w:rFonts w:ascii="Arial" w:hAnsi="Arial" w:cs="Arial"/>
                <w:b/>
                <w:sz w:val="18"/>
                <w:szCs w:val="18"/>
                <w:lang w:val="en-US"/>
              </w:rPr>
              <w:t>between scheduled maintenance when circuit-breaker should be disconnected from the high voltage system for minor checks and measurements, but gas compartments need not to be opened</w:t>
            </w:r>
            <w:r w:rsidRPr="001F15B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(B)</w:t>
            </w:r>
          </w:p>
          <w:p w14:paraId="4AF0A06E" w14:textId="77777777" w:rsidR="00924D72" w:rsidRDefault="00924D72" w:rsidP="00FB1C00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bookmarkStart w:id="3" w:name="_Hlk189026550"/>
            <w:r w:rsidRPr="00865EC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Vertinamas techninės priežiūros periodiškumas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metais,</w:t>
            </w:r>
            <w:r w:rsidRPr="00865EC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nurodomas Prekės (jungtuvo) gamyklinėje eksploatavimo ir priežiūros instrukcijoje</w:t>
            </w:r>
            <w:r w:rsidRPr="00BD7D0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pagal šios metodikos 1.2 punkte nurodytą formulę. D</w:t>
            </w:r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idžiausią įvertinimo balą gauna tas Pasiūlymas, kurio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intervalas tarp jungtuvo priežiūros</w:t>
            </w:r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yra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didžiausias</w:t>
            </w:r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, o likę Pasiūlymai įvertinami proporcingai mažesniais balais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</w:t>
            </w:r>
          </w:p>
          <w:p w14:paraId="0462C0A5" w14:textId="2CA82DC5" w:rsidR="00D43E67" w:rsidRPr="00FB1C00" w:rsidRDefault="00924D72" w:rsidP="00FB1C00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</w:pPr>
            <w:r w:rsidRPr="00812841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The maintenance frequency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in years </w:t>
            </w:r>
            <w:r w:rsidRPr="00812841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specified in the Goods (circuit-breaker) factory operating and maintenance manual will be evaluated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according to the formula specified in clause 1.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2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of this methodology, where the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Tender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with the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highest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maintenance interval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receives the highest evaluation score, and the remaining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Tenders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are evaluated with proportionally lower scores</w:t>
            </w:r>
            <w:bookmarkEnd w:id="3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A1E" w14:textId="7DAA6C37" w:rsidR="009761C3" w:rsidRPr="000267BC" w:rsidRDefault="009761C3" w:rsidP="00D43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7BC">
              <w:rPr>
                <w:rFonts w:ascii="Arial" w:hAnsi="Arial" w:cs="Arial"/>
                <w:sz w:val="18"/>
                <w:szCs w:val="18"/>
              </w:rPr>
              <w:t xml:space="preserve">Y = </w:t>
            </w:r>
            <w:r w:rsidR="0000665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61D" w14:textId="0CD4A5A5" w:rsidR="009761C3" w:rsidRPr="000267BC" w:rsidRDefault="009761C3" w:rsidP="00D43E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7BC">
              <w:rPr>
                <w:rFonts w:ascii="Arial" w:hAnsi="Arial" w:cs="Arial"/>
                <w:sz w:val="18"/>
                <w:szCs w:val="18"/>
              </w:rPr>
              <w:t>Nurodoma Pasiūlymo formoje (SPS 2</w:t>
            </w:r>
            <w:r w:rsidR="00F5558C">
              <w:rPr>
                <w:rFonts w:ascii="Arial" w:hAnsi="Arial" w:cs="Arial"/>
                <w:sz w:val="18"/>
                <w:szCs w:val="18"/>
              </w:rPr>
              <w:t> p</w:t>
            </w:r>
            <w:r w:rsidRPr="000267BC">
              <w:rPr>
                <w:rFonts w:ascii="Arial" w:hAnsi="Arial" w:cs="Arial"/>
                <w:sz w:val="18"/>
                <w:szCs w:val="18"/>
              </w:rPr>
              <w:t xml:space="preserve">riedas) </w:t>
            </w:r>
            <w:r w:rsidR="008D0B3C">
              <w:rPr>
                <w:rFonts w:ascii="Arial" w:hAnsi="Arial" w:cs="Arial"/>
                <w:sz w:val="18"/>
                <w:szCs w:val="18"/>
              </w:rPr>
              <w:t>2 lentelė</w:t>
            </w:r>
            <w:r w:rsidR="00D43E67" w:rsidRPr="000267B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44D3540D" w14:textId="77777777" w:rsidR="009761C3" w:rsidRPr="002C7E76" w:rsidRDefault="009761C3" w:rsidP="00D43E6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7E76">
              <w:rPr>
                <w:rFonts w:ascii="Arial" w:hAnsi="Arial" w:cs="Arial"/>
                <w:sz w:val="18"/>
                <w:szCs w:val="18"/>
                <w:lang w:val="en-US"/>
              </w:rPr>
              <w:t>Indicated in the Tender form</w:t>
            </w:r>
          </w:p>
          <w:p w14:paraId="4A39FC34" w14:textId="64254575" w:rsidR="009761C3" w:rsidRPr="00FB1C00" w:rsidRDefault="009761C3" w:rsidP="00FB1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E76">
              <w:rPr>
                <w:rFonts w:ascii="Arial" w:hAnsi="Arial" w:cs="Arial"/>
                <w:sz w:val="18"/>
                <w:szCs w:val="18"/>
                <w:lang w:val="en-US"/>
              </w:rPr>
              <w:t>(Annex 2 to</w:t>
            </w:r>
            <w:r w:rsidR="00D83AFD">
              <w:rPr>
                <w:rFonts w:ascii="Arial" w:hAnsi="Arial" w:cs="Arial"/>
                <w:sz w:val="18"/>
                <w:szCs w:val="18"/>
                <w:lang w:val="en-US"/>
              </w:rPr>
              <w:t xml:space="preserve"> the</w:t>
            </w:r>
            <w:r w:rsidRPr="002C7E76">
              <w:rPr>
                <w:rFonts w:ascii="Arial" w:hAnsi="Arial" w:cs="Arial"/>
                <w:sz w:val="18"/>
                <w:szCs w:val="18"/>
                <w:lang w:val="en-US"/>
              </w:rPr>
              <w:t xml:space="preserve"> SPC) in </w:t>
            </w:r>
            <w:r w:rsidR="008D0B3C">
              <w:rPr>
                <w:rFonts w:ascii="Arial" w:hAnsi="Arial" w:cs="Arial"/>
                <w:sz w:val="18"/>
                <w:szCs w:val="18"/>
                <w:lang w:val="en-US"/>
              </w:rPr>
              <w:t>table 2</w:t>
            </w:r>
          </w:p>
        </w:tc>
      </w:tr>
      <w:tr w:rsidR="00FB1C00" w:rsidRPr="007C3D8C" w14:paraId="5A7B68AB" w14:textId="77777777" w:rsidTr="000267BC">
        <w:trPr>
          <w:cantSplit/>
          <w:trHeight w:val="1695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B4F1" w14:textId="7848780A" w:rsidR="00006657" w:rsidRPr="00006657" w:rsidRDefault="00006657" w:rsidP="00D43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III kriterijus – Siūlomo jungtuvo </w:t>
            </w:r>
            <w:r w:rsidR="0051223D">
              <w:rPr>
                <w:rFonts w:ascii="Arial" w:hAnsi="Arial" w:cs="Arial"/>
                <w:b/>
                <w:sz w:val="18"/>
                <w:szCs w:val="18"/>
              </w:rPr>
              <w:t xml:space="preserve">vieno poliaus </w:t>
            </w:r>
            <w:r>
              <w:rPr>
                <w:rFonts w:ascii="Arial" w:hAnsi="Arial" w:cs="Arial"/>
                <w:b/>
                <w:sz w:val="18"/>
                <w:szCs w:val="18"/>
              </w:rPr>
              <w:t>maksimalus leistinas trumpojo jungimo srovės nutraukimo operacijų skaičius esant vardinei trumpojo jungimo atjungimo srovei I</w:t>
            </w:r>
            <w:r w:rsidRPr="00DA6007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(A)/</w:t>
            </w:r>
          </w:p>
          <w:p w14:paraId="22224123" w14:textId="375F59A9" w:rsidR="00FB1C00" w:rsidRPr="00747BC1" w:rsidRDefault="00747BC1" w:rsidP="00D43E6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7BC1">
              <w:rPr>
                <w:rFonts w:ascii="Arial" w:hAnsi="Arial" w:cs="Arial"/>
                <w:b/>
                <w:sz w:val="18"/>
                <w:szCs w:val="18"/>
                <w:lang w:val="en-US"/>
              </w:rPr>
              <w:t>Criterion III</w:t>
            </w:r>
            <w:r w:rsidR="00FB1C00" w:rsidRPr="00747BC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47BC1">
              <w:rPr>
                <w:rFonts w:ascii="Arial" w:hAnsi="Arial" w:cs="Arial"/>
                <w:b/>
                <w:sz w:val="18"/>
                <w:szCs w:val="18"/>
                <w:lang w:val="en-US"/>
              </w:rPr>
              <w:t>– Maximum permissible number of short</w:t>
            </w:r>
            <w:r w:rsidR="00924D72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 w:rsidRPr="00747BC1">
              <w:rPr>
                <w:rFonts w:ascii="Arial" w:hAnsi="Arial" w:cs="Arial"/>
                <w:b/>
                <w:sz w:val="18"/>
                <w:szCs w:val="18"/>
                <w:lang w:val="en-US"/>
              </w:rPr>
              <w:t>circuit breaking operations</w:t>
            </w:r>
            <w:r w:rsidR="0000665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1223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for one pole </w:t>
            </w:r>
            <w:r w:rsidR="00006657">
              <w:rPr>
                <w:rFonts w:ascii="Arial" w:hAnsi="Arial" w:cs="Arial"/>
                <w:b/>
                <w:sz w:val="18"/>
                <w:szCs w:val="18"/>
                <w:lang w:val="en-US"/>
              </w:rPr>
              <w:t>of proposed circuit-breaker</w:t>
            </w:r>
            <w:r w:rsidRPr="00747BC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at rated short circuit breaking current I</w:t>
            </w:r>
            <w:r w:rsidRPr="00747BC1">
              <w:rPr>
                <w:rFonts w:ascii="Arial" w:hAnsi="Arial" w:cs="Arial"/>
                <w:b/>
                <w:sz w:val="18"/>
                <w:szCs w:val="18"/>
                <w:vertAlign w:val="subscript"/>
                <w:lang w:val="en-US"/>
              </w:rPr>
              <w:t>sc</w:t>
            </w:r>
            <w:r w:rsidR="00FC34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(A)</w:t>
            </w:r>
          </w:p>
          <w:p w14:paraId="29520305" w14:textId="77777777" w:rsidR="00924D72" w:rsidRDefault="00924D72" w:rsidP="00C44A5F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865EC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Vertinamas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maksimalus leistinas trumpojo jungimo srovės nutraukimo operacijų skaičius</w:t>
            </w:r>
            <w:r w:rsidRPr="00865EC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nurodomas Prekės (jungtuvo) gamyklinėje eksploatavimo ir priežiūros instrukcijoje</w:t>
            </w:r>
            <w:r w:rsidRPr="00BD7D0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pagal šios metodikos 1.3 punkte nurodytą formulę. D</w:t>
            </w:r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idžiausią įvertinimo balą gauna tas Pasiūlymas, kurio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srovės nutraukimo operacijų skaičius</w:t>
            </w:r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yra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didžiausias</w:t>
            </w:r>
            <w:r w:rsidRPr="009761C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, o likę Pasiūlymai įvertinami proporcingai mažesniais balais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</w:t>
            </w:r>
          </w:p>
          <w:p w14:paraId="457F0264" w14:textId="4A4AABC9" w:rsidR="00747BC1" w:rsidRPr="00FF54E5" w:rsidRDefault="00924D72" w:rsidP="00C44A5F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</w:pPr>
            <w:r w:rsidRPr="00812841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</w:t>
            </w:r>
            <w:r w:rsidRPr="00812841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aximum permissible number of short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-</w:t>
            </w:r>
            <w:r w:rsidRPr="00812841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circuit breaking operations specified in the Goods (circuit-breaker) factory operating and maintenance manual will be evaluated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according to the formula specified in clause 1.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3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of this methodology, where the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Tender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with the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highest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812841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permissible number of short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-</w:t>
            </w:r>
            <w:r w:rsidRPr="00812841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circuit breaking operations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receives the highest evaluation score, and the remaining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Tenders</w:t>
            </w:r>
            <w:r w:rsidRPr="002C7E76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 xml:space="preserve"> are evaluated with proportionally lower scores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9650" w14:textId="0980FDD0" w:rsidR="00FB1C00" w:rsidRPr="000267BC" w:rsidRDefault="00FB1C00" w:rsidP="00D43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= 13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210" w14:textId="77777777" w:rsidR="0021453C" w:rsidRPr="000267BC" w:rsidRDefault="0021453C" w:rsidP="0021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7BC">
              <w:rPr>
                <w:rFonts w:ascii="Arial" w:hAnsi="Arial" w:cs="Arial"/>
                <w:sz w:val="18"/>
                <w:szCs w:val="18"/>
              </w:rPr>
              <w:t>Nurodoma Pasiūlymo formoje (SPS 2</w:t>
            </w:r>
            <w:r>
              <w:rPr>
                <w:rFonts w:ascii="Arial" w:hAnsi="Arial" w:cs="Arial"/>
                <w:sz w:val="18"/>
                <w:szCs w:val="18"/>
              </w:rPr>
              <w:t> p</w:t>
            </w:r>
            <w:r w:rsidRPr="000267BC">
              <w:rPr>
                <w:rFonts w:ascii="Arial" w:hAnsi="Arial" w:cs="Arial"/>
                <w:sz w:val="18"/>
                <w:szCs w:val="18"/>
              </w:rPr>
              <w:t xml:space="preserve">riedas) </w:t>
            </w:r>
            <w:r>
              <w:rPr>
                <w:rFonts w:ascii="Arial" w:hAnsi="Arial" w:cs="Arial"/>
                <w:sz w:val="18"/>
                <w:szCs w:val="18"/>
              </w:rPr>
              <w:t>2 lentelė</w:t>
            </w:r>
            <w:r w:rsidRPr="000267B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41901F9" w14:textId="77777777" w:rsidR="0021453C" w:rsidRPr="002C7E76" w:rsidRDefault="0021453C" w:rsidP="0021453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C7E76">
              <w:rPr>
                <w:rFonts w:ascii="Arial" w:hAnsi="Arial" w:cs="Arial"/>
                <w:sz w:val="18"/>
                <w:szCs w:val="18"/>
                <w:lang w:val="en-US"/>
              </w:rPr>
              <w:t>Indicated in the Tender form</w:t>
            </w:r>
          </w:p>
          <w:p w14:paraId="6A1248B0" w14:textId="2E6D9636" w:rsidR="00FB1C00" w:rsidRPr="000267BC" w:rsidRDefault="0021453C" w:rsidP="00214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E76">
              <w:rPr>
                <w:rFonts w:ascii="Arial" w:hAnsi="Arial" w:cs="Arial"/>
                <w:sz w:val="18"/>
                <w:szCs w:val="18"/>
                <w:lang w:val="en-US"/>
              </w:rPr>
              <w:t>(Annex 2 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the</w:t>
            </w:r>
            <w:r w:rsidRPr="002C7E76">
              <w:rPr>
                <w:rFonts w:ascii="Arial" w:hAnsi="Arial" w:cs="Arial"/>
                <w:sz w:val="18"/>
                <w:szCs w:val="18"/>
                <w:lang w:val="en-US"/>
              </w:rPr>
              <w:t xml:space="preserve"> SPC) in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table 2</w:t>
            </w:r>
          </w:p>
        </w:tc>
      </w:tr>
    </w:tbl>
    <w:p w14:paraId="66AF33A4" w14:textId="77777777" w:rsidR="007C3D8C" w:rsidRPr="007C3D8C" w:rsidRDefault="007C3D8C" w:rsidP="009761C3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536"/>
        <w:gridCol w:w="5387"/>
      </w:tblGrid>
      <w:tr w:rsidR="007C3D8C" w:rsidRPr="007C3D8C" w14:paraId="1034823A" w14:textId="77777777" w:rsidTr="007C3D8C">
        <w:tc>
          <w:tcPr>
            <w:tcW w:w="562" w:type="dxa"/>
          </w:tcPr>
          <w:p w14:paraId="6A5CFD7B" w14:textId="77777777" w:rsidR="007C3D8C" w:rsidRPr="007C3D8C" w:rsidRDefault="007C3D8C" w:rsidP="007C3D8C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8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0C754EE6" w14:textId="08BE506C" w:rsidR="007C3D8C" w:rsidRPr="007C3D8C" w:rsidRDefault="007C3D8C" w:rsidP="009761C3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D8C">
              <w:rPr>
                <w:rFonts w:ascii="Arial" w:hAnsi="Arial" w:cs="Arial"/>
                <w:sz w:val="20"/>
                <w:szCs w:val="20"/>
              </w:rPr>
              <w:t xml:space="preserve">Pasiūlymo ekonominio naudingumo </w:t>
            </w:r>
            <w:r w:rsidRPr="007C3D8C">
              <w:rPr>
                <w:rFonts w:ascii="Arial" w:hAnsi="Arial" w:cs="Arial"/>
                <w:i/>
                <w:sz w:val="20"/>
                <w:szCs w:val="20"/>
              </w:rPr>
              <w:t>(S)</w:t>
            </w:r>
            <w:r w:rsidRPr="007C3D8C">
              <w:rPr>
                <w:rFonts w:ascii="Arial" w:hAnsi="Arial" w:cs="Arial"/>
                <w:sz w:val="20"/>
                <w:szCs w:val="20"/>
              </w:rPr>
              <w:t xml:space="preserve"> balai bus apskaičiuojami sudedant visų vertinimo kriterijų (I-II</w:t>
            </w:r>
            <w:r w:rsidR="009547B0">
              <w:rPr>
                <w:rFonts w:ascii="Arial" w:hAnsi="Arial" w:cs="Arial"/>
                <w:sz w:val="20"/>
                <w:szCs w:val="20"/>
              </w:rPr>
              <w:t>I</w:t>
            </w:r>
            <w:r w:rsidRPr="007C3D8C">
              <w:rPr>
                <w:rFonts w:ascii="Arial" w:hAnsi="Arial" w:cs="Arial"/>
                <w:sz w:val="20"/>
                <w:szCs w:val="20"/>
              </w:rPr>
              <w:t>) įvertinimo balus:</w:t>
            </w:r>
          </w:p>
        </w:tc>
        <w:tc>
          <w:tcPr>
            <w:tcW w:w="5387" w:type="dxa"/>
          </w:tcPr>
          <w:p w14:paraId="0B6080A9" w14:textId="081FEF91" w:rsidR="007C3D8C" w:rsidRPr="007C3D8C" w:rsidRDefault="007C3D8C" w:rsidP="009761C3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E76">
              <w:rPr>
                <w:rFonts w:ascii="Arial" w:hAnsi="Arial" w:cs="Arial"/>
                <w:sz w:val="20"/>
                <w:szCs w:val="20"/>
                <w:lang w:val="en-US"/>
              </w:rPr>
              <w:t>The cost-effectiveness of the Tender (S) will be calculated by summing the evaluation scores of all evaluation criteria</w:t>
            </w:r>
            <w:r w:rsidRPr="007C3D8C">
              <w:rPr>
                <w:rFonts w:ascii="Arial" w:hAnsi="Arial" w:cs="Arial"/>
                <w:sz w:val="20"/>
                <w:szCs w:val="20"/>
              </w:rPr>
              <w:t xml:space="preserve"> (I-II</w:t>
            </w:r>
            <w:r w:rsidR="009547B0">
              <w:rPr>
                <w:rFonts w:ascii="Arial" w:hAnsi="Arial" w:cs="Arial"/>
                <w:sz w:val="20"/>
                <w:szCs w:val="20"/>
              </w:rPr>
              <w:t>I</w:t>
            </w:r>
            <w:r w:rsidRPr="007C3D8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14:paraId="4974B2B4" w14:textId="77777777" w:rsidR="007C3D8C" w:rsidRPr="007C3D8C" w:rsidRDefault="007C3D8C" w:rsidP="007C3D8C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F86FBF" w14:textId="16424E30" w:rsidR="007C3D8C" w:rsidRPr="007C3D8C" w:rsidRDefault="007C3D8C" w:rsidP="007C3D8C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</w:rPr>
      </w:pPr>
      <w:r w:rsidRPr="007C3D8C">
        <w:rPr>
          <w:rFonts w:ascii="Arial" w:hAnsi="Arial" w:cs="Arial"/>
          <w:i/>
          <w:sz w:val="20"/>
          <w:szCs w:val="20"/>
        </w:rPr>
        <w:t>S = C</w:t>
      </w:r>
      <w:r w:rsidR="009761C3">
        <w:rPr>
          <w:rFonts w:ascii="Arial" w:hAnsi="Arial" w:cs="Arial"/>
          <w:i/>
          <w:sz w:val="20"/>
          <w:szCs w:val="20"/>
        </w:rPr>
        <w:t xml:space="preserve"> </w:t>
      </w:r>
      <w:r w:rsidRPr="007C3D8C">
        <w:rPr>
          <w:rFonts w:ascii="Arial" w:hAnsi="Arial" w:cs="Arial"/>
          <w:i/>
          <w:sz w:val="20"/>
          <w:szCs w:val="20"/>
        </w:rPr>
        <w:t>+</w:t>
      </w:r>
      <w:r w:rsidR="009761C3">
        <w:rPr>
          <w:rFonts w:ascii="Arial" w:hAnsi="Arial" w:cs="Arial"/>
          <w:i/>
          <w:sz w:val="20"/>
          <w:szCs w:val="20"/>
        </w:rPr>
        <w:t xml:space="preserve"> </w:t>
      </w:r>
      <w:r w:rsidRPr="007C3D8C">
        <w:rPr>
          <w:rFonts w:ascii="Arial" w:hAnsi="Arial" w:cs="Arial"/>
          <w:i/>
          <w:sz w:val="20"/>
          <w:szCs w:val="20"/>
        </w:rPr>
        <w:t>B</w:t>
      </w:r>
      <w:r w:rsidR="009761C3">
        <w:rPr>
          <w:rFonts w:ascii="Arial" w:hAnsi="Arial" w:cs="Arial"/>
          <w:i/>
          <w:sz w:val="20"/>
          <w:szCs w:val="20"/>
        </w:rPr>
        <w:t xml:space="preserve"> </w:t>
      </w:r>
      <w:r w:rsidR="009547B0">
        <w:rPr>
          <w:rFonts w:ascii="Arial" w:hAnsi="Arial" w:cs="Arial"/>
          <w:i/>
          <w:sz w:val="20"/>
          <w:szCs w:val="20"/>
        </w:rPr>
        <w:t>+ A</w:t>
      </w:r>
    </w:p>
    <w:p w14:paraId="01E3A963" w14:textId="77777777" w:rsidR="007C3D8C" w:rsidRPr="007C3D8C" w:rsidRDefault="007C3D8C" w:rsidP="007C3D8C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0"/>
        <w:gridCol w:w="4536"/>
        <w:gridCol w:w="5399"/>
      </w:tblGrid>
      <w:tr w:rsidR="007C3D8C" w:rsidRPr="007C3D8C" w14:paraId="6004A5C3" w14:textId="77777777" w:rsidTr="003901EC">
        <w:trPr>
          <w:cantSplit/>
          <w:trHeight w:val="982"/>
        </w:trPr>
        <w:tc>
          <w:tcPr>
            <w:tcW w:w="550" w:type="dxa"/>
          </w:tcPr>
          <w:p w14:paraId="15E5FAE2" w14:textId="77777777" w:rsidR="007C3D8C" w:rsidRPr="007C3D8C" w:rsidRDefault="007C3D8C" w:rsidP="007C3D8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D8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536" w:type="dxa"/>
          </w:tcPr>
          <w:p w14:paraId="32D66142" w14:textId="77777777" w:rsidR="007C3D8C" w:rsidRPr="007C3D8C" w:rsidRDefault="007C3D8C" w:rsidP="007C3D8C">
            <w:pPr>
              <w:pStyle w:val="ListParagraph"/>
              <w:tabs>
                <w:tab w:val="left" w:pos="0"/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kriterijaus </w:t>
            </w:r>
            <w:r w:rsidRPr="007E6E24">
              <w:rPr>
                <w:rFonts w:ascii="Arial" w:hAnsi="Arial" w:cs="Arial"/>
                <w:b/>
                <w:bCs/>
                <w:sz w:val="20"/>
                <w:szCs w:val="20"/>
              </w:rPr>
              <w:t>(C)</w:t>
            </w:r>
            <w:r w:rsidRPr="007C3D8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>Pasiūlymo kaina</w:t>
            </w:r>
            <w:r w:rsidRPr="007C3D8C">
              <w:rPr>
                <w:rFonts w:ascii="Arial" w:hAnsi="Arial" w:cs="Arial"/>
                <w:sz w:val="20"/>
                <w:szCs w:val="20"/>
              </w:rPr>
              <w:t xml:space="preserve"> balai apskaičiuojami mažiausios pasiūlytos kainos</w:t>
            </w:r>
            <w:r w:rsidRPr="007C3D8C">
              <w:rPr>
                <w:rFonts w:ascii="Arial" w:hAnsi="Arial" w:cs="Arial"/>
                <w:i/>
                <w:iCs/>
                <w:sz w:val="20"/>
                <w:szCs w:val="20"/>
              </w:rPr>
              <w:t>(C</w:t>
            </w:r>
            <w:r w:rsidRPr="007C3D8C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min</w:t>
            </w:r>
            <w:r w:rsidRPr="007C3D8C">
              <w:rPr>
                <w:rFonts w:ascii="Arial" w:hAnsi="Arial" w:cs="Arial"/>
                <w:sz w:val="20"/>
                <w:szCs w:val="20"/>
              </w:rPr>
              <w:t xml:space="preserve">) ir vertinamame Pasiūlymo nurodytos Pasiūlymo kainos </w:t>
            </w:r>
            <w:r w:rsidRPr="007C3D8C">
              <w:rPr>
                <w:rFonts w:ascii="Arial" w:hAnsi="Arial" w:cs="Arial"/>
                <w:i/>
                <w:iCs/>
                <w:sz w:val="20"/>
                <w:szCs w:val="20"/>
              </w:rPr>
              <w:t>(C</w:t>
            </w:r>
            <w:r w:rsidRPr="007C3D8C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p</w:t>
            </w:r>
            <w:r w:rsidRPr="007C3D8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7C3D8C">
              <w:rPr>
                <w:rFonts w:ascii="Arial" w:hAnsi="Arial" w:cs="Arial"/>
                <w:sz w:val="20"/>
                <w:szCs w:val="20"/>
              </w:rPr>
              <w:t xml:space="preserve"> santykį padauginant iš kriterijaus lyginamojo svorio (</w:t>
            </w:r>
            <w:r w:rsidRPr="007E6E2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X</w:t>
            </w:r>
            <w:r w:rsidRPr="007C3D8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99" w:type="dxa"/>
          </w:tcPr>
          <w:p w14:paraId="655DF173" w14:textId="77777777" w:rsidR="007C3D8C" w:rsidRPr="007C3D8C" w:rsidRDefault="007C3D8C" w:rsidP="007C3D8C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Criterion I (C)</w:t>
            </w:r>
            <w:r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 – Tender price points are calculated by multiplying the ratio of the lowest Tender price (</w:t>
            </w:r>
            <w:r w:rsidRPr="007E6E2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</w:t>
            </w:r>
            <w:r w:rsidRPr="007E6E24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min</w:t>
            </w:r>
            <w:r w:rsidRPr="002C7E76">
              <w:rPr>
                <w:rFonts w:ascii="Arial" w:hAnsi="Arial" w:cs="Arial"/>
                <w:sz w:val="20"/>
                <w:szCs w:val="20"/>
                <w:lang w:val="en-US"/>
              </w:rPr>
              <w:t>) and the Tender price (</w:t>
            </w:r>
            <w:r w:rsidRPr="007E6E2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</w:t>
            </w:r>
            <w:r w:rsidRPr="007E6E24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Pr="002C7E76">
              <w:rPr>
                <w:rFonts w:ascii="Arial" w:hAnsi="Arial" w:cs="Arial"/>
                <w:sz w:val="20"/>
                <w:szCs w:val="20"/>
                <w:lang w:val="en-US"/>
              </w:rPr>
              <w:t>) specified in the Tender by the comparative weight</w:t>
            </w:r>
            <w:r w:rsidRPr="007C3D8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E6E24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7C3D8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14:paraId="26F64057" w14:textId="655E7188" w:rsidR="007C3D8C" w:rsidRPr="00402FF1" w:rsidRDefault="007C3D8C" w:rsidP="00402FF1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BB5419D" w14:textId="41179B0F" w:rsidR="00402FF1" w:rsidRDefault="007E6E24" w:rsidP="00402FF1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*X</m:t>
          </m:r>
        </m:oMath>
      </m:oMathPara>
    </w:p>
    <w:p w14:paraId="03EACA51" w14:textId="77777777" w:rsidR="007E6E24" w:rsidRPr="007C3D8C" w:rsidRDefault="007E6E24" w:rsidP="00402FF1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536"/>
        <w:gridCol w:w="5387"/>
      </w:tblGrid>
      <w:tr w:rsidR="007C3D8C" w:rsidRPr="007C3D8C" w14:paraId="1612A524" w14:textId="77777777" w:rsidTr="007C3D8C">
        <w:tc>
          <w:tcPr>
            <w:tcW w:w="562" w:type="dxa"/>
          </w:tcPr>
          <w:p w14:paraId="6AADF92F" w14:textId="0177E803" w:rsidR="007C3D8C" w:rsidRPr="007C3D8C" w:rsidRDefault="00880EAC" w:rsidP="007C3D8C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C3D8C" w:rsidRPr="007C3D8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2F3D835A" w14:textId="2EA2814F" w:rsidR="007C3D8C" w:rsidRPr="007C3D8C" w:rsidRDefault="007C3D8C" w:rsidP="007C3D8C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kriterijaus (B) </w:t>
            </w:r>
            <w:r w:rsidRPr="007C3D8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0B32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392B">
              <w:rPr>
                <w:rFonts w:ascii="Arial" w:hAnsi="Arial" w:cs="Arial"/>
                <w:b/>
                <w:sz w:val="20"/>
                <w:szCs w:val="20"/>
              </w:rPr>
              <w:t>Priežiūros intervalas</w:t>
            </w:r>
            <w:r w:rsidRPr="007C3D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3D8C">
              <w:rPr>
                <w:rFonts w:ascii="Arial" w:hAnsi="Arial" w:cs="Arial"/>
                <w:sz w:val="20"/>
                <w:szCs w:val="20"/>
              </w:rPr>
              <w:t xml:space="preserve">balai </w:t>
            </w:r>
            <w:r w:rsidR="00A2392B">
              <w:rPr>
                <w:rFonts w:ascii="Arial" w:hAnsi="Arial" w:cs="Arial"/>
                <w:sz w:val="20"/>
                <w:szCs w:val="20"/>
              </w:rPr>
              <w:t>apskaičiuojami vertinamame Pasiūlyme  nurodyto priežiūros intervalo (</w:t>
            </w:r>
            <w:r w:rsidR="00A2392B" w:rsidRPr="00A2392B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A2392B" w:rsidRPr="00A239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p</w:t>
            </w:r>
            <w:r w:rsidR="00A2392B">
              <w:rPr>
                <w:rFonts w:ascii="Arial" w:hAnsi="Arial" w:cs="Arial"/>
                <w:sz w:val="20"/>
                <w:szCs w:val="20"/>
              </w:rPr>
              <w:t>) ir didžiausio pasiūlyto priežiūros intervalo (</w:t>
            </w:r>
            <w:r w:rsidR="00A2392B" w:rsidRPr="00A2392B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A2392B" w:rsidRPr="00A239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max</w:t>
            </w:r>
            <w:r w:rsidR="00A2392B">
              <w:rPr>
                <w:rFonts w:ascii="Arial" w:hAnsi="Arial" w:cs="Arial"/>
                <w:sz w:val="20"/>
                <w:szCs w:val="20"/>
              </w:rPr>
              <w:t>) santykį padauginant iš kriterijaus lyginamojo svorio (</w:t>
            </w:r>
            <w:r w:rsidR="00A2392B" w:rsidRPr="008507D4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="00A2392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87" w:type="dxa"/>
          </w:tcPr>
          <w:p w14:paraId="65E4D029" w14:textId="5E733916" w:rsidR="007C3D8C" w:rsidRPr="007C3D8C" w:rsidRDefault="007C3D8C" w:rsidP="007C3D8C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Criterion II (B) – </w:t>
            </w:r>
            <w:r w:rsidR="00E139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Maintenance interval</w:t>
            </w:r>
            <w:r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1399E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points are calculated by multiplying the ratio of the Tender </w:t>
            </w:r>
            <w:r w:rsidR="00E1399E">
              <w:rPr>
                <w:rFonts w:ascii="Arial" w:hAnsi="Arial" w:cs="Arial"/>
                <w:sz w:val="20"/>
                <w:szCs w:val="20"/>
                <w:lang w:val="en-US"/>
              </w:rPr>
              <w:t>maintenance interval</w:t>
            </w:r>
            <w:r w:rsidR="00E1399E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E1399E" w:rsidRPr="008507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r w:rsidR="00E1399E" w:rsidRPr="008507D4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="00E1399E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) specified in the Tender </w:t>
            </w:r>
            <w:r w:rsidR="00E1399E">
              <w:rPr>
                <w:rFonts w:ascii="Arial" w:hAnsi="Arial" w:cs="Arial"/>
                <w:sz w:val="20"/>
                <w:szCs w:val="20"/>
                <w:lang w:val="en-US"/>
              </w:rPr>
              <w:t xml:space="preserve">and the highest </w:t>
            </w:r>
            <w:r w:rsidR="00E1399E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Tender </w:t>
            </w:r>
            <w:r w:rsidR="00E1399E">
              <w:rPr>
                <w:rFonts w:ascii="Arial" w:hAnsi="Arial" w:cs="Arial"/>
                <w:sz w:val="20"/>
                <w:szCs w:val="20"/>
                <w:lang w:val="en-US"/>
              </w:rPr>
              <w:t>maintenance interval</w:t>
            </w:r>
            <w:r w:rsidR="00E1399E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E1399E" w:rsidRPr="008507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r w:rsidR="00E1399E" w:rsidRPr="008507D4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max</w:t>
            </w:r>
            <w:r w:rsidR="00E1399E" w:rsidRPr="002C7E76">
              <w:rPr>
                <w:rFonts w:ascii="Arial" w:hAnsi="Arial" w:cs="Arial"/>
                <w:sz w:val="20"/>
                <w:szCs w:val="20"/>
                <w:lang w:val="en-US"/>
              </w:rPr>
              <w:t>) by the comparative weight</w:t>
            </w:r>
            <w:r w:rsidR="00E1399E" w:rsidRPr="007C3D8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1399E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="00E1399E" w:rsidRPr="007C3D8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14:paraId="64560D4C" w14:textId="77777777" w:rsidR="007C3D8C" w:rsidRPr="007E6E24" w:rsidRDefault="007C3D8C" w:rsidP="007E6E24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53C07E3" w14:textId="1DEF4AB1" w:rsidR="00F5558C" w:rsidRPr="007E6E24" w:rsidRDefault="007E6E24" w:rsidP="007E6E24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B=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*Y</m:t>
          </m:r>
        </m:oMath>
      </m:oMathPara>
    </w:p>
    <w:p w14:paraId="096D83E9" w14:textId="77777777" w:rsidR="00F5558C" w:rsidRPr="007E6E24" w:rsidRDefault="00F5558C" w:rsidP="007E6E24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536"/>
        <w:gridCol w:w="5387"/>
      </w:tblGrid>
      <w:tr w:rsidR="007E6E24" w:rsidRPr="007C3D8C" w14:paraId="37D48FA1" w14:textId="77777777" w:rsidTr="001014C1">
        <w:tc>
          <w:tcPr>
            <w:tcW w:w="562" w:type="dxa"/>
          </w:tcPr>
          <w:p w14:paraId="2708C67E" w14:textId="670204D5" w:rsidR="007E6E24" w:rsidRPr="007C3D8C" w:rsidRDefault="007E6E24" w:rsidP="001014C1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Pr="007C3D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16B38A72" w14:textId="15D5631A" w:rsidR="007E6E24" w:rsidRPr="007C3D8C" w:rsidRDefault="007E6E24" w:rsidP="001014C1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E1399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kriterijaus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C3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7C3D8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07D4">
              <w:rPr>
                <w:rFonts w:ascii="Arial" w:hAnsi="Arial" w:cs="Arial"/>
                <w:b/>
                <w:sz w:val="20"/>
                <w:szCs w:val="20"/>
              </w:rPr>
              <w:t>Operacijų skaičius</w:t>
            </w:r>
            <w:r w:rsidR="008507D4" w:rsidRPr="007C3D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07D4" w:rsidRPr="007C3D8C">
              <w:rPr>
                <w:rFonts w:ascii="Arial" w:hAnsi="Arial" w:cs="Arial"/>
                <w:sz w:val="20"/>
                <w:szCs w:val="20"/>
              </w:rPr>
              <w:t xml:space="preserve">balai </w:t>
            </w:r>
            <w:r w:rsidR="008507D4">
              <w:rPr>
                <w:rFonts w:ascii="Arial" w:hAnsi="Arial" w:cs="Arial"/>
                <w:sz w:val="20"/>
                <w:szCs w:val="20"/>
              </w:rPr>
              <w:t>apskaičiuojami vertinamame Pasiūlyme nurodyto operacijų skaičiaus (</w:t>
            </w:r>
            <w:r w:rsidR="008507D4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8507D4" w:rsidRPr="00A239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p</w:t>
            </w:r>
            <w:r w:rsidR="008507D4">
              <w:rPr>
                <w:rFonts w:ascii="Arial" w:hAnsi="Arial" w:cs="Arial"/>
                <w:sz w:val="20"/>
                <w:szCs w:val="20"/>
              </w:rPr>
              <w:t>) ir didžiausio pasiūlyto operacijų skaičiaus (</w:t>
            </w:r>
            <w:r w:rsidR="008507D4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8507D4" w:rsidRPr="00A2392B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max</w:t>
            </w:r>
            <w:r w:rsidR="008507D4">
              <w:rPr>
                <w:rFonts w:ascii="Arial" w:hAnsi="Arial" w:cs="Arial"/>
                <w:sz w:val="20"/>
                <w:szCs w:val="20"/>
              </w:rPr>
              <w:t>) santykį padauginant iš kriterijaus lyginamojo svorio (</w:t>
            </w:r>
            <w:r w:rsidR="008507D4"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="008507D4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87" w:type="dxa"/>
          </w:tcPr>
          <w:p w14:paraId="00D2F383" w14:textId="40AB1B3E" w:rsidR="007E6E24" w:rsidRPr="007C3D8C" w:rsidRDefault="007E6E24" w:rsidP="001014C1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Criterion II</w:t>
            </w:r>
            <w:r w:rsidR="00E139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2C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2C7E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) – </w:t>
            </w:r>
            <w:r w:rsidR="00F870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 of operations</w:t>
            </w:r>
            <w:r w:rsidR="00F87076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 points are calculated by multiplying the ratio of the Tender </w:t>
            </w:r>
            <w:r w:rsidR="00F87076">
              <w:rPr>
                <w:rFonts w:ascii="Arial" w:hAnsi="Arial" w:cs="Arial"/>
                <w:sz w:val="20"/>
                <w:szCs w:val="20"/>
                <w:lang w:val="en-US"/>
              </w:rPr>
              <w:t>number of operations</w:t>
            </w:r>
            <w:r w:rsidR="00F87076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F8707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="00F87076" w:rsidRPr="008507D4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p</w:t>
            </w:r>
            <w:r w:rsidR="00F87076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) specified in the Tender </w:t>
            </w:r>
            <w:r w:rsidR="00F87076">
              <w:rPr>
                <w:rFonts w:ascii="Arial" w:hAnsi="Arial" w:cs="Arial"/>
                <w:sz w:val="20"/>
                <w:szCs w:val="20"/>
                <w:lang w:val="en-US"/>
              </w:rPr>
              <w:t xml:space="preserve">and the highest </w:t>
            </w:r>
            <w:r w:rsidR="00F87076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Tender </w:t>
            </w:r>
            <w:r w:rsidR="00F87076">
              <w:rPr>
                <w:rFonts w:ascii="Arial" w:hAnsi="Arial" w:cs="Arial"/>
                <w:sz w:val="20"/>
                <w:szCs w:val="20"/>
                <w:lang w:val="en-US"/>
              </w:rPr>
              <w:t>number of operations</w:t>
            </w:r>
            <w:r w:rsidR="00F87076" w:rsidRPr="002C7E7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F8707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="00F87076" w:rsidRPr="008507D4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max</w:t>
            </w:r>
            <w:r w:rsidR="00F87076" w:rsidRPr="002C7E76">
              <w:rPr>
                <w:rFonts w:ascii="Arial" w:hAnsi="Arial" w:cs="Arial"/>
                <w:sz w:val="20"/>
                <w:szCs w:val="20"/>
                <w:lang w:val="en-US"/>
              </w:rPr>
              <w:t>) by the comparative weight</w:t>
            </w:r>
            <w:r w:rsidR="00F87076" w:rsidRPr="007C3D8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87076"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="00F87076" w:rsidRPr="007C3D8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14:paraId="0A3CDB2C" w14:textId="77777777" w:rsidR="00F5558C" w:rsidRDefault="00F5558C" w:rsidP="007E6E24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E1C3197" w14:textId="2B20BA77" w:rsidR="007E6E24" w:rsidRPr="007E6E24" w:rsidRDefault="007E6E24" w:rsidP="007E6E24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A=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*Z</m:t>
          </m:r>
        </m:oMath>
      </m:oMathPara>
      <w:bookmarkEnd w:id="0"/>
    </w:p>
    <w:sectPr w:rsidR="007E6E24" w:rsidRPr="007E6E24" w:rsidSect="00880EAC">
      <w:footerReference w:type="default" r:id="rId6"/>
      <w:headerReference w:type="first" r:id="rId7"/>
      <w:footerReference w:type="first" r:id="rId8"/>
      <w:pgSz w:w="11906" w:h="16838" w:code="9"/>
      <w:pgMar w:top="1135" w:right="720" w:bottom="720" w:left="720" w:header="86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6C2D" w14:textId="77777777" w:rsidR="00FA4BCA" w:rsidRDefault="00FA4BCA" w:rsidP="007C3D8C">
      <w:r>
        <w:separator/>
      </w:r>
    </w:p>
  </w:endnote>
  <w:endnote w:type="continuationSeparator" w:id="0">
    <w:p w14:paraId="3CD8B315" w14:textId="77777777" w:rsidR="00FA4BCA" w:rsidRDefault="00FA4BCA" w:rsidP="007C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A8FA" w14:textId="77777777" w:rsidR="00964D38" w:rsidRDefault="00964D38">
    <w:pPr>
      <w:pStyle w:val="Footer"/>
      <w:jc w:val="center"/>
    </w:pPr>
  </w:p>
  <w:p w14:paraId="452D6373" w14:textId="77777777" w:rsidR="00964D38" w:rsidRPr="004A16D7" w:rsidRDefault="005C6594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7946416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4D38" w:rsidRPr="004A16D7">
          <w:rPr>
            <w:rFonts w:ascii="Arial" w:hAnsi="Arial" w:cs="Arial"/>
            <w:sz w:val="20"/>
            <w:szCs w:val="20"/>
          </w:rPr>
          <w:fldChar w:fldCharType="begin"/>
        </w:r>
        <w:r w:rsidR="00964D38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64D38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964D38">
          <w:rPr>
            <w:rFonts w:ascii="Arial" w:hAnsi="Arial" w:cs="Arial"/>
            <w:noProof/>
            <w:sz w:val="20"/>
            <w:szCs w:val="20"/>
          </w:rPr>
          <w:t>2</w:t>
        </w:r>
        <w:r w:rsidR="00964D38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4E17" w14:textId="0AF62573" w:rsidR="00964D38" w:rsidRDefault="00964D38" w:rsidP="00954AE9">
    <w:pPr>
      <w:pStyle w:val="Footer"/>
    </w:pPr>
  </w:p>
  <w:p w14:paraId="093E1C36" w14:textId="2ECD099A" w:rsidR="00C44A5F" w:rsidRDefault="00C44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2FCF" w14:textId="77777777" w:rsidR="00FA4BCA" w:rsidRDefault="00FA4BCA" w:rsidP="007C3D8C">
      <w:r>
        <w:separator/>
      </w:r>
    </w:p>
  </w:footnote>
  <w:footnote w:type="continuationSeparator" w:id="0">
    <w:p w14:paraId="5B9F4CF3" w14:textId="77777777" w:rsidR="00FA4BCA" w:rsidRDefault="00FA4BCA" w:rsidP="007C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7323" w14:textId="77777777" w:rsidR="00964D38" w:rsidRPr="00EE478D" w:rsidRDefault="00964D38" w:rsidP="00FD2A52">
    <w:pPr>
      <w:pStyle w:val="Header"/>
      <w:spacing w:line="120" w:lineRule="aut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C"/>
    <w:rsid w:val="00006657"/>
    <w:rsid w:val="000267BC"/>
    <w:rsid w:val="00095A6B"/>
    <w:rsid w:val="000A1B08"/>
    <w:rsid w:val="000B32D4"/>
    <w:rsid w:val="000D24FF"/>
    <w:rsid w:val="000D42C5"/>
    <w:rsid w:val="000F4555"/>
    <w:rsid w:val="000F7EA0"/>
    <w:rsid w:val="00175519"/>
    <w:rsid w:val="0019742B"/>
    <w:rsid w:val="001A5543"/>
    <w:rsid w:val="001C0131"/>
    <w:rsid w:val="001F15B6"/>
    <w:rsid w:val="001F42C1"/>
    <w:rsid w:val="0021453C"/>
    <w:rsid w:val="00231E79"/>
    <w:rsid w:val="00264C3D"/>
    <w:rsid w:val="002746B0"/>
    <w:rsid w:val="002C7E76"/>
    <w:rsid w:val="0030795D"/>
    <w:rsid w:val="00331B43"/>
    <w:rsid w:val="003425B3"/>
    <w:rsid w:val="00375120"/>
    <w:rsid w:val="003901EC"/>
    <w:rsid w:val="00402FF1"/>
    <w:rsid w:val="004452C0"/>
    <w:rsid w:val="004B398B"/>
    <w:rsid w:val="004B5848"/>
    <w:rsid w:val="004C1C10"/>
    <w:rsid w:val="004F695E"/>
    <w:rsid w:val="00506B39"/>
    <w:rsid w:val="0051223D"/>
    <w:rsid w:val="0056104A"/>
    <w:rsid w:val="005725EE"/>
    <w:rsid w:val="005A5D8B"/>
    <w:rsid w:val="005C6594"/>
    <w:rsid w:val="005F1291"/>
    <w:rsid w:val="00664464"/>
    <w:rsid w:val="006934D4"/>
    <w:rsid w:val="006A007C"/>
    <w:rsid w:val="006D28C7"/>
    <w:rsid w:val="006F3AA5"/>
    <w:rsid w:val="007215CE"/>
    <w:rsid w:val="00747BC1"/>
    <w:rsid w:val="007A6563"/>
    <w:rsid w:val="007C3D8C"/>
    <w:rsid w:val="007C5E90"/>
    <w:rsid w:val="007E6E24"/>
    <w:rsid w:val="007F3104"/>
    <w:rsid w:val="00806B80"/>
    <w:rsid w:val="008507D4"/>
    <w:rsid w:val="00857D93"/>
    <w:rsid w:val="00865ECC"/>
    <w:rsid w:val="008674AF"/>
    <w:rsid w:val="008677E7"/>
    <w:rsid w:val="00876A88"/>
    <w:rsid w:val="00880EAC"/>
    <w:rsid w:val="008845D6"/>
    <w:rsid w:val="008B5653"/>
    <w:rsid w:val="008D0B3C"/>
    <w:rsid w:val="008E1878"/>
    <w:rsid w:val="00924D72"/>
    <w:rsid w:val="0092682F"/>
    <w:rsid w:val="009507EE"/>
    <w:rsid w:val="009547B0"/>
    <w:rsid w:val="00957EC2"/>
    <w:rsid w:val="00964D38"/>
    <w:rsid w:val="009761C3"/>
    <w:rsid w:val="00995470"/>
    <w:rsid w:val="009E1BC1"/>
    <w:rsid w:val="00A2392B"/>
    <w:rsid w:val="00A47587"/>
    <w:rsid w:val="00A60509"/>
    <w:rsid w:val="00AA5550"/>
    <w:rsid w:val="00AB4FC1"/>
    <w:rsid w:val="00AC2C77"/>
    <w:rsid w:val="00AE0F84"/>
    <w:rsid w:val="00B41529"/>
    <w:rsid w:val="00B553A8"/>
    <w:rsid w:val="00B70854"/>
    <w:rsid w:val="00BA4568"/>
    <w:rsid w:val="00BB6EEE"/>
    <w:rsid w:val="00BE01CE"/>
    <w:rsid w:val="00C44A5F"/>
    <w:rsid w:val="00C56E9D"/>
    <w:rsid w:val="00C57D41"/>
    <w:rsid w:val="00CD6470"/>
    <w:rsid w:val="00CE6F2A"/>
    <w:rsid w:val="00CF270A"/>
    <w:rsid w:val="00D41E8F"/>
    <w:rsid w:val="00D43E67"/>
    <w:rsid w:val="00D83AFD"/>
    <w:rsid w:val="00D90897"/>
    <w:rsid w:val="00DA6007"/>
    <w:rsid w:val="00DC4F1A"/>
    <w:rsid w:val="00E1191D"/>
    <w:rsid w:val="00E1399E"/>
    <w:rsid w:val="00E2424F"/>
    <w:rsid w:val="00E9579D"/>
    <w:rsid w:val="00EB4879"/>
    <w:rsid w:val="00ED3B20"/>
    <w:rsid w:val="00F2274B"/>
    <w:rsid w:val="00F43F3C"/>
    <w:rsid w:val="00F45700"/>
    <w:rsid w:val="00F5558C"/>
    <w:rsid w:val="00F82104"/>
    <w:rsid w:val="00F87076"/>
    <w:rsid w:val="00FA4BCA"/>
    <w:rsid w:val="00FB1C00"/>
    <w:rsid w:val="00FB35DE"/>
    <w:rsid w:val="00FC34EA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0379A"/>
  <w15:chartTrackingRefBased/>
  <w15:docId w15:val="{897C1A93-E8AC-47FE-B133-2747FAD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3D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7C3D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7C3D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C3D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3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3D8C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aliases w:val="CV table"/>
    <w:basedOn w:val="TableNormal"/>
    <w:uiPriority w:val="39"/>
    <w:rsid w:val="007C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D4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7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Numatytasispastraiposriftas1">
    <w:name w:val="Numatytasis pastraipos šriftas1"/>
    <w:rsid w:val="00E9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Agnietė Stankevičienė</cp:lastModifiedBy>
  <cp:revision>2</cp:revision>
  <dcterms:created xsi:type="dcterms:W3CDTF">2025-02-03T12:41:00Z</dcterms:created>
  <dcterms:modified xsi:type="dcterms:W3CDTF">2025-02-03T12:41:00Z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2023-06-08T08:07:17Z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08a822c8-0874-452c-8755-1d4930096cc8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957a0aec39d33f87e3a51c683dba0bd32d58c5491264addef2983ca88c40329a</vt:lpwstr>
  </property>
</Properties>
</file>