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C91C00" w14:textId="77777777" w:rsidR="002C707B" w:rsidRPr="000B0447" w:rsidRDefault="002C707B" w:rsidP="000B0447">
      <w:pPr>
        <w:pStyle w:val="Antrat1"/>
        <w:keepNext/>
        <w:pageBreakBefore/>
        <w:jc w:val="right"/>
        <w:rPr>
          <w:rFonts w:ascii="Arial" w:eastAsia="Calibri" w:hAnsi="Arial" w:cs="Arial"/>
          <w:color w:val="000000" w:themeColor="text1"/>
          <w:sz w:val="20"/>
          <w:szCs w:val="20"/>
        </w:rPr>
      </w:pPr>
      <w:r>
        <w:rPr>
          <w:rFonts w:ascii="Times New Roman" w:hAnsi="Times New Roman"/>
          <w:color w:val="000000"/>
          <w:sz w:val="22"/>
        </w:rPr>
        <w:t>Pirkimo sąlygų 2 priedas „Techninė specifikacija“</w:t>
      </w:r>
      <w:r>
        <w:br/>
      </w:r>
      <w:r>
        <w:rPr>
          <w:rFonts w:ascii="Times New Roman" w:hAnsi="Times New Roman"/>
          <w:color w:val="000000"/>
          <w:sz w:val="22"/>
        </w:rPr>
        <w:t>Sutarties priedas Nr. 1</w:t>
      </w:r>
    </w:p>
    <w:p w14:paraId="6A2746CE" w14:textId="77777777" w:rsidR="002C707B" w:rsidRPr="000B0447" w:rsidRDefault="002C707B" w:rsidP="002C707B">
      <w:pPr>
        <w:spacing w:after="0" w:line="240" w:lineRule="auto"/>
        <w:jc w:val="center"/>
        <w:rPr>
          <w:rFonts w:ascii="Arial" w:hAnsi="Arial" w:cs="Arial"/>
          <w:b/>
          <w:sz w:val="20"/>
          <w:szCs w:val="20"/>
        </w:rPr>
      </w:pPr>
      <w:r w:rsidRPr="000B0447">
        <w:rPr>
          <w:rFonts w:ascii="Arial" w:hAnsi="Arial" w:cs="Arial"/>
          <w:b/>
          <w:sz w:val="20"/>
          <w:szCs w:val="20"/>
        </w:rPr>
        <w:t>NEPAVOJINGŲ ATLIEKŲ DEGINIMO PASLAUGŲ PIRKIMO TECHNINĖ SPECIFIKACIJA</w:t>
      </w:r>
    </w:p>
    <w:p w14:paraId="0EF8462B" w14:textId="77777777" w:rsidR="002C707B" w:rsidRPr="000B0447" w:rsidRDefault="002C707B" w:rsidP="002C707B">
      <w:pPr>
        <w:pStyle w:val="Betarp"/>
        <w:jc w:val="both"/>
        <w:rPr>
          <w:rFonts w:ascii="Arial" w:hAnsi="Arial" w:cs="Arial"/>
          <w:sz w:val="20"/>
          <w:szCs w:val="20"/>
        </w:rPr>
      </w:pPr>
      <w:r w:rsidRPr="000B0447">
        <w:rPr>
          <w:rFonts w:ascii="Arial" w:hAnsi="Arial" w:cs="Arial"/>
          <w:b/>
          <w:bCs/>
          <w:sz w:val="20"/>
          <w:szCs w:val="20"/>
        </w:rPr>
        <w:t>Pirkimo objektas</w:t>
      </w:r>
      <w:r w:rsidRPr="000B0447">
        <w:rPr>
          <w:rFonts w:ascii="Arial" w:hAnsi="Arial" w:cs="Arial"/>
          <w:sz w:val="20"/>
          <w:szCs w:val="20"/>
        </w:rPr>
        <w:t xml:space="preserve"> – nepavojingų atliekų deginimo paslaugos (toliau – Paslaugos).</w:t>
      </w:r>
    </w:p>
    <w:p w14:paraId="2E8DF974" w14:textId="77777777" w:rsidR="002C707B" w:rsidRPr="000B0447" w:rsidRDefault="002C707B" w:rsidP="002C707B">
      <w:pPr>
        <w:pStyle w:val="Betarp"/>
        <w:spacing w:after="120"/>
        <w:jc w:val="center"/>
        <w:rPr>
          <w:rFonts w:ascii="Arial" w:hAnsi="Arial" w:cs="Arial"/>
          <w:b/>
          <w:sz w:val="20"/>
          <w:szCs w:val="20"/>
        </w:rPr>
      </w:pPr>
      <w:r w:rsidRPr="000B0447">
        <w:rPr>
          <w:rFonts w:ascii="Arial" w:hAnsi="Arial" w:cs="Arial"/>
          <w:b/>
          <w:sz w:val="20"/>
          <w:szCs w:val="20"/>
        </w:rPr>
        <w:t>ATLIEKŲ DEGINIMO PASLAUGOS</w:t>
      </w:r>
    </w:p>
    <w:p w14:paraId="143261E8" w14:textId="77777777" w:rsidR="002C707B" w:rsidRPr="000B0447" w:rsidRDefault="002C707B" w:rsidP="002C707B">
      <w:pPr>
        <w:pStyle w:val="Betarp"/>
        <w:jc w:val="both"/>
        <w:rPr>
          <w:rFonts w:ascii="Arial" w:hAnsi="Arial" w:cs="Arial"/>
          <w:sz w:val="20"/>
          <w:szCs w:val="20"/>
        </w:rPr>
      </w:pPr>
      <w:r>
        <w:rPr>
          <w:rFonts w:ascii="Times New Roman" w:hAnsi="Times New Roman"/>
          <w:color w:val="000000"/>
          <w:sz w:val="22"/>
        </w:rPr>
        <w:t>1. UAB „Telšių regiono atliekų tvarkymo centras“ (toliau – Pirkėjas, TRATC) planuoja įsigyti nepavojingų atliekų deginimo paslaugas (toliau – Paslaugos).</w:t>
      </w:r>
    </w:p>
    <w:p w14:paraId="6BE2B893" w14:textId="4F32A38F" w:rsidR="002C707B" w:rsidRPr="000B0447" w:rsidRDefault="002C707B" w:rsidP="002C707B">
      <w:pPr>
        <w:pStyle w:val="Betarp"/>
        <w:jc w:val="both"/>
        <w:rPr>
          <w:rFonts w:ascii="Arial" w:hAnsi="Arial" w:cs="Arial"/>
          <w:sz w:val="20"/>
          <w:szCs w:val="20"/>
        </w:rPr>
      </w:pPr>
      <w:r>
        <w:rPr>
          <w:rFonts w:ascii="Times New Roman" w:hAnsi="Times New Roman"/>
          <w:color w:val="000000"/>
          <w:sz w:val="22"/>
        </w:rPr>
        <w:t>2. TRATC perduos deginimui tinkamas atliekas, kodais: 20 03 07 - didžiosios atliekos: stambiagabaritės atliekos; 19 12 12 - kitos mechaninio atliekų apdorojimo atliekos, nenurodytos 19 12 11; 19 12 10 – degiosios atliekos po mechaninio apdorojimo (iš atliekų gautas kuras, KAK) (toliau – Atliekos, Krovinys). Atliekos bus perduodamos palaidos (nesupakuotos).</w:t>
      </w:r>
    </w:p>
    <w:p w14:paraId="73CFE18D" w14:textId="77777777" w:rsidR="002C707B" w:rsidRPr="000B0447" w:rsidRDefault="002C707B" w:rsidP="002C707B">
      <w:pPr>
        <w:pStyle w:val="Betarp"/>
        <w:jc w:val="both"/>
        <w:rPr>
          <w:rFonts w:ascii="Arial" w:hAnsi="Arial" w:cs="Arial"/>
          <w:sz w:val="20"/>
          <w:szCs w:val="20"/>
        </w:rPr>
      </w:pPr>
      <w:r>
        <w:rPr>
          <w:rFonts w:ascii="Times New Roman" w:hAnsi="Times New Roman"/>
          <w:color w:val="000000"/>
          <w:sz w:val="22"/>
        </w:rPr>
        <w:t>3. Pirkimo laimėtojui (toliau – Paslaugų teikėjui) TRATC pristatys Atliekas savo lėšomis Lietuvos Respublikos teritorijoje iš Telšių regiono nepavojingų atliekų sąvartyno (adresu Prancūzų kelias 8, Jėrubaičių k., Babrungo sen., Plungės r. sav.).</w:t>
      </w:r>
    </w:p>
    <w:p w14:paraId="090CCBB2" w14:textId="77777777" w:rsidR="002C707B" w:rsidRPr="000B0447" w:rsidRDefault="002C707B" w:rsidP="002C707B">
      <w:pPr>
        <w:pStyle w:val="Betarp"/>
        <w:jc w:val="both"/>
        <w:rPr>
          <w:rFonts w:ascii="Arial" w:hAnsi="Arial" w:cs="Arial"/>
          <w:sz w:val="20"/>
          <w:szCs w:val="20"/>
        </w:rPr>
      </w:pPr>
      <w:r>
        <w:rPr>
          <w:rFonts w:ascii="Times New Roman" w:hAnsi="Times New Roman"/>
          <w:color w:val="000000"/>
          <w:sz w:val="22"/>
        </w:rPr>
        <w:t>4. Pirkėjo deginimui skirtas Atliekas pristatys konkurso būdu parinkta atliekų transportavimo paslaugas teikianti įmonė. Transportavimo paslaugas teikianti įmonė pristatys nesupakuotas atliekas (transporto priemone galinčia išsikrauti atliekas) ir iškraus Paslaugos teikėjo nurodytoje vietoje.</w:t>
      </w:r>
    </w:p>
    <w:p w14:paraId="4AEF2DAD" w14:textId="77777777" w:rsidR="002C707B" w:rsidRPr="000B0447" w:rsidRDefault="002C707B" w:rsidP="002C707B">
      <w:pPr>
        <w:pStyle w:val="Betarp"/>
        <w:jc w:val="both"/>
        <w:rPr>
          <w:rFonts w:ascii="Arial" w:hAnsi="Arial" w:cs="Arial"/>
          <w:color w:val="000000" w:themeColor="text1"/>
          <w:sz w:val="20"/>
          <w:szCs w:val="20"/>
        </w:rPr>
      </w:pPr>
      <w:r>
        <w:rPr>
          <w:rFonts w:ascii="Times New Roman" w:hAnsi="Times New Roman"/>
          <w:color w:val="000000"/>
          <w:sz w:val="22"/>
        </w:rPr>
        <w:t>5. Paslaugos teikėjas turės užtikrinti, kad pristatytos atliekos būtų priimtos išsikrauti, per pusvalandį nuo jų pristatymo.</w:t>
      </w:r>
    </w:p>
    <w:p w14:paraId="54B820A9" w14:textId="6CA3F2E6" w:rsidR="002C707B" w:rsidRPr="000B0447" w:rsidRDefault="002C707B" w:rsidP="002C707B">
      <w:pPr>
        <w:pStyle w:val="Betarp"/>
        <w:jc w:val="both"/>
        <w:rPr>
          <w:rFonts w:ascii="Arial" w:hAnsi="Arial" w:cs="Arial"/>
          <w:color w:val="000000" w:themeColor="text1"/>
          <w:sz w:val="20"/>
          <w:szCs w:val="20"/>
        </w:rPr>
      </w:pPr>
      <w:r>
        <w:rPr>
          <w:rFonts w:ascii="Times New Roman" w:hAnsi="Times New Roman"/>
          <w:color w:val="000000"/>
          <w:sz w:val="22"/>
        </w:rPr>
        <w:t>6. Bendras maksimalus per visą Paslaugų teikimo laikotarpį, įskaitant galimą pratęsimą, deginimui perduodamų atliekų kiekis – 29 000 t. Vertinamieji kiekiai: 20 03 07 – 2 940 t; 19 12 12 ir 19 12 10 kartu – 26 060 t. Pirkėjas neįsipareigoja perduoti viso numatyto atliekų kiekio ar bet kokios jo dalies.</w:t>
      </w:r>
    </w:p>
    <w:p w14:paraId="36C9D2EE" w14:textId="77777777" w:rsidR="002C707B" w:rsidRPr="000B0447" w:rsidRDefault="002C707B" w:rsidP="002C707B">
      <w:pPr>
        <w:pStyle w:val="Betarp"/>
        <w:jc w:val="both"/>
        <w:rPr>
          <w:rFonts w:ascii="Arial" w:hAnsi="Arial" w:cs="Arial"/>
          <w:sz w:val="20"/>
          <w:szCs w:val="20"/>
        </w:rPr>
      </w:pPr>
      <w:r>
        <w:rPr>
          <w:rFonts w:ascii="Times New Roman" w:hAnsi="Times New Roman"/>
          <w:color w:val="000000"/>
          <w:sz w:val="22"/>
        </w:rPr>
        <w:t>7. Pirkėjas, įvertinęs susidarančių ir sutvarkomų atliekų kiekius, gali keisti perduodamų atliekų kiekius bei jų santykį tarp Sutartyje numatytų atliekų grupių, neviršydamas bendro maksimalaus 29 000 t kiekio ir Sutarties vertės, Specialiųjų sąlygų 5.4 punkte nustatyta tvarka.</w:t>
      </w:r>
    </w:p>
    <w:p w14:paraId="77ADBEA3" w14:textId="77777777" w:rsidR="002C707B" w:rsidRPr="000B0447" w:rsidRDefault="002C707B" w:rsidP="002C707B">
      <w:pPr>
        <w:pStyle w:val="Betarp"/>
        <w:jc w:val="both"/>
        <w:rPr>
          <w:rFonts w:ascii="Arial" w:hAnsi="Arial" w:cs="Arial"/>
          <w:sz w:val="20"/>
          <w:szCs w:val="20"/>
        </w:rPr>
      </w:pPr>
      <w:r>
        <w:rPr>
          <w:rFonts w:ascii="Times New Roman" w:hAnsi="Times New Roman"/>
          <w:color w:val="000000"/>
          <w:sz w:val="22"/>
        </w:rPr>
        <w:t>8. Paslaugų Teikėjas įsipareigoja bendradarbiauti su TRATC derinant visus Atliekų priėmimo – perdavimo klausimus.</w:t>
      </w:r>
    </w:p>
    <w:p w14:paraId="5F776CAC" w14:textId="77777777" w:rsidR="002C707B" w:rsidRPr="000B0447" w:rsidRDefault="002C707B" w:rsidP="002C707B">
      <w:pPr>
        <w:pStyle w:val="Betarp"/>
        <w:jc w:val="both"/>
        <w:rPr>
          <w:rFonts w:ascii="Arial" w:hAnsi="Arial" w:cs="Arial"/>
          <w:sz w:val="20"/>
          <w:szCs w:val="20"/>
        </w:rPr>
      </w:pPr>
      <w:r>
        <w:rPr>
          <w:rFonts w:ascii="Times New Roman" w:hAnsi="Times New Roman"/>
          <w:color w:val="000000"/>
          <w:sz w:val="22"/>
        </w:rPr>
        <w:t>9. Atliekų tvarkytojas (atliekų deginimo paslaugą teikianti įmonė) turės užtikrinti, kad atliekos bus tvarkomos laikantis atliekų tvarkymą reglamentuojančių Europos Sąjungos ir Lietuvos Respublikos teisės aktų reikalavimų.</w:t>
      </w:r>
    </w:p>
    <w:p w14:paraId="0390ED43" w14:textId="77777777" w:rsidR="002C707B" w:rsidRPr="000B0447" w:rsidRDefault="002C707B" w:rsidP="002C707B">
      <w:pPr>
        <w:pStyle w:val="Betarp"/>
        <w:jc w:val="both"/>
        <w:rPr>
          <w:rFonts w:ascii="Arial" w:hAnsi="Arial" w:cs="Arial"/>
          <w:sz w:val="20"/>
          <w:szCs w:val="20"/>
        </w:rPr>
      </w:pPr>
      <w:r>
        <w:rPr>
          <w:rFonts w:ascii="Times New Roman" w:hAnsi="Times New Roman"/>
          <w:color w:val="000000"/>
          <w:sz w:val="22"/>
        </w:rPr>
        <w:t>10. Apmokėjimas bus vykdomas už faktiškai per mėnesį perduotą deginimui atliekų kiekį – eurais už vieną toną atliekų.</w:t>
      </w:r>
    </w:p>
    <w:p w14:paraId="69EAD098" w14:textId="77777777" w:rsidR="002C707B" w:rsidRPr="000B0447" w:rsidRDefault="002C707B" w:rsidP="002C707B">
      <w:pPr>
        <w:pStyle w:val="Betarp"/>
        <w:jc w:val="both"/>
        <w:rPr>
          <w:rFonts w:ascii="Arial" w:hAnsi="Arial" w:cs="Arial"/>
          <w:sz w:val="20"/>
          <w:szCs w:val="20"/>
        </w:rPr>
      </w:pPr>
      <w:r>
        <w:rPr>
          <w:rFonts w:ascii="Times New Roman" w:hAnsi="Times New Roman"/>
          <w:color w:val="000000"/>
          <w:sz w:val="22"/>
        </w:rPr>
        <w:t>11. Pakrautos Atliekos pasveriamos ir atliekų kiekis (svoris) nurodomas krovinio važtaraštyje bei atliekų deklaracijoje, pridedant svėrimą įrodantį dokumentą (svėrimo kvitą).</w:t>
      </w:r>
    </w:p>
    <w:p w14:paraId="70514C54" w14:textId="77777777" w:rsidR="002C707B" w:rsidRPr="000B0447" w:rsidRDefault="002C707B" w:rsidP="002C707B">
      <w:pPr>
        <w:pStyle w:val="Betarp"/>
        <w:jc w:val="both"/>
        <w:rPr>
          <w:rFonts w:ascii="Arial" w:hAnsi="Arial" w:cs="Arial"/>
          <w:sz w:val="20"/>
          <w:szCs w:val="20"/>
        </w:rPr>
      </w:pPr>
      <w:r>
        <w:rPr>
          <w:rFonts w:ascii="Times New Roman" w:hAnsi="Times New Roman"/>
          <w:color w:val="000000"/>
          <w:sz w:val="22"/>
        </w:rPr>
        <w:t>12. Pasibaigus kalendoriniam mėnesiui, Paslaugų Teikėjas, ne vėliau kaip iki mėnesio 5 dienos, pateikia TRATC priėmimo – perdavimo aktą, kuriame nurodomas per kalendorinį mėnesį priimtas deginimui atliekų kiekis.</w:t>
      </w:r>
    </w:p>
    <w:p w14:paraId="79EA2F0B" w14:textId="77777777" w:rsidR="002C707B" w:rsidRPr="000B0447" w:rsidRDefault="002C707B" w:rsidP="002C707B">
      <w:pPr>
        <w:pStyle w:val="Betarp"/>
        <w:jc w:val="both"/>
        <w:rPr>
          <w:rFonts w:ascii="Arial" w:hAnsi="Arial" w:cs="Arial"/>
          <w:sz w:val="20"/>
          <w:szCs w:val="20"/>
        </w:rPr>
      </w:pPr>
      <w:r>
        <w:rPr>
          <w:rFonts w:ascii="Times New Roman" w:hAnsi="Times New Roman"/>
          <w:color w:val="000000"/>
          <w:sz w:val="22"/>
        </w:rPr>
        <w:t>13. TRATC, dviejų darbo dienų laikotarpyje po priėmimo – perdavimo akto gavimo, parašu patvirtina perduotą priėmimo – perdavimo akte nurodytą atliekų kiekį. Paslaugų Teikėjas, gavęs patvirtintą aktą, iki mėnesio 10 dienos pateikia PVM sąskaitą – faktūrą suteiktoms paslaugoms apmokėti, už praėjusį kalendorinį mėnesį.</w:t>
      </w:r>
    </w:p>
    <w:p w14:paraId="281BB501" w14:textId="77777777" w:rsidR="002C707B" w:rsidRPr="000B0447" w:rsidRDefault="002C707B" w:rsidP="002C707B">
      <w:pPr>
        <w:pStyle w:val="Betarp"/>
        <w:jc w:val="both"/>
        <w:rPr>
          <w:rFonts w:ascii="Arial" w:hAnsi="Arial" w:cs="Arial"/>
          <w:sz w:val="20"/>
          <w:szCs w:val="20"/>
        </w:rPr>
      </w:pPr>
      <w:r>
        <w:rPr>
          <w:rFonts w:ascii="Times New Roman" w:hAnsi="Times New Roman"/>
          <w:color w:val="000000"/>
          <w:sz w:val="22"/>
        </w:rPr>
        <w:t>14. Atsiskaitymas už paslaugas bus atliekamas per 30 dienų nuo sąskaitos gavimo datos, prieš tai pasirašius paslaugų priėmimo – perdavimo aktą.</w:t>
      </w:r>
    </w:p>
    <w:p w14:paraId="57FC52E9" w14:textId="39D8F6F7" w:rsidR="002C707B" w:rsidRPr="000B0447" w:rsidRDefault="002C707B" w:rsidP="000B0447">
      <w:pPr>
        <w:pStyle w:val="Betarp"/>
        <w:jc w:val="both"/>
        <w:rPr>
          <w:rFonts w:ascii="Arial" w:hAnsi="Arial" w:cs="Arial"/>
          <w:sz w:val="20"/>
          <w:szCs w:val="20"/>
        </w:rPr>
      </w:pPr>
      <w:r>
        <w:rPr>
          <w:rFonts w:ascii="Times New Roman" w:hAnsi="Times New Roman"/>
          <w:color w:val="000000"/>
          <w:sz w:val="22"/>
        </w:rPr>
        <w:t>15. Paslaugų teikimo laikotarpis – 12 mėnesių nuo Sutarties įsigaliojimo, su galimybe abiejų Šalių rašytiniu Susitarimu pratęsti vieną kartą dar 12 mėnesių. Bendras Paslaugų teikimo laikotarpis – iki 24 mėnesių. Sutarties trukmė su galutiniam atsiskaitymui skirtu mėnesiu – 13 mėnesių, o pratęsus – iki 25 mėnesių. Pratęsimo ir galiojimo tvarka nustatyta Sutarties Specialiųjų sąlygų 4.2, 11.1 ir 11.2 punktuose. Neįvykdytoms atsiskaitymo prievolėms taikomas Specialiųjų sąlygų 11.1 punktas.</w:t>
      </w:r>
    </w:p>
    <w:sectPr w:rsidR="003112C2" w:rsidRPr="000B0447" w:rsidSect="000B0447">
      <w:pgSz w:w="11906" w:h="16838"/>
      <w:pgMar w:top="1276" w:right="1133" w:bottom="1134" w:left="1276"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707B"/>
    <w:rsid w:val="000B0447"/>
    <w:rsid w:val="0016082F"/>
    <w:rsid w:val="00283CB3"/>
    <w:rsid w:val="002C707B"/>
    <w:rsid w:val="003112C2"/>
    <w:rsid w:val="005C7417"/>
    <w:rsid w:val="00843952"/>
    <w:rsid w:val="00965A7B"/>
    <w:rsid w:val="00A85F8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69FFC2"/>
  <w15:chartTrackingRefBased/>
  <w15:docId w15:val="{E4DF203F-0429-4825-83D6-BBC23DC988AB}"/>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C707B"/>
    <w:pPr>
      <w:spacing w:line="276" w:lineRule="auto"/>
    </w:pPr>
    <w:rPr>
      <w:rFonts w:eastAsiaTheme="minorEastAsia"/>
      <w:kern w:val="0"/>
      <w:sz w:val="21"/>
      <w:szCs w:val="21"/>
      <w:lang w:eastAsia="lt-LT"/>
      <w14:ligatures w14:val="none"/>
    </w:rPr>
  </w:style>
  <w:style w:type="paragraph" w:styleId="Antrat1">
    <w:name w:val="heading 1"/>
    <w:basedOn w:val="prastasis"/>
    <w:next w:val="prastasis"/>
    <w:link w:val="Antrat1Diagrama"/>
    <w:uiPriority w:val="9"/>
    <w:qFormat/>
    <w:rsid w:val="002C707B"/>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Antrat2">
    <w:name w:val="heading 2"/>
    <w:basedOn w:val="prastasis"/>
    <w:next w:val="prastasis"/>
    <w:link w:val="Antrat2Diagrama"/>
    <w:uiPriority w:val="9"/>
    <w:unhideWhenUsed/>
    <w:qFormat/>
    <w:rsid w:val="002C707B"/>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Antrat3">
    <w:name w:val="heading 3"/>
    <w:basedOn w:val="prastasis"/>
    <w:next w:val="prastasis"/>
    <w:link w:val="Antrat3Diagrama"/>
    <w:uiPriority w:val="9"/>
    <w:semiHidden/>
    <w:unhideWhenUsed/>
    <w:qFormat/>
    <w:rsid w:val="002C707B"/>
    <w:pPr>
      <w:keepNext/>
      <w:keepLines/>
      <w:spacing w:before="160" w:after="80" w:line="278" w:lineRule="auto"/>
      <w:outlineLvl w:val="2"/>
    </w:pPr>
    <w:rPr>
      <w:rFonts w:eastAsiaTheme="majorEastAsia" w:cstheme="majorBidi"/>
      <w:color w:val="0F4761" w:themeColor="accent1" w:themeShade="BF"/>
      <w:kern w:val="2"/>
      <w:sz w:val="28"/>
      <w:szCs w:val="28"/>
      <w:lang w:eastAsia="en-US"/>
      <w14:ligatures w14:val="standardContextual"/>
    </w:rPr>
  </w:style>
  <w:style w:type="paragraph" w:styleId="Antrat4">
    <w:name w:val="heading 4"/>
    <w:basedOn w:val="prastasis"/>
    <w:next w:val="prastasis"/>
    <w:link w:val="Antrat4Diagrama"/>
    <w:uiPriority w:val="9"/>
    <w:semiHidden/>
    <w:unhideWhenUsed/>
    <w:qFormat/>
    <w:rsid w:val="002C707B"/>
    <w:pPr>
      <w:keepNext/>
      <w:keepLines/>
      <w:spacing w:before="80" w:after="40" w:line="278" w:lineRule="auto"/>
      <w:outlineLvl w:val="3"/>
    </w:pPr>
    <w:rPr>
      <w:rFonts w:eastAsiaTheme="majorEastAsia" w:cstheme="majorBidi"/>
      <w:i/>
      <w:iCs/>
      <w:color w:val="0F4761" w:themeColor="accent1" w:themeShade="BF"/>
      <w:kern w:val="2"/>
      <w:sz w:val="24"/>
      <w:szCs w:val="24"/>
      <w:lang w:eastAsia="en-US"/>
      <w14:ligatures w14:val="standardContextual"/>
    </w:rPr>
  </w:style>
  <w:style w:type="paragraph" w:styleId="Antrat5">
    <w:name w:val="heading 5"/>
    <w:basedOn w:val="prastasis"/>
    <w:next w:val="prastasis"/>
    <w:link w:val="Antrat5Diagrama"/>
    <w:uiPriority w:val="9"/>
    <w:semiHidden/>
    <w:unhideWhenUsed/>
    <w:qFormat/>
    <w:rsid w:val="002C707B"/>
    <w:pPr>
      <w:keepNext/>
      <w:keepLines/>
      <w:spacing w:before="80" w:after="40" w:line="278" w:lineRule="auto"/>
      <w:outlineLvl w:val="4"/>
    </w:pPr>
    <w:rPr>
      <w:rFonts w:eastAsiaTheme="majorEastAsia" w:cstheme="majorBidi"/>
      <w:color w:val="0F4761" w:themeColor="accent1" w:themeShade="BF"/>
      <w:kern w:val="2"/>
      <w:sz w:val="24"/>
      <w:szCs w:val="24"/>
      <w:lang w:eastAsia="en-US"/>
      <w14:ligatures w14:val="standardContextual"/>
    </w:rPr>
  </w:style>
  <w:style w:type="paragraph" w:styleId="Antrat6">
    <w:name w:val="heading 6"/>
    <w:basedOn w:val="prastasis"/>
    <w:next w:val="prastasis"/>
    <w:link w:val="Antrat6Diagrama"/>
    <w:uiPriority w:val="9"/>
    <w:semiHidden/>
    <w:unhideWhenUsed/>
    <w:qFormat/>
    <w:rsid w:val="002C707B"/>
    <w:pPr>
      <w:keepNext/>
      <w:keepLines/>
      <w:spacing w:before="40" w:after="0" w:line="278" w:lineRule="auto"/>
      <w:outlineLvl w:val="5"/>
    </w:pPr>
    <w:rPr>
      <w:rFonts w:eastAsiaTheme="majorEastAsia" w:cstheme="majorBidi"/>
      <w:i/>
      <w:iCs/>
      <w:color w:val="595959" w:themeColor="text1" w:themeTint="A6"/>
      <w:kern w:val="2"/>
      <w:sz w:val="24"/>
      <w:szCs w:val="24"/>
      <w:lang w:eastAsia="en-US"/>
      <w14:ligatures w14:val="standardContextual"/>
    </w:rPr>
  </w:style>
  <w:style w:type="paragraph" w:styleId="Antrat7">
    <w:name w:val="heading 7"/>
    <w:basedOn w:val="prastasis"/>
    <w:next w:val="prastasis"/>
    <w:link w:val="Antrat7Diagrama"/>
    <w:uiPriority w:val="9"/>
    <w:semiHidden/>
    <w:unhideWhenUsed/>
    <w:qFormat/>
    <w:rsid w:val="002C707B"/>
    <w:pPr>
      <w:keepNext/>
      <w:keepLines/>
      <w:spacing w:before="40" w:after="0" w:line="278" w:lineRule="auto"/>
      <w:outlineLvl w:val="6"/>
    </w:pPr>
    <w:rPr>
      <w:rFonts w:eastAsiaTheme="majorEastAsia" w:cstheme="majorBidi"/>
      <w:color w:val="595959" w:themeColor="text1" w:themeTint="A6"/>
      <w:kern w:val="2"/>
      <w:sz w:val="24"/>
      <w:szCs w:val="24"/>
      <w:lang w:eastAsia="en-US"/>
      <w14:ligatures w14:val="standardContextual"/>
    </w:rPr>
  </w:style>
  <w:style w:type="paragraph" w:styleId="Antrat8">
    <w:name w:val="heading 8"/>
    <w:basedOn w:val="prastasis"/>
    <w:next w:val="prastasis"/>
    <w:link w:val="Antrat8Diagrama"/>
    <w:uiPriority w:val="9"/>
    <w:semiHidden/>
    <w:unhideWhenUsed/>
    <w:qFormat/>
    <w:rsid w:val="002C707B"/>
    <w:pPr>
      <w:keepNext/>
      <w:keepLines/>
      <w:spacing w:after="0" w:line="278" w:lineRule="auto"/>
      <w:outlineLvl w:val="7"/>
    </w:pPr>
    <w:rPr>
      <w:rFonts w:eastAsiaTheme="majorEastAsia" w:cstheme="majorBidi"/>
      <w:i/>
      <w:iCs/>
      <w:color w:val="272727" w:themeColor="text1" w:themeTint="D8"/>
      <w:kern w:val="2"/>
      <w:sz w:val="24"/>
      <w:szCs w:val="24"/>
      <w:lang w:eastAsia="en-US"/>
      <w14:ligatures w14:val="standardContextual"/>
    </w:rPr>
  </w:style>
  <w:style w:type="paragraph" w:styleId="Antrat9">
    <w:name w:val="heading 9"/>
    <w:basedOn w:val="prastasis"/>
    <w:next w:val="prastasis"/>
    <w:link w:val="Antrat9Diagrama"/>
    <w:uiPriority w:val="9"/>
    <w:semiHidden/>
    <w:unhideWhenUsed/>
    <w:qFormat/>
    <w:rsid w:val="002C707B"/>
    <w:pPr>
      <w:keepNext/>
      <w:keepLines/>
      <w:spacing w:after="0" w:line="278" w:lineRule="auto"/>
      <w:outlineLvl w:val="8"/>
    </w:pPr>
    <w:rPr>
      <w:rFonts w:eastAsiaTheme="majorEastAsia" w:cstheme="majorBidi"/>
      <w:color w:val="272727" w:themeColor="text1" w:themeTint="D8"/>
      <w:kern w:val="2"/>
      <w:sz w:val="24"/>
      <w:szCs w:val="24"/>
      <w:lang w:eastAsia="en-US"/>
      <w14:ligatures w14:val="standardContextual"/>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C707B"/>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rsid w:val="002C707B"/>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2C707B"/>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2C707B"/>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2C707B"/>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2C707B"/>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2C707B"/>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2C707B"/>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2C707B"/>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2C707B"/>
    <w:pPr>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PavadinimasDiagrama">
    <w:name w:val="Pavadinimas Diagrama"/>
    <w:basedOn w:val="Numatytasispastraiposriftas"/>
    <w:link w:val="Pavadinimas"/>
    <w:uiPriority w:val="10"/>
    <w:rsid w:val="002C707B"/>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2C707B"/>
    <w:pPr>
      <w:numPr>
        <w:ilvl w:val="1"/>
      </w:numPr>
      <w:spacing w:line="278" w:lineRule="auto"/>
    </w:pPr>
    <w:rPr>
      <w:rFonts w:eastAsiaTheme="majorEastAsia" w:cstheme="majorBidi"/>
      <w:color w:val="595959" w:themeColor="text1" w:themeTint="A6"/>
      <w:spacing w:val="15"/>
      <w:kern w:val="2"/>
      <w:sz w:val="28"/>
      <w:szCs w:val="28"/>
      <w:lang w:eastAsia="en-US"/>
      <w14:ligatures w14:val="standardContextual"/>
    </w:rPr>
  </w:style>
  <w:style w:type="character" w:customStyle="1" w:styleId="PaantratDiagrama">
    <w:name w:val="Paantraštė Diagrama"/>
    <w:basedOn w:val="Numatytasispastraiposriftas"/>
    <w:link w:val="Paantrat"/>
    <w:uiPriority w:val="11"/>
    <w:rsid w:val="002C707B"/>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2C707B"/>
    <w:pPr>
      <w:spacing w:before="160" w:line="278" w:lineRule="auto"/>
      <w:jc w:val="center"/>
    </w:pPr>
    <w:rPr>
      <w:rFonts w:eastAsiaTheme="minorHAnsi"/>
      <w:i/>
      <w:iCs/>
      <w:color w:val="404040" w:themeColor="text1" w:themeTint="BF"/>
      <w:kern w:val="2"/>
      <w:sz w:val="24"/>
      <w:szCs w:val="24"/>
      <w:lang w:eastAsia="en-US"/>
      <w14:ligatures w14:val="standardContextual"/>
    </w:rPr>
  </w:style>
  <w:style w:type="character" w:customStyle="1" w:styleId="CitataDiagrama">
    <w:name w:val="Citata Diagrama"/>
    <w:basedOn w:val="Numatytasispastraiposriftas"/>
    <w:link w:val="Citata"/>
    <w:uiPriority w:val="29"/>
    <w:rsid w:val="002C707B"/>
    <w:rPr>
      <w:i/>
      <w:iCs/>
      <w:color w:val="404040" w:themeColor="text1" w:themeTint="BF"/>
    </w:rPr>
  </w:style>
  <w:style w:type="paragraph" w:styleId="Sraopastraipa">
    <w:name w:val="List Paragraph"/>
    <w:basedOn w:val="prastasis"/>
    <w:uiPriority w:val="34"/>
    <w:qFormat/>
    <w:rsid w:val="002C707B"/>
    <w:pPr>
      <w:spacing w:line="278" w:lineRule="auto"/>
      <w:ind w:left="720"/>
      <w:contextualSpacing/>
    </w:pPr>
    <w:rPr>
      <w:rFonts w:eastAsiaTheme="minorHAnsi"/>
      <w:kern w:val="2"/>
      <w:sz w:val="24"/>
      <w:szCs w:val="24"/>
      <w:lang w:eastAsia="en-US"/>
      <w14:ligatures w14:val="standardContextual"/>
    </w:rPr>
  </w:style>
  <w:style w:type="character" w:styleId="Rykuspabraukimas">
    <w:name w:val="Intense Emphasis"/>
    <w:basedOn w:val="Numatytasispastraiposriftas"/>
    <w:uiPriority w:val="21"/>
    <w:qFormat/>
    <w:rsid w:val="002C707B"/>
    <w:rPr>
      <w:i/>
      <w:iCs/>
      <w:color w:val="0F4761" w:themeColor="accent1" w:themeShade="BF"/>
    </w:rPr>
  </w:style>
  <w:style w:type="paragraph" w:styleId="Iskirtacitata">
    <w:name w:val="Intense Quote"/>
    <w:basedOn w:val="prastasis"/>
    <w:next w:val="prastasis"/>
    <w:link w:val="IskirtacitataDiagrama"/>
    <w:uiPriority w:val="30"/>
    <w:qFormat/>
    <w:rsid w:val="002C707B"/>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eastAsiaTheme="minorHAnsi"/>
      <w:i/>
      <w:iCs/>
      <w:color w:val="0F4761" w:themeColor="accent1" w:themeShade="BF"/>
      <w:kern w:val="2"/>
      <w:sz w:val="24"/>
      <w:szCs w:val="24"/>
      <w:lang w:eastAsia="en-US"/>
      <w14:ligatures w14:val="standardContextual"/>
    </w:rPr>
  </w:style>
  <w:style w:type="character" w:customStyle="1" w:styleId="IskirtacitataDiagrama">
    <w:name w:val="Išskirta citata Diagrama"/>
    <w:basedOn w:val="Numatytasispastraiposriftas"/>
    <w:link w:val="Iskirtacitata"/>
    <w:uiPriority w:val="30"/>
    <w:rsid w:val="002C707B"/>
    <w:rPr>
      <w:i/>
      <w:iCs/>
      <w:color w:val="0F4761" w:themeColor="accent1" w:themeShade="BF"/>
    </w:rPr>
  </w:style>
  <w:style w:type="character" w:styleId="Rykinuoroda">
    <w:name w:val="Intense Reference"/>
    <w:basedOn w:val="Numatytasispastraiposriftas"/>
    <w:uiPriority w:val="32"/>
    <w:qFormat/>
    <w:rsid w:val="002C707B"/>
    <w:rPr>
      <w:b/>
      <w:bCs/>
      <w:smallCaps/>
      <w:color w:val="0F4761" w:themeColor="accent1" w:themeShade="BF"/>
      <w:spacing w:val="5"/>
    </w:rPr>
  </w:style>
  <w:style w:type="paragraph" w:styleId="Betarp">
    <w:name w:val="No Spacing"/>
    <w:link w:val="BetarpDiagrama"/>
    <w:uiPriority w:val="1"/>
    <w:qFormat/>
    <w:rsid w:val="002C707B"/>
    <w:pPr>
      <w:spacing w:after="0" w:line="240" w:lineRule="auto"/>
    </w:pPr>
    <w:rPr>
      <w:rFonts w:eastAsiaTheme="minorEastAsia"/>
      <w:kern w:val="0"/>
      <w:sz w:val="21"/>
      <w:szCs w:val="21"/>
      <w:lang w:eastAsia="lt-LT"/>
      <w14:ligatures w14:val="none"/>
    </w:rPr>
  </w:style>
  <w:style w:type="character" w:customStyle="1" w:styleId="BetarpDiagrama">
    <w:name w:val="Be tarpų Diagrama"/>
    <w:basedOn w:val="Numatytasispastraiposriftas"/>
    <w:link w:val="Betarp"/>
    <w:uiPriority w:val="1"/>
    <w:rsid w:val="002C707B"/>
    <w:rPr>
      <w:rFonts w:eastAsiaTheme="minorEastAsia"/>
      <w:kern w:val="0"/>
      <w:sz w:val="21"/>
      <w:szCs w:val="21"/>
      <w:lang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2298</Words>
  <Characters>1310</Characters>
  <Application>Microsoft Office Word</Application>
  <DocSecurity>0</DocSecurity>
  <Lines>10</Lines>
  <Paragraphs>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UAB „Telšių regiono atliekų tvarkymo centras“</dc:creator>
  <cp:keywords/>
  <dc:description/>
  <cp:lastModifiedBy>Eglė Miliūtė</cp:lastModifiedBy>
  <cp:revision>3</cp:revision>
  <dcterms:created xsi:type="dcterms:W3CDTF">2026-10-23T06:11:00Z</dcterms:created>
  <dcterms:modified xsi:type="dcterms:W3CDTF">2026-10-30T08:14:00Z</dcterms:modified>
</cp:coreProperties>
</file>