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1914D7" w14:textId="77777777" w:rsidR="00970B8E" w:rsidRDefault="00970B8E" w:rsidP="00970B8E">
      <w:pPr>
        <w:tabs>
          <w:tab w:val="left" w:pos="3192"/>
          <w:tab w:val="right" w:leader="underscore" w:pos="8640"/>
        </w:tabs>
        <w:spacing w:line="256" w:lineRule="auto"/>
        <w:ind w:left="5103" w:hanging="4923"/>
        <w:jc w:val="center"/>
        <w:rPr>
          <w:rFonts w:eastAsia="Calibri"/>
          <w:b/>
          <w:szCs w:val="24"/>
        </w:rPr>
      </w:pPr>
      <w:r>
        <w:rPr>
          <w:rFonts w:eastAsia="Calibri"/>
          <w:b/>
          <w:szCs w:val="24"/>
        </w:rPr>
        <w:t>TECHNINĖ SPECIFIKACIJA</w:t>
      </w:r>
    </w:p>
    <w:p w14:paraId="04415B45" w14:textId="77777777" w:rsidR="00970B8E" w:rsidRDefault="00970B8E" w:rsidP="00970B8E">
      <w:pPr>
        <w:tabs>
          <w:tab w:val="left" w:pos="3192"/>
          <w:tab w:val="right" w:leader="underscore" w:pos="8640"/>
        </w:tabs>
        <w:spacing w:line="256" w:lineRule="auto"/>
        <w:ind w:left="5103" w:hanging="4923"/>
        <w:jc w:val="center"/>
        <w:rPr>
          <w:rFonts w:eastAsia="Calibri"/>
          <w:b/>
          <w:szCs w:val="24"/>
        </w:rPr>
      </w:pPr>
      <w:r>
        <w:rPr>
          <w:rFonts w:eastAsia="Calibri"/>
          <w:b/>
          <w:szCs w:val="24"/>
        </w:rPr>
        <w:t>Sausinto dumblo (</w:t>
      </w:r>
      <w:r>
        <w:rPr>
          <w:rFonts w:eastAsia="Calibri"/>
          <w:b/>
          <w:i/>
          <w:szCs w:val="24"/>
        </w:rPr>
        <w:t>toliau-Dumblas</w:t>
      </w:r>
      <w:r>
        <w:rPr>
          <w:rFonts w:eastAsia="Calibri"/>
          <w:b/>
          <w:szCs w:val="24"/>
        </w:rPr>
        <w:t>) tvarkymas, dumblą naudojant tręšimui ar rekultivacijai</w:t>
      </w:r>
    </w:p>
    <w:p w14:paraId="58AA101E" w14:textId="77777777" w:rsidR="00970B8E" w:rsidRDefault="00970B8E" w:rsidP="00970B8E">
      <w:pPr>
        <w:spacing w:line="256" w:lineRule="auto"/>
        <w:ind w:firstLine="567"/>
        <w:jc w:val="both"/>
        <w:rPr>
          <w:rFonts w:eastAsia="Calibri"/>
          <w:bCs/>
          <w:sz w:val="22"/>
          <w:szCs w:val="22"/>
        </w:rPr>
      </w:pPr>
    </w:p>
    <w:p w14:paraId="0F3937BA" w14:textId="77777777" w:rsidR="00970B8E" w:rsidRDefault="00970B8E" w:rsidP="00970B8E">
      <w:pPr>
        <w:spacing w:line="256" w:lineRule="auto"/>
        <w:ind w:firstLine="567"/>
        <w:jc w:val="both"/>
        <w:rPr>
          <w:bCs/>
          <w:sz w:val="22"/>
          <w:szCs w:val="22"/>
        </w:rPr>
      </w:pPr>
      <w:r>
        <w:rPr>
          <w:rFonts w:eastAsia="Calibri"/>
          <w:b/>
          <w:sz w:val="22"/>
          <w:szCs w:val="22"/>
        </w:rPr>
        <w:t>PIRKIMO OBJEKTAS</w:t>
      </w:r>
      <w:r>
        <w:rPr>
          <w:rFonts w:eastAsia="Calibri"/>
          <w:bCs/>
          <w:sz w:val="22"/>
          <w:szCs w:val="22"/>
        </w:rPr>
        <w:t xml:space="preserve"> – UAB „Mažeikių vandenys“ nuotekų valymo metu susidariusių nepavojingų atliekų, t. y. sausinto dumblo  (miesto buitinių nuotekų valymo dumblas- kodas 19 08 05)</w:t>
      </w:r>
      <w:r>
        <w:rPr>
          <w:bCs/>
          <w:sz w:val="22"/>
          <w:szCs w:val="22"/>
        </w:rPr>
        <w:t xml:space="preserve"> </w:t>
      </w:r>
      <w:r>
        <w:rPr>
          <w:bCs/>
          <w:sz w:val="22"/>
          <w:szCs w:val="22"/>
          <w:u w:val="single"/>
        </w:rPr>
        <w:t>pakrovimas, vežimas  iš dumblo saugojimo aikštelės ir panaudojimas tręšimui ir/ar rekultivacijai (toliau - Paslaugos) Lietuvos Respublikos galiojančių teisės aktų numatyta tvarka</w:t>
      </w:r>
      <w:r>
        <w:rPr>
          <w:bCs/>
          <w:sz w:val="22"/>
          <w:szCs w:val="22"/>
        </w:rPr>
        <w:t>.</w:t>
      </w:r>
    </w:p>
    <w:p w14:paraId="211B9278" w14:textId="46128CA3" w:rsidR="00970B8E" w:rsidRDefault="00970B8E" w:rsidP="00970B8E">
      <w:pPr>
        <w:spacing w:line="256" w:lineRule="auto"/>
        <w:ind w:firstLine="567"/>
        <w:jc w:val="both"/>
        <w:rPr>
          <w:rFonts w:eastAsia="Calibri"/>
          <w:bCs/>
          <w:sz w:val="22"/>
          <w:szCs w:val="22"/>
        </w:rPr>
      </w:pPr>
      <w:r>
        <w:rPr>
          <w:rFonts w:eastAsia="Calibri"/>
          <w:bCs/>
          <w:i/>
          <w:iCs/>
          <w:sz w:val="22"/>
          <w:szCs w:val="22"/>
        </w:rPr>
        <w:t>Preliminarus dumblo kie</w:t>
      </w:r>
      <w:r>
        <w:rPr>
          <w:rFonts w:eastAsia="Calibri"/>
          <w:bCs/>
          <w:sz w:val="22"/>
          <w:szCs w:val="22"/>
        </w:rPr>
        <w:t xml:space="preserve">kis apie 3000 </w:t>
      </w:r>
      <w:r w:rsidR="00EA5C24">
        <w:rPr>
          <w:rFonts w:eastAsia="Calibri"/>
          <w:bCs/>
          <w:sz w:val="22"/>
          <w:szCs w:val="22"/>
        </w:rPr>
        <w:t>tonų</w:t>
      </w:r>
      <w:r>
        <w:rPr>
          <w:rFonts w:eastAsia="Calibri"/>
          <w:bCs/>
          <w:sz w:val="22"/>
          <w:szCs w:val="22"/>
        </w:rPr>
        <w:t xml:space="preserve"> per metus (viso 6000 </w:t>
      </w:r>
      <w:r w:rsidR="00EA5C24">
        <w:rPr>
          <w:rFonts w:eastAsia="Calibri"/>
          <w:bCs/>
          <w:sz w:val="22"/>
          <w:szCs w:val="22"/>
        </w:rPr>
        <w:t>tonų</w:t>
      </w:r>
      <w:r>
        <w:rPr>
          <w:rFonts w:eastAsia="Calibri"/>
          <w:bCs/>
          <w:sz w:val="22"/>
          <w:szCs w:val="22"/>
        </w:rPr>
        <w:t xml:space="preserve"> per 2 metų sutarties laikotarpį). Pirkėjas turi teisę koreguoti išvežamo apdorojimui dumblo kiekį, neviršijant sutartyje nurodytos maksimalios Sutarties kainos. Pirkėjas neįsipareigoja atiduoti viso dumblo kiekio.</w:t>
      </w:r>
    </w:p>
    <w:p w14:paraId="39CECC67" w14:textId="4FB430EC" w:rsidR="00970B8E" w:rsidRDefault="00970B8E" w:rsidP="00970B8E">
      <w:pPr>
        <w:spacing w:line="256" w:lineRule="auto"/>
        <w:ind w:firstLine="567"/>
        <w:jc w:val="both"/>
        <w:rPr>
          <w:rFonts w:eastAsia="Calibri"/>
          <w:bCs/>
          <w:sz w:val="22"/>
          <w:szCs w:val="22"/>
        </w:rPr>
      </w:pPr>
      <w:r>
        <w:rPr>
          <w:rFonts w:eastAsia="Calibri"/>
          <w:bCs/>
          <w:i/>
          <w:iCs/>
          <w:sz w:val="22"/>
          <w:szCs w:val="22"/>
        </w:rPr>
        <w:t>Paslaugų teikimo periodiškumas</w:t>
      </w:r>
      <w:r>
        <w:rPr>
          <w:rFonts w:eastAsia="Calibri"/>
          <w:bCs/>
          <w:sz w:val="22"/>
          <w:szCs w:val="22"/>
        </w:rPr>
        <w:t xml:space="preserve">: Paslaugos organizuojamos 3 kartus per metus (preliminariai po 1000 </w:t>
      </w:r>
      <w:r w:rsidR="00EA5C24">
        <w:rPr>
          <w:rFonts w:eastAsia="Calibri"/>
          <w:bCs/>
          <w:sz w:val="22"/>
          <w:szCs w:val="22"/>
        </w:rPr>
        <w:t>tonų</w:t>
      </w:r>
      <w:r>
        <w:rPr>
          <w:rFonts w:eastAsia="Calibri"/>
          <w:bCs/>
          <w:sz w:val="22"/>
          <w:szCs w:val="22"/>
        </w:rPr>
        <w:t xml:space="preserve"> vieno etapo metu) pagal išankstinį Užsakovo poreikį ir pranešimą.</w:t>
      </w:r>
    </w:p>
    <w:p w14:paraId="4D8457D8" w14:textId="7999DB25" w:rsidR="00970B8E" w:rsidRDefault="00970B8E" w:rsidP="00970B8E">
      <w:pPr>
        <w:spacing w:line="256" w:lineRule="auto"/>
        <w:ind w:firstLine="567"/>
        <w:jc w:val="both"/>
        <w:rPr>
          <w:rFonts w:eastAsia="Calibri"/>
          <w:bCs/>
          <w:sz w:val="22"/>
          <w:szCs w:val="22"/>
        </w:rPr>
      </w:pPr>
      <w:r>
        <w:rPr>
          <w:rFonts w:eastAsia="Calibri"/>
          <w:bCs/>
          <w:i/>
          <w:iCs/>
          <w:sz w:val="22"/>
          <w:szCs w:val="22"/>
        </w:rPr>
        <w:t>Sutarties terminas</w:t>
      </w:r>
      <w:r>
        <w:rPr>
          <w:rFonts w:eastAsia="Calibri"/>
          <w:bCs/>
          <w:sz w:val="22"/>
          <w:szCs w:val="22"/>
        </w:rPr>
        <w:t>: 2 metai nuo sutarties pasirašymo dienos su galimybe ją pratęsti 1 metams.</w:t>
      </w:r>
    </w:p>
    <w:p w14:paraId="692ADDCC" w14:textId="77777777" w:rsidR="00970B8E" w:rsidRDefault="00970B8E" w:rsidP="00970B8E">
      <w:pPr>
        <w:spacing w:line="256" w:lineRule="auto"/>
        <w:ind w:firstLine="567"/>
        <w:jc w:val="both"/>
        <w:rPr>
          <w:sz w:val="22"/>
          <w:szCs w:val="22"/>
        </w:rPr>
      </w:pPr>
      <w:r>
        <w:rPr>
          <w:rFonts w:eastAsia="Calibri"/>
          <w:bCs/>
          <w:i/>
          <w:iCs/>
          <w:sz w:val="22"/>
          <w:szCs w:val="22"/>
        </w:rPr>
        <w:t>Paslaugos bus perkamos pagal 1 (vienos) tonos įkainį, nurodytą tiekėjo pasiūlyme</w:t>
      </w:r>
      <w:r>
        <w:rPr>
          <w:sz w:val="22"/>
          <w:szCs w:val="22"/>
        </w:rPr>
        <w:t>.</w:t>
      </w:r>
    </w:p>
    <w:p w14:paraId="2C8BBD44" w14:textId="77777777" w:rsidR="00970B8E" w:rsidRDefault="00970B8E" w:rsidP="00970B8E">
      <w:pPr>
        <w:spacing w:line="276" w:lineRule="auto"/>
        <w:ind w:firstLine="567"/>
        <w:rPr>
          <w:rFonts w:eastAsia="Calibri"/>
          <w:b/>
          <w:sz w:val="22"/>
          <w:szCs w:val="22"/>
        </w:rPr>
      </w:pPr>
      <w:r>
        <w:rPr>
          <w:rFonts w:eastAsia="Calibri"/>
          <w:b/>
          <w:sz w:val="22"/>
          <w:szCs w:val="22"/>
        </w:rPr>
        <w:t>BENDROSIOS NUOSTATOS</w:t>
      </w:r>
    </w:p>
    <w:p w14:paraId="07E8B199" w14:textId="77777777" w:rsidR="00970B8E" w:rsidRDefault="00970B8E" w:rsidP="00970B8E">
      <w:pPr>
        <w:widowControl w:val="0"/>
        <w:numPr>
          <w:ilvl w:val="0"/>
          <w:numId w:val="1"/>
        </w:numPr>
        <w:autoSpaceDE w:val="0"/>
        <w:autoSpaceDN w:val="0"/>
        <w:adjustRightInd w:val="0"/>
        <w:spacing w:line="276" w:lineRule="auto"/>
        <w:ind w:left="0" w:firstLine="567"/>
        <w:contextualSpacing/>
        <w:jc w:val="both"/>
        <w:rPr>
          <w:sz w:val="22"/>
          <w:szCs w:val="22"/>
          <w:lang w:eastAsia="lt-LT"/>
        </w:rPr>
      </w:pPr>
      <w:r>
        <w:rPr>
          <w:sz w:val="22"/>
          <w:szCs w:val="22"/>
          <w:lang w:eastAsia="lt-LT"/>
        </w:rPr>
        <w:t>Dumblo susidarymo ir sandėliavimo vieta: UAB „Mažeikių vandenys“ Mažeikių miesto nuotekų valymo įrenginiai, Skuodo g. 46, Troškučių k., Mažeikių rajono savivaldybė. Dumblas sandėliuojamas stogu dengtoje išbetonuotoje aikštelėje.</w:t>
      </w:r>
    </w:p>
    <w:p w14:paraId="04F1F089" w14:textId="1E7908D0" w:rsidR="00970B8E" w:rsidRDefault="00970B8E" w:rsidP="00970B8E">
      <w:pPr>
        <w:widowControl w:val="0"/>
        <w:numPr>
          <w:ilvl w:val="0"/>
          <w:numId w:val="1"/>
        </w:numPr>
        <w:autoSpaceDE w:val="0"/>
        <w:autoSpaceDN w:val="0"/>
        <w:adjustRightInd w:val="0"/>
        <w:spacing w:line="276" w:lineRule="auto"/>
        <w:ind w:left="0" w:firstLine="567"/>
        <w:contextualSpacing/>
        <w:jc w:val="both"/>
        <w:rPr>
          <w:sz w:val="22"/>
          <w:szCs w:val="22"/>
          <w:lang w:eastAsia="lt-LT"/>
        </w:rPr>
      </w:pPr>
      <w:r>
        <w:rPr>
          <w:sz w:val="22"/>
          <w:szCs w:val="22"/>
          <w:lang w:eastAsia="lt-LT"/>
        </w:rPr>
        <w:t>Vykdomas „Žalias pirkimas“ t. y.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50A562DA" w14:textId="77777777" w:rsidR="00970B8E" w:rsidRDefault="00970B8E" w:rsidP="00970B8E">
      <w:pPr>
        <w:widowControl w:val="0"/>
        <w:autoSpaceDE w:val="0"/>
        <w:autoSpaceDN w:val="0"/>
        <w:adjustRightInd w:val="0"/>
        <w:spacing w:line="276" w:lineRule="auto"/>
        <w:ind w:firstLine="567"/>
        <w:jc w:val="both"/>
        <w:rPr>
          <w:b/>
          <w:bCs/>
          <w:sz w:val="22"/>
          <w:szCs w:val="22"/>
          <w:lang w:eastAsia="lt-LT"/>
        </w:rPr>
      </w:pPr>
      <w:r>
        <w:rPr>
          <w:b/>
          <w:bCs/>
          <w:sz w:val="22"/>
          <w:szCs w:val="22"/>
          <w:lang w:eastAsia="lt-LT"/>
        </w:rPr>
        <w:t>DUMBLO SAVYBĖS</w:t>
      </w:r>
    </w:p>
    <w:p w14:paraId="73CE300A" w14:textId="77777777" w:rsidR="00970B8E" w:rsidRDefault="00970B8E" w:rsidP="00970B8E">
      <w:pPr>
        <w:widowControl w:val="0"/>
        <w:numPr>
          <w:ilvl w:val="0"/>
          <w:numId w:val="1"/>
        </w:numPr>
        <w:autoSpaceDE w:val="0"/>
        <w:autoSpaceDN w:val="0"/>
        <w:adjustRightInd w:val="0"/>
        <w:spacing w:line="276" w:lineRule="auto"/>
        <w:ind w:left="0" w:firstLine="567"/>
        <w:contextualSpacing/>
        <w:jc w:val="both"/>
        <w:rPr>
          <w:sz w:val="22"/>
          <w:szCs w:val="22"/>
          <w:lang w:eastAsia="lt-LT"/>
        </w:rPr>
      </w:pPr>
      <w:r>
        <w:rPr>
          <w:sz w:val="22"/>
          <w:szCs w:val="22"/>
          <w:lang w:eastAsia="lt-LT"/>
        </w:rPr>
        <w:t>Pagal LR Aplinkos ministro 1999 m. liepos 14 d. įsakymu Nr. 217 patvirtintų Atliekų tvarkymo taisyklių (aktuali redakcija) 1 priedą miesto buitinių nuotekų valymo dumblas priskiriamas prie nepavojingų atliekų (atliekų sąrašo kodas – 19 08 05). Nuotekų dumblas pagal sunkiųjų metalų kiekius dumble priskiriamas  I-II kategorijai, pagal mikrobiologinius - parazitologinius parametrus priskiriamas A-B klasei.</w:t>
      </w:r>
    </w:p>
    <w:p w14:paraId="4815F096" w14:textId="77777777" w:rsidR="00970B8E" w:rsidRDefault="00970B8E" w:rsidP="00970B8E">
      <w:pPr>
        <w:widowControl w:val="0"/>
        <w:numPr>
          <w:ilvl w:val="0"/>
          <w:numId w:val="1"/>
        </w:numPr>
        <w:autoSpaceDE w:val="0"/>
        <w:autoSpaceDN w:val="0"/>
        <w:adjustRightInd w:val="0"/>
        <w:spacing w:line="276" w:lineRule="auto"/>
        <w:ind w:left="0" w:firstLine="567"/>
        <w:contextualSpacing/>
        <w:jc w:val="both"/>
        <w:rPr>
          <w:sz w:val="22"/>
          <w:szCs w:val="22"/>
          <w:lang w:eastAsia="lt-LT"/>
        </w:rPr>
      </w:pPr>
      <w:r>
        <w:rPr>
          <w:sz w:val="22"/>
          <w:szCs w:val="22"/>
          <w:lang w:eastAsia="lt-LT"/>
        </w:rPr>
        <w:t>Sausinto dumblo vidutiniai metiniai analizės duomenys pateikiami lentelėje žemiau.</w:t>
      </w:r>
    </w:p>
    <w:tbl>
      <w:tblPr>
        <w:tblpPr w:leftFromText="180" w:rightFromText="180" w:bottomFromText="160" w:vertAnchor="text" w:horzAnchor="page" w:tblpX="2485" w:tblpY="13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8"/>
        <w:gridCol w:w="4111"/>
        <w:gridCol w:w="2491"/>
      </w:tblGrid>
      <w:tr w:rsidR="00970B8E" w14:paraId="0910F04E" w14:textId="77777777">
        <w:tc>
          <w:tcPr>
            <w:tcW w:w="98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CBB7533" w14:textId="77777777" w:rsidR="00970B8E" w:rsidRDefault="00970B8E">
            <w:pPr>
              <w:widowControl w:val="0"/>
              <w:shd w:val="clear" w:color="auto" w:fill="FFFFFF"/>
              <w:autoSpaceDE w:val="0"/>
              <w:autoSpaceDN w:val="0"/>
              <w:adjustRightInd w:val="0"/>
              <w:spacing w:line="256" w:lineRule="auto"/>
              <w:ind w:firstLine="567"/>
              <w:jc w:val="center"/>
              <w:rPr>
                <w:b/>
                <w:sz w:val="20"/>
                <w:lang w:eastAsia="lt-LT"/>
              </w:rPr>
            </w:pPr>
            <w:r>
              <w:rPr>
                <w:b/>
                <w:sz w:val="20"/>
                <w:lang w:eastAsia="lt-LT"/>
              </w:rPr>
              <w:t>Eil. Nr.</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8BDCAE" w14:textId="77777777" w:rsidR="00970B8E" w:rsidRDefault="00970B8E">
            <w:pPr>
              <w:widowControl w:val="0"/>
              <w:shd w:val="clear" w:color="auto" w:fill="FFFFFF"/>
              <w:autoSpaceDE w:val="0"/>
              <w:autoSpaceDN w:val="0"/>
              <w:adjustRightInd w:val="0"/>
              <w:spacing w:line="256" w:lineRule="auto"/>
              <w:ind w:firstLine="567"/>
              <w:jc w:val="center"/>
              <w:rPr>
                <w:b/>
                <w:sz w:val="20"/>
                <w:lang w:eastAsia="lt-LT"/>
              </w:rPr>
            </w:pPr>
            <w:r>
              <w:rPr>
                <w:b/>
                <w:sz w:val="20"/>
                <w:lang w:eastAsia="lt-LT"/>
              </w:rPr>
              <w:t>Rodiklis</w:t>
            </w:r>
          </w:p>
        </w:tc>
        <w:tc>
          <w:tcPr>
            <w:tcW w:w="2491" w:type="dxa"/>
            <w:tcBorders>
              <w:top w:val="single" w:sz="4" w:space="0" w:color="auto"/>
              <w:left w:val="single" w:sz="4" w:space="0" w:color="auto"/>
              <w:bottom w:val="single" w:sz="4" w:space="0" w:color="auto"/>
              <w:right w:val="single" w:sz="4" w:space="0" w:color="auto"/>
            </w:tcBorders>
            <w:vAlign w:val="center"/>
            <w:hideMark/>
          </w:tcPr>
          <w:p w14:paraId="269DA6B3" w14:textId="77777777" w:rsidR="00970B8E" w:rsidRDefault="00970B8E">
            <w:pPr>
              <w:widowControl w:val="0"/>
              <w:shd w:val="clear" w:color="auto" w:fill="FFFFFF"/>
              <w:autoSpaceDE w:val="0"/>
              <w:autoSpaceDN w:val="0"/>
              <w:adjustRightInd w:val="0"/>
              <w:spacing w:line="256" w:lineRule="auto"/>
              <w:ind w:firstLine="567"/>
              <w:jc w:val="center"/>
              <w:rPr>
                <w:b/>
                <w:sz w:val="20"/>
                <w:lang w:eastAsia="lt-LT"/>
              </w:rPr>
            </w:pPr>
            <w:r>
              <w:rPr>
                <w:b/>
                <w:sz w:val="20"/>
                <w:lang w:eastAsia="lt-LT"/>
              </w:rPr>
              <w:t>Rezultatas (vidurkis)</w:t>
            </w:r>
          </w:p>
        </w:tc>
      </w:tr>
      <w:tr w:rsidR="00970B8E" w14:paraId="5049D0E9" w14:textId="77777777">
        <w:tc>
          <w:tcPr>
            <w:tcW w:w="988" w:type="dxa"/>
            <w:tcBorders>
              <w:top w:val="single" w:sz="4" w:space="0" w:color="auto"/>
              <w:left w:val="single" w:sz="4" w:space="0" w:color="auto"/>
              <w:bottom w:val="single" w:sz="4" w:space="0" w:color="auto"/>
              <w:right w:val="single" w:sz="4" w:space="0" w:color="auto"/>
            </w:tcBorders>
            <w:shd w:val="clear" w:color="auto" w:fill="FFFFFF"/>
            <w:hideMark/>
          </w:tcPr>
          <w:p w14:paraId="69DF9A8E"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1.</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42391898"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Reakcija pH</w:t>
            </w:r>
          </w:p>
        </w:tc>
        <w:tc>
          <w:tcPr>
            <w:tcW w:w="2491" w:type="dxa"/>
            <w:tcBorders>
              <w:top w:val="single" w:sz="4" w:space="0" w:color="auto"/>
              <w:left w:val="single" w:sz="4" w:space="0" w:color="auto"/>
              <w:bottom w:val="single" w:sz="4" w:space="0" w:color="auto"/>
              <w:right w:val="single" w:sz="4" w:space="0" w:color="auto"/>
            </w:tcBorders>
            <w:hideMark/>
          </w:tcPr>
          <w:p w14:paraId="23716559" w14:textId="77777777" w:rsidR="00970B8E" w:rsidRDefault="00970B8E">
            <w:pPr>
              <w:widowControl w:val="0"/>
              <w:shd w:val="clear" w:color="auto" w:fill="FFFFFF"/>
              <w:autoSpaceDE w:val="0"/>
              <w:autoSpaceDN w:val="0"/>
              <w:adjustRightInd w:val="0"/>
              <w:spacing w:line="256" w:lineRule="auto"/>
              <w:ind w:firstLine="567"/>
              <w:jc w:val="center"/>
              <w:rPr>
                <w:sz w:val="20"/>
                <w:highlight w:val="yellow"/>
                <w:lang w:eastAsia="lt-LT"/>
              </w:rPr>
            </w:pPr>
            <w:r>
              <w:rPr>
                <w:sz w:val="20"/>
                <w:lang w:eastAsia="lt-LT"/>
              </w:rPr>
              <w:t>8,0</w:t>
            </w:r>
          </w:p>
        </w:tc>
      </w:tr>
      <w:tr w:rsidR="00970B8E" w14:paraId="2367488D" w14:textId="77777777">
        <w:tc>
          <w:tcPr>
            <w:tcW w:w="988" w:type="dxa"/>
            <w:tcBorders>
              <w:top w:val="single" w:sz="4" w:space="0" w:color="auto"/>
              <w:left w:val="single" w:sz="4" w:space="0" w:color="auto"/>
              <w:bottom w:val="single" w:sz="4" w:space="0" w:color="auto"/>
              <w:right w:val="single" w:sz="4" w:space="0" w:color="auto"/>
            </w:tcBorders>
            <w:shd w:val="clear" w:color="auto" w:fill="FFFFFF"/>
            <w:hideMark/>
          </w:tcPr>
          <w:p w14:paraId="3AE062B8"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2.</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4D381225"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 xml:space="preserve">Bendrasis azotas, mg/kg sausųjų </w:t>
            </w:r>
            <w:proofErr w:type="spellStart"/>
            <w:r>
              <w:rPr>
                <w:sz w:val="20"/>
                <w:lang w:eastAsia="lt-LT"/>
              </w:rPr>
              <w:t>medž</w:t>
            </w:r>
            <w:proofErr w:type="spellEnd"/>
            <w:r>
              <w:rPr>
                <w:sz w:val="20"/>
                <w:lang w:eastAsia="lt-LT"/>
              </w:rPr>
              <w:t>.</w:t>
            </w:r>
          </w:p>
        </w:tc>
        <w:tc>
          <w:tcPr>
            <w:tcW w:w="2491" w:type="dxa"/>
            <w:tcBorders>
              <w:top w:val="single" w:sz="4" w:space="0" w:color="auto"/>
              <w:left w:val="single" w:sz="4" w:space="0" w:color="auto"/>
              <w:bottom w:val="single" w:sz="4" w:space="0" w:color="auto"/>
              <w:right w:val="single" w:sz="4" w:space="0" w:color="auto"/>
            </w:tcBorders>
            <w:hideMark/>
          </w:tcPr>
          <w:p w14:paraId="7B1D0575"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75500</w:t>
            </w:r>
          </w:p>
        </w:tc>
      </w:tr>
      <w:tr w:rsidR="00970B8E" w14:paraId="3EA45760" w14:textId="77777777">
        <w:tc>
          <w:tcPr>
            <w:tcW w:w="988" w:type="dxa"/>
            <w:tcBorders>
              <w:top w:val="single" w:sz="4" w:space="0" w:color="auto"/>
              <w:left w:val="single" w:sz="4" w:space="0" w:color="auto"/>
              <w:bottom w:val="single" w:sz="4" w:space="0" w:color="auto"/>
              <w:right w:val="single" w:sz="4" w:space="0" w:color="auto"/>
            </w:tcBorders>
            <w:shd w:val="clear" w:color="auto" w:fill="FFFFFF"/>
            <w:hideMark/>
          </w:tcPr>
          <w:p w14:paraId="4C570431"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3.</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4148A3C4"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 xml:space="preserve">Bendrasis fosforas, mg/kg sausųjų </w:t>
            </w:r>
            <w:proofErr w:type="spellStart"/>
            <w:r>
              <w:rPr>
                <w:sz w:val="20"/>
                <w:lang w:eastAsia="lt-LT"/>
              </w:rPr>
              <w:t>medž</w:t>
            </w:r>
            <w:proofErr w:type="spellEnd"/>
            <w:r>
              <w:rPr>
                <w:sz w:val="20"/>
                <w:lang w:eastAsia="lt-LT"/>
              </w:rPr>
              <w:t>.</w:t>
            </w:r>
          </w:p>
        </w:tc>
        <w:tc>
          <w:tcPr>
            <w:tcW w:w="2491" w:type="dxa"/>
            <w:tcBorders>
              <w:top w:val="single" w:sz="4" w:space="0" w:color="auto"/>
              <w:left w:val="single" w:sz="4" w:space="0" w:color="auto"/>
              <w:bottom w:val="single" w:sz="4" w:space="0" w:color="auto"/>
              <w:right w:val="single" w:sz="4" w:space="0" w:color="auto"/>
            </w:tcBorders>
            <w:hideMark/>
          </w:tcPr>
          <w:p w14:paraId="1ABF797C"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32827</w:t>
            </w:r>
          </w:p>
        </w:tc>
      </w:tr>
      <w:tr w:rsidR="00970B8E" w14:paraId="4BADB166" w14:textId="77777777">
        <w:trPr>
          <w:trHeight w:val="77"/>
        </w:trPr>
        <w:tc>
          <w:tcPr>
            <w:tcW w:w="988" w:type="dxa"/>
            <w:tcBorders>
              <w:top w:val="single" w:sz="4" w:space="0" w:color="auto"/>
              <w:left w:val="single" w:sz="4" w:space="0" w:color="auto"/>
              <w:bottom w:val="single" w:sz="4" w:space="0" w:color="auto"/>
              <w:right w:val="single" w:sz="4" w:space="0" w:color="auto"/>
            </w:tcBorders>
            <w:shd w:val="clear" w:color="auto" w:fill="FFFFFF"/>
            <w:hideMark/>
          </w:tcPr>
          <w:p w14:paraId="41B8C2BC"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4.</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68137D5D"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 xml:space="preserve">Cinkas, mg/kg sausųjų </w:t>
            </w:r>
            <w:proofErr w:type="spellStart"/>
            <w:r>
              <w:rPr>
                <w:sz w:val="20"/>
                <w:lang w:eastAsia="lt-LT"/>
              </w:rPr>
              <w:t>medž</w:t>
            </w:r>
            <w:proofErr w:type="spellEnd"/>
            <w:r>
              <w:rPr>
                <w:sz w:val="20"/>
                <w:lang w:eastAsia="lt-LT"/>
              </w:rPr>
              <w:t>.</w:t>
            </w:r>
          </w:p>
        </w:tc>
        <w:tc>
          <w:tcPr>
            <w:tcW w:w="2491" w:type="dxa"/>
            <w:tcBorders>
              <w:top w:val="single" w:sz="4" w:space="0" w:color="auto"/>
              <w:left w:val="single" w:sz="4" w:space="0" w:color="auto"/>
              <w:bottom w:val="single" w:sz="4" w:space="0" w:color="auto"/>
              <w:right w:val="single" w:sz="4" w:space="0" w:color="auto"/>
            </w:tcBorders>
            <w:shd w:val="clear" w:color="auto" w:fill="FFFFFF"/>
            <w:hideMark/>
          </w:tcPr>
          <w:p w14:paraId="4EBD352C"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465</w:t>
            </w:r>
          </w:p>
        </w:tc>
      </w:tr>
      <w:tr w:rsidR="00970B8E" w14:paraId="5A0635F3" w14:textId="77777777">
        <w:tc>
          <w:tcPr>
            <w:tcW w:w="988" w:type="dxa"/>
            <w:tcBorders>
              <w:top w:val="single" w:sz="4" w:space="0" w:color="auto"/>
              <w:left w:val="single" w:sz="4" w:space="0" w:color="auto"/>
              <w:bottom w:val="single" w:sz="4" w:space="0" w:color="auto"/>
              <w:right w:val="single" w:sz="4" w:space="0" w:color="auto"/>
            </w:tcBorders>
            <w:shd w:val="clear" w:color="auto" w:fill="FFFFFF"/>
            <w:hideMark/>
          </w:tcPr>
          <w:p w14:paraId="617B7CC8"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5.</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596EDF9E"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 xml:space="preserve">Varis, mg/kg sausųjų </w:t>
            </w:r>
            <w:proofErr w:type="spellStart"/>
            <w:r>
              <w:rPr>
                <w:sz w:val="20"/>
                <w:lang w:eastAsia="lt-LT"/>
              </w:rPr>
              <w:t>medž</w:t>
            </w:r>
            <w:proofErr w:type="spellEnd"/>
            <w:r>
              <w:rPr>
                <w:sz w:val="20"/>
                <w:lang w:eastAsia="lt-LT"/>
              </w:rPr>
              <w:t>.</w:t>
            </w:r>
          </w:p>
        </w:tc>
        <w:tc>
          <w:tcPr>
            <w:tcW w:w="2491" w:type="dxa"/>
            <w:tcBorders>
              <w:top w:val="single" w:sz="4" w:space="0" w:color="auto"/>
              <w:left w:val="single" w:sz="4" w:space="0" w:color="auto"/>
              <w:bottom w:val="single" w:sz="4" w:space="0" w:color="auto"/>
              <w:right w:val="single" w:sz="4" w:space="0" w:color="auto"/>
            </w:tcBorders>
            <w:shd w:val="clear" w:color="auto" w:fill="FFFFFF"/>
            <w:hideMark/>
          </w:tcPr>
          <w:p w14:paraId="0D859DDF"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83</w:t>
            </w:r>
          </w:p>
        </w:tc>
      </w:tr>
      <w:tr w:rsidR="00970B8E" w14:paraId="7EA034F6" w14:textId="77777777">
        <w:tc>
          <w:tcPr>
            <w:tcW w:w="988" w:type="dxa"/>
            <w:tcBorders>
              <w:top w:val="single" w:sz="4" w:space="0" w:color="auto"/>
              <w:left w:val="single" w:sz="4" w:space="0" w:color="auto"/>
              <w:bottom w:val="single" w:sz="4" w:space="0" w:color="auto"/>
              <w:right w:val="single" w:sz="4" w:space="0" w:color="auto"/>
            </w:tcBorders>
            <w:shd w:val="clear" w:color="auto" w:fill="FFFFFF"/>
            <w:hideMark/>
          </w:tcPr>
          <w:p w14:paraId="3B507F1F"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6.</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1A29ABEB"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 xml:space="preserve">Chromas, mg/kg sausųjų </w:t>
            </w:r>
            <w:proofErr w:type="spellStart"/>
            <w:r>
              <w:rPr>
                <w:sz w:val="20"/>
                <w:lang w:eastAsia="lt-LT"/>
              </w:rPr>
              <w:t>medž</w:t>
            </w:r>
            <w:proofErr w:type="spellEnd"/>
            <w:r>
              <w:rPr>
                <w:sz w:val="20"/>
                <w:lang w:eastAsia="lt-LT"/>
              </w:rPr>
              <w:t>.</w:t>
            </w:r>
          </w:p>
        </w:tc>
        <w:tc>
          <w:tcPr>
            <w:tcW w:w="2491" w:type="dxa"/>
            <w:tcBorders>
              <w:top w:val="single" w:sz="4" w:space="0" w:color="auto"/>
              <w:left w:val="single" w:sz="4" w:space="0" w:color="auto"/>
              <w:bottom w:val="single" w:sz="4" w:space="0" w:color="auto"/>
              <w:right w:val="single" w:sz="4" w:space="0" w:color="auto"/>
            </w:tcBorders>
            <w:shd w:val="clear" w:color="auto" w:fill="FFFFFF"/>
            <w:hideMark/>
          </w:tcPr>
          <w:p w14:paraId="4BB5202D"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13,4</w:t>
            </w:r>
          </w:p>
        </w:tc>
      </w:tr>
      <w:tr w:rsidR="00970B8E" w14:paraId="66FFBAE8" w14:textId="77777777">
        <w:tc>
          <w:tcPr>
            <w:tcW w:w="988" w:type="dxa"/>
            <w:tcBorders>
              <w:top w:val="single" w:sz="4" w:space="0" w:color="auto"/>
              <w:left w:val="single" w:sz="4" w:space="0" w:color="auto"/>
              <w:bottom w:val="single" w:sz="4" w:space="0" w:color="auto"/>
              <w:right w:val="single" w:sz="4" w:space="0" w:color="auto"/>
            </w:tcBorders>
            <w:shd w:val="clear" w:color="auto" w:fill="FFFFFF"/>
            <w:hideMark/>
          </w:tcPr>
          <w:p w14:paraId="631CC0AB"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7.</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61185156"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 xml:space="preserve">Nikelis, mg/kg sausųjų </w:t>
            </w:r>
            <w:proofErr w:type="spellStart"/>
            <w:r>
              <w:rPr>
                <w:sz w:val="20"/>
                <w:lang w:eastAsia="lt-LT"/>
              </w:rPr>
              <w:t>medž</w:t>
            </w:r>
            <w:proofErr w:type="spellEnd"/>
            <w:r>
              <w:rPr>
                <w:sz w:val="20"/>
                <w:lang w:eastAsia="lt-LT"/>
              </w:rPr>
              <w:t>.</w:t>
            </w:r>
          </w:p>
        </w:tc>
        <w:tc>
          <w:tcPr>
            <w:tcW w:w="2491" w:type="dxa"/>
            <w:tcBorders>
              <w:top w:val="single" w:sz="4" w:space="0" w:color="auto"/>
              <w:left w:val="single" w:sz="4" w:space="0" w:color="auto"/>
              <w:bottom w:val="single" w:sz="4" w:space="0" w:color="auto"/>
              <w:right w:val="single" w:sz="4" w:space="0" w:color="auto"/>
            </w:tcBorders>
            <w:shd w:val="clear" w:color="auto" w:fill="FFFFFF"/>
            <w:hideMark/>
          </w:tcPr>
          <w:p w14:paraId="7CF53BB0"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13,6</w:t>
            </w:r>
          </w:p>
        </w:tc>
      </w:tr>
      <w:tr w:rsidR="00970B8E" w14:paraId="7FAD11A9" w14:textId="77777777">
        <w:tc>
          <w:tcPr>
            <w:tcW w:w="988" w:type="dxa"/>
            <w:tcBorders>
              <w:top w:val="single" w:sz="4" w:space="0" w:color="auto"/>
              <w:left w:val="single" w:sz="4" w:space="0" w:color="auto"/>
              <w:bottom w:val="single" w:sz="4" w:space="0" w:color="auto"/>
              <w:right w:val="single" w:sz="4" w:space="0" w:color="auto"/>
            </w:tcBorders>
            <w:shd w:val="clear" w:color="auto" w:fill="FFFFFF"/>
            <w:hideMark/>
          </w:tcPr>
          <w:p w14:paraId="7BB24CBD"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8.</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0236F589"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 xml:space="preserve">Kadmis, mg/kg sausųjų </w:t>
            </w:r>
            <w:proofErr w:type="spellStart"/>
            <w:r>
              <w:rPr>
                <w:sz w:val="20"/>
                <w:lang w:eastAsia="lt-LT"/>
              </w:rPr>
              <w:t>medž</w:t>
            </w:r>
            <w:proofErr w:type="spellEnd"/>
            <w:r>
              <w:rPr>
                <w:sz w:val="20"/>
                <w:lang w:eastAsia="lt-LT"/>
              </w:rPr>
              <w:t>.</w:t>
            </w:r>
          </w:p>
        </w:tc>
        <w:tc>
          <w:tcPr>
            <w:tcW w:w="2491" w:type="dxa"/>
            <w:tcBorders>
              <w:top w:val="single" w:sz="4" w:space="0" w:color="auto"/>
              <w:left w:val="single" w:sz="4" w:space="0" w:color="auto"/>
              <w:bottom w:val="single" w:sz="4" w:space="0" w:color="auto"/>
              <w:right w:val="single" w:sz="4" w:space="0" w:color="auto"/>
            </w:tcBorders>
            <w:shd w:val="clear" w:color="auto" w:fill="FFFFFF"/>
            <w:hideMark/>
          </w:tcPr>
          <w:p w14:paraId="11763A73"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1,2</w:t>
            </w:r>
          </w:p>
        </w:tc>
      </w:tr>
      <w:tr w:rsidR="00970B8E" w14:paraId="78CFE7D2" w14:textId="77777777">
        <w:tc>
          <w:tcPr>
            <w:tcW w:w="988" w:type="dxa"/>
            <w:tcBorders>
              <w:top w:val="single" w:sz="4" w:space="0" w:color="auto"/>
              <w:left w:val="single" w:sz="4" w:space="0" w:color="auto"/>
              <w:bottom w:val="single" w:sz="4" w:space="0" w:color="auto"/>
              <w:right w:val="single" w:sz="4" w:space="0" w:color="auto"/>
            </w:tcBorders>
            <w:shd w:val="clear" w:color="auto" w:fill="FFFFFF"/>
            <w:hideMark/>
          </w:tcPr>
          <w:p w14:paraId="2D8B86F8"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9.</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5CC59442"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 xml:space="preserve">Švinas, mg/kg sausųjų </w:t>
            </w:r>
            <w:proofErr w:type="spellStart"/>
            <w:r>
              <w:rPr>
                <w:sz w:val="20"/>
                <w:lang w:eastAsia="lt-LT"/>
              </w:rPr>
              <w:t>medž</w:t>
            </w:r>
            <w:proofErr w:type="spellEnd"/>
            <w:r>
              <w:rPr>
                <w:sz w:val="20"/>
                <w:lang w:eastAsia="lt-LT"/>
              </w:rPr>
              <w:t>.</w:t>
            </w:r>
          </w:p>
        </w:tc>
        <w:tc>
          <w:tcPr>
            <w:tcW w:w="2491" w:type="dxa"/>
            <w:tcBorders>
              <w:top w:val="single" w:sz="4" w:space="0" w:color="auto"/>
              <w:left w:val="single" w:sz="4" w:space="0" w:color="auto"/>
              <w:bottom w:val="single" w:sz="4" w:space="0" w:color="auto"/>
              <w:right w:val="single" w:sz="4" w:space="0" w:color="auto"/>
            </w:tcBorders>
            <w:shd w:val="clear" w:color="auto" w:fill="FFFFFF"/>
            <w:hideMark/>
          </w:tcPr>
          <w:p w14:paraId="22D5A2B6"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12,8</w:t>
            </w:r>
          </w:p>
        </w:tc>
      </w:tr>
      <w:tr w:rsidR="00970B8E" w14:paraId="5CC55B6B" w14:textId="77777777">
        <w:tc>
          <w:tcPr>
            <w:tcW w:w="988" w:type="dxa"/>
            <w:tcBorders>
              <w:top w:val="single" w:sz="4" w:space="0" w:color="auto"/>
              <w:left w:val="single" w:sz="4" w:space="0" w:color="auto"/>
              <w:bottom w:val="single" w:sz="4" w:space="0" w:color="auto"/>
              <w:right w:val="single" w:sz="4" w:space="0" w:color="auto"/>
            </w:tcBorders>
            <w:shd w:val="clear" w:color="auto" w:fill="FFFFFF"/>
            <w:hideMark/>
          </w:tcPr>
          <w:p w14:paraId="5AFD5CF9"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10.</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44E495B2"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 xml:space="preserve">Gyvsidabris, mg/kg sausųjų </w:t>
            </w:r>
            <w:proofErr w:type="spellStart"/>
            <w:r>
              <w:rPr>
                <w:sz w:val="20"/>
                <w:lang w:eastAsia="lt-LT"/>
              </w:rPr>
              <w:t>medž</w:t>
            </w:r>
            <w:proofErr w:type="spellEnd"/>
            <w:r>
              <w:rPr>
                <w:sz w:val="20"/>
                <w:lang w:eastAsia="lt-LT"/>
              </w:rPr>
              <w:t>.</w:t>
            </w:r>
          </w:p>
        </w:tc>
        <w:tc>
          <w:tcPr>
            <w:tcW w:w="2491" w:type="dxa"/>
            <w:tcBorders>
              <w:top w:val="single" w:sz="4" w:space="0" w:color="auto"/>
              <w:left w:val="single" w:sz="4" w:space="0" w:color="auto"/>
              <w:bottom w:val="single" w:sz="4" w:space="0" w:color="auto"/>
              <w:right w:val="single" w:sz="4" w:space="0" w:color="auto"/>
            </w:tcBorders>
            <w:shd w:val="clear" w:color="auto" w:fill="FFFFFF"/>
            <w:hideMark/>
          </w:tcPr>
          <w:p w14:paraId="104FB452"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0,19</w:t>
            </w:r>
          </w:p>
        </w:tc>
      </w:tr>
      <w:tr w:rsidR="00970B8E" w14:paraId="6D19746E" w14:textId="77777777">
        <w:tc>
          <w:tcPr>
            <w:tcW w:w="988" w:type="dxa"/>
            <w:tcBorders>
              <w:top w:val="single" w:sz="4" w:space="0" w:color="auto"/>
              <w:left w:val="single" w:sz="4" w:space="0" w:color="auto"/>
              <w:bottom w:val="single" w:sz="4" w:space="0" w:color="auto"/>
              <w:right w:val="single" w:sz="4" w:space="0" w:color="auto"/>
            </w:tcBorders>
            <w:shd w:val="clear" w:color="auto" w:fill="FFFFFF"/>
            <w:hideMark/>
          </w:tcPr>
          <w:p w14:paraId="1A510977"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11.</w:t>
            </w:r>
          </w:p>
        </w:tc>
        <w:tc>
          <w:tcPr>
            <w:tcW w:w="4111" w:type="dxa"/>
            <w:tcBorders>
              <w:top w:val="single" w:sz="4" w:space="0" w:color="auto"/>
              <w:left w:val="single" w:sz="4" w:space="0" w:color="auto"/>
              <w:bottom w:val="single" w:sz="4" w:space="0" w:color="auto"/>
              <w:right w:val="single" w:sz="4" w:space="0" w:color="auto"/>
            </w:tcBorders>
            <w:shd w:val="clear" w:color="auto" w:fill="FFFFFF"/>
            <w:hideMark/>
          </w:tcPr>
          <w:p w14:paraId="31E4DBCB"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 xml:space="preserve">Sausa </w:t>
            </w:r>
            <w:proofErr w:type="spellStart"/>
            <w:r>
              <w:rPr>
                <w:sz w:val="20"/>
                <w:lang w:eastAsia="lt-LT"/>
              </w:rPr>
              <w:t>medž</w:t>
            </w:r>
            <w:proofErr w:type="spellEnd"/>
            <w:r>
              <w:rPr>
                <w:sz w:val="20"/>
                <w:lang w:eastAsia="lt-LT"/>
              </w:rPr>
              <w:t>., %</w:t>
            </w:r>
          </w:p>
        </w:tc>
        <w:tc>
          <w:tcPr>
            <w:tcW w:w="2491" w:type="dxa"/>
            <w:tcBorders>
              <w:top w:val="single" w:sz="4" w:space="0" w:color="auto"/>
              <w:left w:val="single" w:sz="4" w:space="0" w:color="auto"/>
              <w:bottom w:val="single" w:sz="4" w:space="0" w:color="auto"/>
              <w:right w:val="single" w:sz="4" w:space="0" w:color="auto"/>
            </w:tcBorders>
            <w:hideMark/>
          </w:tcPr>
          <w:p w14:paraId="33D0D21D" w14:textId="77777777" w:rsidR="00970B8E" w:rsidRDefault="00970B8E">
            <w:pPr>
              <w:widowControl w:val="0"/>
              <w:shd w:val="clear" w:color="auto" w:fill="FFFFFF"/>
              <w:autoSpaceDE w:val="0"/>
              <w:autoSpaceDN w:val="0"/>
              <w:adjustRightInd w:val="0"/>
              <w:spacing w:line="256" w:lineRule="auto"/>
              <w:ind w:firstLine="567"/>
              <w:jc w:val="center"/>
              <w:rPr>
                <w:sz w:val="20"/>
                <w:lang w:val="en-US" w:eastAsia="lt-LT"/>
              </w:rPr>
            </w:pPr>
            <w:r>
              <w:rPr>
                <w:sz w:val="20"/>
                <w:lang w:val="en-US" w:eastAsia="lt-LT"/>
              </w:rPr>
              <w:t>15</w:t>
            </w:r>
          </w:p>
        </w:tc>
      </w:tr>
      <w:tr w:rsidR="00970B8E" w14:paraId="70944BF5" w14:textId="77777777">
        <w:trPr>
          <w:trHeight w:val="247"/>
        </w:trPr>
        <w:tc>
          <w:tcPr>
            <w:tcW w:w="988" w:type="dxa"/>
            <w:tcBorders>
              <w:top w:val="single" w:sz="4" w:space="0" w:color="auto"/>
              <w:left w:val="single" w:sz="4" w:space="0" w:color="auto"/>
              <w:bottom w:val="single" w:sz="4" w:space="0" w:color="auto"/>
              <w:right w:val="single" w:sz="4" w:space="0" w:color="auto"/>
            </w:tcBorders>
            <w:hideMark/>
          </w:tcPr>
          <w:p w14:paraId="04948E42"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12.</w:t>
            </w:r>
          </w:p>
        </w:tc>
        <w:tc>
          <w:tcPr>
            <w:tcW w:w="4111" w:type="dxa"/>
            <w:tcBorders>
              <w:top w:val="single" w:sz="4" w:space="0" w:color="auto"/>
              <w:left w:val="single" w:sz="4" w:space="0" w:color="auto"/>
              <w:bottom w:val="single" w:sz="4" w:space="0" w:color="auto"/>
              <w:right w:val="single" w:sz="4" w:space="0" w:color="auto"/>
            </w:tcBorders>
            <w:hideMark/>
          </w:tcPr>
          <w:p w14:paraId="52223BD6" w14:textId="77777777" w:rsidR="00970B8E" w:rsidRDefault="00970B8E">
            <w:pPr>
              <w:widowControl w:val="0"/>
              <w:shd w:val="clear" w:color="auto" w:fill="FFFFFF"/>
              <w:autoSpaceDE w:val="0"/>
              <w:autoSpaceDN w:val="0"/>
              <w:adjustRightInd w:val="0"/>
              <w:spacing w:line="256" w:lineRule="auto"/>
              <w:ind w:firstLine="567"/>
              <w:jc w:val="both"/>
              <w:rPr>
                <w:sz w:val="20"/>
                <w:lang w:eastAsia="lt-LT"/>
              </w:rPr>
            </w:pPr>
            <w:r>
              <w:rPr>
                <w:sz w:val="20"/>
                <w:lang w:eastAsia="lt-LT"/>
              </w:rPr>
              <w:t xml:space="preserve">Organinė </w:t>
            </w:r>
            <w:proofErr w:type="spellStart"/>
            <w:r>
              <w:rPr>
                <w:sz w:val="20"/>
                <w:lang w:eastAsia="lt-LT"/>
              </w:rPr>
              <w:t>medž</w:t>
            </w:r>
            <w:proofErr w:type="spellEnd"/>
            <w:r>
              <w:rPr>
                <w:sz w:val="20"/>
                <w:lang w:eastAsia="lt-LT"/>
              </w:rPr>
              <w:t>., %</w:t>
            </w:r>
          </w:p>
        </w:tc>
        <w:tc>
          <w:tcPr>
            <w:tcW w:w="2491" w:type="dxa"/>
            <w:tcBorders>
              <w:top w:val="single" w:sz="4" w:space="0" w:color="auto"/>
              <w:left w:val="single" w:sz="4" w:space="0" w:color="auto"/>
              <w:bottom w:val="single" w:sz="4" w:space="0" w:color="auto"/>
              <w:right w:val="single" w:sz="4" w:space="0" w:color="auto"/>
            </w:tcBorders>
            <w:hideMark/>
          </w:tcPr>
          <w:p w14:paraId="065E73FC" w14:textId="77777777" w:rsidR="00970B8E" w:rsidRDefault="00970B8E">
            <w:pPr>
              <w:widowControl w:val="0"/>
              <w:shd w:val="clear" w:color="auto" w:fill="FFFFFF"/>
              <w:autoSpaceDE w:val="0"/>
              <w:autoSpaceDN w:val="0"/>
              <w:adjustRightInd w:val="0"/>
              <w:spacing w:line="256" w:lineRule="auto"/>
              <w:ind w:firstLine="567"/>
              <w:jc w:val="center"/>
              <w:rPr>
                <w:sz w:val="20"/>
                <w:lang w:eastAsia="lt-LT"/>
              </w:rPr>
            </w:pPr>
            <w:r>
              <w:rPr>
                <w:sz w:val="20"/>
                <w:lang w:eastAsia="lt-LT"/>
              </w:rPr>
              <w:t>67</w:t>
            </w:r>
          </w:p>
        </w:tc>
      </w:tr>
    </w:tbl>
    <w:p w14:paraId="0432E5CD"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2FA69D40"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25EB676F"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52EBD63B"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3C866528"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0AE39390"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57A0C198"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4D2FCC98"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3DC8BE08"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592F1870"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7EC9713A"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1109B788" w14:textId="77777777" w:rsidR="00970B8E" w:rsidRDefault="00970B8E" w:rsidP="00970B8E">
      <w:pPr>
        <w:widowControl w:val="0"/>
        <w:autoSpaceDE w:val="0"/>
        <w:autoSpaceDN w:val="0"/>
        <w:adjustRightInd w:val="0"/>
        <w:spacing w:line="276" w:lineRule="auto"/>
        <w:ind w:firstLine="567"/>
        <w:jc w:val="both"/>
        <w:rPr>
          <w:sz w:val="22"/>
          <w:szCs w:val="22"/>
          <w:lang w:eastAsia="lt-LT"/>
        </w:rPr>
      </w:pPr>
    </w:p>
    <w:p w14:paraId="3CD2A0D1" w14:textId="403DB751" w:rsidR="00970B8E" w:rsidRDefault="00970B8E" w:rsidP="00970B8E">
      <w:pPr>
        <w:widowControl w:val="0"/>
        <w:autoSpaceDE w:val="0"/>
        <w:autoSpaceDN w:val="0"/>
        <w:adjustRightInd w:val="0"/>
        <w:spacing w:line="276" w:lineRule="auto"/>
        <w:ind w:firstLine="567"/>
        <w:jc w:val="both"/>
        <w:rPr>
          <w:sz w:val="22"/>
          <w:szCs w:val="22"/>
          <w:lang w:eastAsia="lt-LT"/>
        </w:rPr>
      </w:pPr>
      <w:r>
        <w:rPr>
          <w:sz w:val="22"/>
          <w:szCs w:val="22"/>
          <w:lang w:eastAsia="lt-LT"/>
        </w:rPr>
        <w:t>Sausintas nuotekų dumblas pagal agregatinę būseną yra panašus į juodžemį. Dumblas yra tamsiai rudos spalvos, neintensyvaus kvapo. Sausinto dumblo tankis apie 900 kg/m</w:t>
      </w:r>
      <w:r>
        <w:rPr>
          <w:sz w:val="22"/>
          <w:szCs w:val="22"/>
          <w:vertAlign w:val="superscript"/>
          <w:lang w:eastAsia="lt-LT"/>
        </w:rPr>
        <w:t>3</w:t>
      </w:r>
      <w:r>
        <w:rPr>
          <w:sz w:val="22"/>
          <w:szCs w:val="22"/>
          <w:lang w:eastAsia="lt-LT"/>
        </w:rPr>
        <w:t>.</w:t>
      </w:r>
    </w:p>
    <w:p w14:paraId="7770458B" w14:textId="77777777" w:rsidR="00970B8E" w:rsidRDefault="00970B8E" w:rsidP="00970B8E">
      <w:pPr>
        <w:widowControl w:val="0"/>
        <w:autoSpaceDE w:val="0"/>
        <w:autoSpaceDN w:val="0"/>
        <w:adjustRightInd w:val="0"/>
        <w:spacing w:line="276" w:lineRule="auto"/>
        <w:ind w:firstLine="567"/>
        <w:jc w:val="both"/>
        <w:rPr>
          <w:b/>
          <w:bCs/>
          <w:sz w:val="22"/>
          <w:szCs w:val="22"/>
          <w:lang w:eastAsia="lt-LT"/>
        </w:rPr>
      </w:pPr>
      <w:r>
        <w:rPr>
          <w:b/>
          <w:bCs/>
          <w:sz w:val="22"/>
          <w:szCs w:val="22"/>
          <w:lang w:eastAsia="lt-LT"/>
        </w:rPr>
        <w:t>REIKALAVIMAI PASLAUGOS TEIKĖJUI</w:t>
      </w:r>
    </w:p>
    <w:p w14:paraId="2928DA9C" w14:textId="3A215081" w:rsidR="00970B8E" w:rsidRDefault="00970B8E" w:rsidP="00970B8E">
      <w:pPr>
        <w:widowControl w:val="0"/>
        <w:numPr>
          <w:ilvl w:val="0"/>
          <w:numId w:val="1"/>
        </w:numPr>
        <w:autoSpaceDE w:val="0"/>
        <w:autoSpaceDN w:val="0"/>
        <w:adjustRightInd w:val="0"/>
        <w:spacing w:line="276" w:lineRule="auto"/>
        <w:ind w:left="0" w:firstLine="567"/>
        <w:contextualSpacing/>
        <w:jc w:val="both"/>
        <w:rPr>
          <w:sz w:val="22"/>
          <w:szCs w:val="22"/>
          <w:lang w:eastAsia="lt-LT"/>
        </w:rPr>
      </w:pPr>
      <w:r>
        <w:rPr>
          <w:sz w:val="22"/>
          <w:szCs w:val="22"/>
          <w:lang w:eastAsia="lt-LT"/>
        </w:rPr>
        <w:t xml:space="preserve">Pirkėjas pateikia sausinto dumblo tyrimus, pagal kuriuos Paslaugų teikėjas apskaičiuoja  tręšimo apdorotu dumblu normas (tonomis sausų medžiagų į hektarą), galimą numatomame tręšti lauke panaudoti </w:t>
      </w:r>
      <w:r>
        <w:rPr>
          <w:sz w:val="22"/>
          <w:szCs w:val="22"/>
          <w:lang w:eastAsia="lt-LT"/>
        </w:rPr>
        <w:lastRenderedPageBreak/>
        <w:t>apdoroto dumblo kiekį (natūrinį bei sausosiomis medžiagomis) ir organizuoja tręšimo plano rengimą, nurodant jame apdoroto dumblo laikymo lauko kaupuose periodus, pagal Nuotekų dumblo tvarkymo ir panaudojimo reikalavimų (LR Aplinkos ministro 2020 m. liepos 3 d.. įsakymas Nr. D1-410 (aktuali redakcija nuo 2022 m. sausio 1 d.)) 5 punkto reikalavimus arba rekultivavimo projektą pagal 11 punkto reikalavimus, jį suderinti su Aplinkos apsaugos agentūra ir savivaldybe, kurio administruojamoje teritorijoje bus vykdomas tręšimas ir/ar rekultivacija bei vieną suderintą egzempliorių pateikti Pirkėjui iki paslaugų vykdymo (išvežimo) pradžios.</w:t>
      </w:r>
    </w:p>
    <w:p w14:paraId="1D060428" w14:textId="3A6D2CE5" w:rsidR="00EA5C24" w:rsidRPr="00EA5C24" w:rsidRDefault="00EA5C24" w:rsidP="00EA5C24">
      <w:pPr>
        <w:widowControl w:val="0"/>
        <w:numPr>
          <w:ilvl w:val="0"/>
          <w:numId w:val="1"/>
        </w:numPr>
        <w:autoSpaceDE w:val="0"/>
        <w:autoSpaceDN w:val="0"/>
        <w:adjustRightInd w:val="0"/>
        <w:spacing w:line="276" w:lineRule="auto"/>
        <w:ind w:left="0" w:firstLine="567"/>
        <w:contextualSpacing/>
        <w:jc w:val="both"/>
        <w:rPr>
          <w:sz w:val="22"/>
          <w:szCs w:val="22"/>
          <w:lang w:eastAsia="lt-LT"/>
        </w:rPr>
      </w:pPr>
      <w:r w:rsidRPr="00EA5C24">
        <w:rPr>
          <w:sz w:val="22"/>
          <w:szCs w:val="22"/>
          <w:lang w:eastAsia="lt-LT"/>
        </w:rPr>
        <w:t>Paslaugų tiekėjas iki paslaugų vykdymo pradžios pateikia parengtą dumblo sertifikatą bei apskaičiuoja tręšimo apdorotu dumblu normas (tonomis sausųjų medžiagų į hektarą), galimą numatomame tręšti lauke panaudoti apdoroto dumblo kiekį (natūrinį bei sausosiomis medžiagomis) ir skaičiavimo rezultatus, patvirtina atsakingo asmens parašu</w:t>
      </w:r>
      <w:r>
        <w:rPr>
          <w:sz w:val="22"/>
          <w:szCs w:val="22"/>
          <w:lang w:eastAsia="lt-LT"/>
        </w:rPr>
        <w:t>.</w:t>
      </w:r>
    </w:p>
    <w:p w14:paraId="1F5768EB" w14:textId="3EF79072" w:rsidR="00970B8E" w:rsidRDefault="00970B8E" w:rsidP="00970B8E">
      <w:pPr>
        <w:widowControl w:val="0"/>
        <w:numPr>
          <w:ilvl w:val="0"/>
          <w:numId w:val="1"/>
        </w:numPr>
        <w:autoSpaceDE w:val="0"/>
        <w:autoSpaceDN w:val="0"/>
        <w:adjustRightInd w:val="0"/>
        <w:spacing w:line="276" w:lineRule="auto"/>
        <w:ind w:left="0" w:firstLine="567"/>
        <w:contextualSpacing/>
        <w:jc w:val="both"/>
        <w:rPr>
          <w:sz w:val="22"/>
          <w:szCs w:val="22"/>
          <w:lang w:eastAsia="lt-LT"/>
        </w:rPr>
      </w:pPr>
      <w:r>
        <w:rPr>
          <w:sz w:val="22"/>
          <w:szCs w:val="22"/>
          <w:lang w:eastAsia="lt-LT"/>
        </w:rPr>
        <w:t>Sausintas dumblas privalės būti pakrautas ir išvežtas iš atliekų susidarymo vietos. Vežėjas turi būti įregistruotas Atliekų tvarkytojų valstybės registre ir jame turi būti nurodytas miesto buitinių nuotekų valymo dumblas (kodas 19 08 05).</w:t>
      </w:r>
      <w:r w:rsidR="00EA5C24">
        <w:rPr>
          <w:sz w:val="22"/>
          <w:szCs w:val="22"/>
          <w:lang w:eastAsia="lt-LT"/>
        </w:rPr>
        <w:t xml:space="preserve"> </w:t>
      </w:r>
    </w:p>
    <w:p w14:paraId="7760B577" w14:textId="77777777" w:rsidR="00970B8E" w:rsidRDefault="00970B8E" w:rsidP="00970B8E">
      <w:pPr>
        <w:widowControl w:val="0"/>
        <w:numPr>
          <w:ilvl w:val="0"/>
          <w:numId w:val="1"/>
        </w:numPr>
        <w:autoSpaceDE w:val="0"/>
        <w:autoSpaceDN w:val="0"/>
        <w:adjustRightInd w:val="0"/>
        <w:spacing w:line="276" w:lineRule="auto"/>
        <w:ind w:left="0" w:firstLine="567"/>
        <w:contextualSpacing/>
        <w:jc w:val="both"/>
        <w:rPr>
          <w:sz w:val="22"/>
          <w:szCs w:val="22"/>
          <w:lang w:eastAsia="lt-LT"/>
        </w:rPr>
      </w:pPr>
      <w:r>
        <w:rPr>
          <w:sz w:val="22"/>
          <w:szCs w:val="22"/>
          <w:lang w:eastAsia="lt-LT"/>
        </w:rPr>
        <w:t>Paslaugų teikėjas ne vėliau kaip prieš 5 darbo dienas iki numatomo tręšimo ar iki numatytos teritorijos rekultivavimo dienos privalės raštu arba elektroniniu paštu informuoti Aplinkos apsaugos departamentą ir savivaldybę, kurios teritorijoje bus tręšiama ar bus vykdoma rekultivacija. Teikiamoje informacijoje turi būti nurodyta: tręšimo vieta, laikas, dumblo turėtojas, dumblo kiekis (išvežamo dumblo kiekis bus lygus 1 m</w:t>
      </w:r>
      <w:r>
        <w:rPr>
          <w:sz w:val="22"/>
          <w:szCs w:val="22"/>
          <w:vertAlign w:val="superscript"/>
          <w:lang w:eastAsia="lt-LT"/>
        </w:rPr>
        <w:t>3</w:t>
      </w:r>
      <w:r>
        <w:rPr>
          <w:sz w:val="22"/>
          <w:szCs w:val="22"/>
          <w:lang w:eastAsia="lt-LT"/>
        </w:rPr>
        <w:t xml:space="preserve"> lygus 1 tonai).</w:t>
      </w:r>
    </w:p>
    <w:p w14:paraId="541E9BFA" w14:textId="77777777" w:rsidR="00970B8E" w:rsidRDefault="00970B8E" w:rsidP="00970B8E">
      <w:pPr>
        <w:spacing w:line="276" w:lineRule="auto"/>
        <w:ind w:firstLine="567"/>
        <w:jc w:val="both"/>
        <w:rPr>
          <w:b/>
          <w:sz w:val="22"/>
          <w:szCs w:val="22"/>
        </w:rPr>
      </w:pPr>
      <w:r>
        <w:rPr>
          <w:b/>
          <w:sz w:val="22"/>
          <w:szCs w:val="22"/>
        </w:rPr>
        <w:t>PASLAUGOS TEIKIMAS, PRIĖMIMAS IR ATSAKOMYBĖ</w:t>
      </w:r>
    </w:p>
    <w:p w14:paraId="3552A880" w14:textId="77777777" w:rsidR="00970B8E" w:rsidRDefault="00970B8E" w:rsidP="00970B8E">
      <w:pPr>
        <w:widowControl w:val="0"/>
        <w:numPr>
          <w:ilvl w:val="0"/>
          <w:numId w:val="1"/>
        </w:numPr>
        <w:autoSpaceDE w:val="0"/>
        <w:autoSpaceDN w:val="0"/>
        <w:adjustRightInd w:val="0"/>
        <w:spacing w:line="276" w:lineRule="auto"/>
        <w:ind w:left="0" w:firstLine="567"/>
        <w:contextualSpacing/>
        <w:jc w:val="both"/>
        <w:rPr>
          <w:sz w:val="22"/>
          <w:szCs w:val="22"/>
        </w:rPr>
      </w:pPr>
      <w:r>
        <w:rPr>
          <w:b/>
          <w:sz w:val="22"/>
          <w:szCs w:val="22"/>
        </w:rPr>
        <w:t>Paslaugos Pirkėjui</w:t>
      </w:r>
      <w:r>
        <w:rPr>
          <w:sz w:val="22"/>
          <w:szCs w:val="22"/>
        </w:rPr>
        <w:t xml:space="preserve"> pasirašius atliktų darbų priėmimo-perdavimo aktą, </w:t>
      </w:r>
      <w:r>
        <w:rPr>
          <w:b/>
          <w:sz w:val="22"/>
          <w:szCs w:val="22"/>
        </w:rPr>
        <w:t>Paslaugos Teikėjas</w:t>
      </w:r>
      <w:r>
        <w:rPr>
          <w:sz w:val="22"/>
          <w:szCs w:val="22"/>
        </w:rPr>
        <w:t xml:space="preserve"> turi pateikti PVM sąskaitą-faktūrą (per SABIS sistemą) už faktiškai suteiktas Paslaugas, o </w:t>
      </w:r>
      <w:r>
        <w:rPr>
          <w:b/>
          <w:sz w:val="22"/>
          <w:szCs w:val="22"/>
        </w:rPr>
        <w:t>Paslaugos Pirkėjas</w:t>
      </w:r>
      <w:r>
        <w:rPr>
          <w:sz w:val="22"/>
          <w:szCs w:val="22"/>
        </w:rPr>
        <w:t xml:space="preserve"> įsipareigoja sumokėti pagal pateiktą sąskaitą-faktūrą per 30 (trisdešimt) kalendorinių dienų nuo sąskaitos gavimo dienos.</w:t>
      </w:r>
    </w:p>
    <w:p w14:paraId="3F1718CE" w14:textId="77777777" w:rsidR="00970B8E" w:rsidRDefault="00970B8E" w:rsidP="00970B8E">
      <w:pPr>
        <w:widowControl w:val="0"/>
        <w:numPr>
          <w:ilvl w:val="0"/>
          <w:numId w:val="1"/>
        </w:numPr>
        <w:autoSpaceDE w:val="0"/>
        <w:autoSpaceDN w:val="0"/>
        <w:adjustRightInd w:val="0"/>
        <w:spacing w:line="276" w:lineRule="auto"/>
        <w:ind w:left="0" w:firstLine="567"/>
        <w:contextualSpacing/>
        <w:jc w:val="both"/>
        <w:rPr>
          <w:sz w:val="22"/>
          <w:szCs w:val="22"/>
          <w:lang w:eastAsia="lt-LT"/>
        </w:rPr>
      </w:pPr>
      <w:r>
        <w:rPr>
          <w:sz w:val="22"/>
          <w:szCs w:val="22"/>
          <w:lang w:eastAsia="lt-LT"/>
        </w:rPr>
        <w:t>Paslaugų teikėjas bus pilnai atsakingas už paimtų atliekų apdorojimą pagal galiojančius LR teisės aktus. Jei dėl Paslaugų teikėjo veiksmų/neveikimo Pirkėjas patirs žalą ar nuostolius,  tai Paslaugos teikėjas privalės atlyginti visą žalą ir patirtus nuostolius per Pirkėjo nurodytą laiką.</w:t>
      </w:r>
    </w:p>
    <w:p w14:paraId="741F7CA9" w14:textId="77777777" w:rsidR="00970B8E" w:rsidRDefault="00970B8E" w:rsidP="00970B8E">
      <w:pPr>
        <w:widowControl w:val="0"/>
        <w:numPr>
          <w:ilvl w:val="0"/>
          <w:numId w:val="1"/>
        </w:numPr>
        <w:autoSpaceDE w:val="0"/>
        <w:autoSpaceDN w:val="0"/>
        <w:adjustRightInd w:val="0"/>
        <w:spacing w:line="276" w:lineRule="auto"/>
        <w:ind w:left="0" w:firstLine="567"/>
        <w:contextualSpacing/>
        <w:jc w:val="both"/>
        <w:rPr>
          <w:sz w:val="22"/>
          <w:szCs w:val="22"/>
        </w:rPr>
      </w:pPr>
      <w:r>
        <w:rPr>
          <w:sz w:val="22"/>
          <w:szCs w:val="22"/>
        </w:rPr>
        <w:t>Pasikeitus nurodytiems teisės norminiams aktas, be atskiro papildymo susitarimo šalys vadovaujasi prašymo pateikimo dieną ir paslaugų atlikimo metu galiojančiais teisės norminiais aktais.</w:t>
      </w:r>
    </w:p>
    <w:p w14:paraId="76FE59D3" w14:textId="77777777" w:rsidR="00970B8E" w:rsidRDefault="00970B8E" w:rsidP="00970B8E">
      <w:pPr>
        <w:spacing w:line="276" w:lineRule="auto"/>
        <w:ind w:firstLine="567"/>
        <w:jc w:val="both"/>
        <w:rPr>
          <w:sz w:val="22"/>
          <w:szCs w:val="22"/>
        </w:rPr>
      </w:pPr>
    </w:p>
    <w:p w14:paraId="3520773D" w14:textId="77777777" w:rsidR="00970B8E" w:rsidRDefault="00970B8E" w:rsidP="00970B8E">
      <w:pPr>
        <w:spacing w:after="160" w:line="256" w:lineRule="auto"/>
        <w:rPr>
          <w:rFonts w:eastAsia="Calibri"/>
          <w:i/>
          <w:iCs/>
          <w:szCs w:val="24"/>
        </w:rPr>
      </w:pPr>
    </w:p>
    <w:p w14:paraId="6CF657D3" w14:textId="77777777" w:rsidR="00B41FCA" w:rsidRDefault="00B41FCA"/>
    <w:sectPr w:rsidR="00B41FC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E025E7"/>
    <w:multiLevelType w:val="hybridMultilevel"/>
    <w:tmpl w:val="AB320872"/>
    <w:lvl w:ilvl="0" w:tplc="BCAEF316">
      <w:start w:val="1"/>
      <w:numFmt w:val="decimal"/>
      <w:lvlText w:val="%1."/>
      <w:lvlJc w:val="left"/>
      <w:pPr>
        <w:ind w:left="502" w:hanging="360"/>
      </w:pPr>
    </w:lvl>
    <w:lvl w:ilvl="1" w:tplc="04270019">
      <w:start w:val="1"/>
      <w:numFmt w:val="lowerLetter"/>
      <w:lvlText w:val="%2."/>
      <w:lvlJc w:val="left"/>
      <w:pPr>
        <w:ind w:left="1222" w:hanging="360"/>
      </w:pPr>
    </w:lvl>
    <w:lvl w:ilvl="2" w:tplc="0427001B">
      <w:start w:val="1"/>
      <w:numFmt w:val="lowerRoman"/>
      <w:lvlText w:val="%3."/>
      <w:lvlJc w:val="right"/>
      <w:pPr>
        <w:ind w:left="1942" w:hanging="180"/>
      </w:pPr>
    </w:lvl>
    <w:lvl w:ilvl="3" w:tplc="0427000F">
      <w:start w:val="1"/>
      <w:numFmt w:val="decimal"/>
      <w:lvlText w:val="%4."/>
      <w:lvlJc w:val="left"/>
      <w:pPr>
        <w:ind w:left="2662" w:hanging="360"/>
      </w:pPr>
    </w:lvl>
    <w:lvl w:ilvl="4" w:tplc="04270019">
      <w:start w:val="1"/>
      <w:numFmt w:val="lowerLetter"/>
      <w:lvlText w:val="%5."/>
      <w:lvlJc w:val="left"/>
      <w:pPr>
        <w:ind w:left="3382" w:hanging="360"/>
      </w:pPr>
    </w:lvl>
    <w:lvl w:ilvl="5" w:tplc="0427001B">
      <w:start w:val="1"/>
      <w:numFmt w:val="lowerRoman"/>
      <w:lvlText w:val="%6."/>
      <w:lvlJc w:val="right"/>
      <w:pPr>
        <w:ind w:left="4102" w:hanging="180"/>
      </w:pPr>
    </w:lvl>
    <w:lvl w:ilvl="6" w:tplc="0427000F">
      <w:start w:val="1"/>
      <w:numFmt w:val="decimal"/>
      <w:lvlText w:val="%7."/>
      <w:lvlJc w:val="left"/>
      <w:pPr>
        <w:ind w:left="4822" w:hanging="360"/>
      </w:pPr>
    </w:lvl>
    <w:lvl w:ilvl="7" w:tplc="04270019">
      <w:start w:val="1"/>
      <w:numFmt w:val="lowerLetter"/>
      <w:lvlText w:val="%8."/>
      <w:lvlJc w:val="left"/>
      <w:pPr>
        <w:ind w:left="5542" w:hanging="360"/>
      </w:pPr>
    </w:lvl>
    <w:lvl w:ilvl="8" w:tplc="0427001B">
      <w:start w:val="1"/>
      <w:numFmt w:val="lowerRoman"/>
      <w:lvlText w:val="%9."/>
      <w:lvlJc w:val="right"/>
      <w:pPr>
        <w:ind w:left="6262" w:hanging="180"/>
      </w:pPr>
    </w:lvl>
  </w:abstractNum>
  <w:num w:numId="1" w16cid:durableId="18018473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B8E"/>
    <w:rsid w:val="002B4BD7"/>
    <w:rsid w:val="00604489"/>
    <w:rsid w:val="00916384"/>
    <w:rsid w:val="00970B8E"/>
    <w:rsid w:val="00986D26"/>
    <w:rsid w:val="00B41FCA"/>
    <w:rsid w:val="00EA5C2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0FFF"/>
  <w15:chartTrackingRefBased/>
  <w15:docId w15:val="{0A7CEE95-5E01-48DD-AB91-1C7D7036C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70B8E"/>
    <w:pPr>
      <w:spacing w:after="0" w:line="240" w:lineRule="auto"/>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970B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970B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970B8E"/>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970B8E"/>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970B8E"/>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970B8E"/>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70B8E"/>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70B8E"/>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70B8E"/>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70B8E"/>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970B8E"/>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970B8E"/>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970B8E"/>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970B8E"/>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970B8E"/>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70B8E"/>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70B8E"/>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70B8E"/>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70B8E"/>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70B8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70B8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70B8E"/>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70B8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70B8E"/>
    <w:rPr>
      <w:i/>
      <w:iCs/>
      <w:color w:val="404040" w:themeColor="text1" w:themeTint="BF"/>
    </w:rPr>
  </w:style>
  <w:style w:type="paragraph" w:styleId="Sraopastraipa">
    <w:name w:val="List Paragraph"/>
    <w:basedOn w:val="prastasis"/>
    <w:uiPriority w:val="34"/>
    <w:qFormat/>
    <w:rsid w:val="00970B8E"/>
    <w:pPr>
      <w:ind w:left="720"/>
      <w:contextualSpacing/>
    </w:pPr>
  </w:style>
  <w:style w:type="character" w:styleId="Rykuspabraukimas">
    <w:name w:val="Intense Emphasis"/>
    <w:basedOn w:val="Numatytasispastraiposriftas"/>
    <w:uiPriority w:val="21"/>
    <w:qFormat/>
    <w:rsid w:val="00970B8E"/>
    <w:rPr>
      <w:i/>
      <w:iCs/>
      <w:color w:val="2F5496" w:themeColor="accent1" w:themeShade="BF"/>
    </w:rPr>
  </w:style>
  <w:style w:type="paragraph" w:styleId="Iskirtacitata">
    <w:name w:val="Intense Quote"/>
    <w:basedOn w:val="prastasis"/>
    <w:next w:val="prastasis"/>
    <w:link w:val="IskirtacitataDiagrama"/>
    <w:uiPriority w:val="30"/>
    <w:qFormat/>
    <w:rsid w:val="00970B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970B8E"/>
    <w:rPr>
      <w:i/>
      <w:iCs/>
      <w:color w:val="2F5496" w:themeColor="accent1" w:themeShade="BF"/>
    </w:rPr>
  </w:style>
  <w:style w:type="character" w:styleId="Rykinuoroda">
    <w:name w:val="Intense Reference"/>
    <w:basedOn w:val="Numatytasispastraiposriftas"/>
    <w:uiPriority w:val="32"/>
    <w:qFormat/>
    <w:rsid w:val="00970B8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3705</Words>
  <Characters>2113</Characters>
  <Application>Microsoft Office Word</Application>
  <DocSecurity>0</DocSecurity>
  <Lines>17</Lines>
  <Paragraphs>11</Paragraphs>
  <ScaleCrop>false</ScaleCrop>
  <Company/>
  <LinksUpToDate>false</LinksUpToDate>
  <CharactersWithSpaces>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Aušra Latakienė</dc:creator>
  <cp:keywords/>
  <dc:description/>
  <cp:lastModifiedBy>Aušra Latakienė</cp:lastModifiedBy>
  <cp:revision>3</cp:revision>
  <dcterms:created xsi:type="dcterms:W3CDTF">2026-11-03T08:22:00Z</dcterms:created>
  <dcterms:modified xsi:type="dcterms:W3CDTF">2026-11-03T13:32:00Z</dcterms:modified>
</cp:coreProperties>
</file>