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BD6E8" w14:textId="660E7D80" w:rsidR="00300C7E" w:rsidRPr="00300C7E" w:rsidRDefault="00300C7E" w:rsidP="00300C7E">
      <w:pPr>
        <w:pStyle w:val="Default"/>
        <w:jc w:val="center"/>
        <w:rPr>
          <w:rFonts w:ascii="Times New Roman" w:hAnsi="Times New Roman" w:cs="Times New Roman"/>
          <w:b/>
          <w:bCs/>
          <w:sz w:val="24"/>
          <w:szCs w:val="24"/>
          <w:lang w:val="pt-BR"/>
        </w:rPr>
      </w:pPr>
      <w:r w:rsidRPr="00300C7E">
        <w:rPr>
          <w:rFonts w:ascii="Times New Roman" w:hAnsi="Times New Roman" w:cs="Times New Roman"/>
          <w:b/>
          <w:bCs/>
          <w:sz w:val="24"/>
          <w:szCs w:val="24"/>
          <w:lang w:val="pt-BR"/>
        </w:rPr>
        <w:t>Viešoji įstaiga Respublikinė Vilniaus psichiatrijos ligoninė</w:t>
      </w:r>
    </w:p>
    <w:p w14:paraId="6A6DB866" w14:textId="77777777" w:rsidR="00300C7E" w:rsidRDefault="00300C7E" w:rsidP="004B0059">
      <w:pPr>
        <w:pStyle w:val="Default"/>
        <w:rPr>
          <w:rFonts w:ascii="Times New Roman" w:hAnsi="Times New Roman" w:cs="Times New Roman"/>
          <w:sz w:val="24"/>
          <w:szCs w:val="24"/>
          <w:lang w:val="pt-BR"/>
        </w:rPr>
      </w:pPr>
    </w:p>
    <w:p w14:paraId="498A9F4F" w14:textId="77777777" w:rsidR="00300C7E" w:rsidRDefault="00300C7E" w:rsidP="004B0059">
      <w:pPr>
        <w:pStyle w:val="Default"/>
        <w:rPr>
          <w:rFonts w:ascii="Times New Roman" w:hAnsi="Times New Roman" w:cs="Times New Roman"/>
          <w:sz w:val="24"/>
          <w:szCs w:val="24"/>
          <w:lang w:val="pt-BR"/>
        </w:rPr>
      </w:pPr>
    </w:p>
    <w:p w14:paraId="6733732E" w14:textId="45F455C1" w:rsidR="000D31E1" w:rsidRDefault="000D31E1" w:rsidP="004B0059">
      <w:pPr>
        <w:pStyle w:val="Default"/>
        <w:rPr>
          <w:sz w:val="22"/>
          <w:szCs w:val="22"/>
        </w:rPr>
      </w:pPr>
      <w:r>
        <w:rPr>
          <w:rFonts w:eastAsia="Arial Unicode MS"/>
          <w:b/>
          <w:bCs/>
          <w:sz w:val="22"/>
          <w:szCs w:val="22"/>
        </w:rPr>
        <w:t xml:space="preserve">DĖL PIRKIMO DOKUMENTŲ PAAIŠKINIMO </w:t>
      </w:r>
    </w:p>
    <w:p w14:paraId="3BD6A2D9" w14:textId="77777777" w:rsidR="000D31E1" w:rsidRPr="004B0059" w:rsidRDefault="000D31E1" w:rsidP="004B0059">
      <w:pPr>
        <w:pStyle w:val="Default"/>
        <w:spacing w:line="360" w:lineRule="auto"/>
        <w:jc w:val="both"/>
        <w:rPr>
          <w:rFonts w:ascii="Times New Roman" w:hAnsi="Times New Roman" w:cs="Times New Roman"/>
          <w:sz w:val="24"/>
          <w:szCs w:val="24"/>
        </w:rPr>
      </w:pPr>
    </w:p>
    <w:p w14:paraId="34323154" w14:textId="1138139F" w:rsidR="000D31E1" w:rsidRPr="004B0059" w:rsidRDefault="000D31E1" w:rsidP="00300C7E">
      <w:pPr>
        <w:jc w:val="both"/>
      </w:pPr>
      <w:r w:rsidRPr="004B0059">
        <w:t xml:space="preserve">            Viešoji įstaiga Respublikinė Vilniaus psichiatrijos ligoninė (toliau – Perkančioji organizacija) gavo tiekėjo klausimą dėl vykdomo pirkimo </w:t>
      </w:r>
      <w:r w:rsidRPr="004B0059">
        <w:rPr>
          <w:rFonts w:eastAsia="Times New Roman"/>
          <w:b/>
          <w:bCs/>
          <w:i/>
          <w:iCs/>
          <w:lang w:eastAsia="en-GB"/>
        </w:rPr>
        <w:t>Nr. 602. Archyvo patalpų įrengimas</w:t>
      </w:r>
      <w:r w:rsidR="00451A4C">
        <w:rPr>
          <w:rFonts w:eastAsia="Times New Roman"/>
          <w:b/>
          <w:bCs/>
          <w:i/>
          <w:iCs/>
          <w:lang w:eastAsia="en-GB"/>
        </w:rPr>
        <w:t xml:space="preserve"> </w:t>
      </w:r>
      <w:r w:rsidRPr="004B0059">
        <w:t>(</w:t>
      </w:r>
      <w:r w:rsidRPr="004B0059">
        <w:rPr>
          <w:shd w:val="clear" w:color="auto" w:fill="FFFFFF"/>
        </w:rPr>
        <w:t xml:space="preserve">Pirkimo ID </w:t>
      </w:r>
      <w:r w:rsidRPr="004B0059">
        <w:rPr>
          <w:color w:val="00241A"/>
          <w:shd w:val="clear" w:color="auto" w:fill="FFFFFF"/>
        </w:rPr>
        <w:t>10078484</w:t>
      </w:r>
      <w:r w:rsidRPr="004B0059">
        <w:rPr>
          <w:shd w:val="clear" w:color="auto" w:fill="FFFFFF"/>
        </w:rPr>
        <w:t>)</w:t>
      </w:r>
      <w:r w:rsidRPr="004B0059">
        <w:rPr>
          <w:i/>
          <w:iCs/>
          <w:shd w:val="clear" w:color="auto" w:fill="FFFFFF"/>
        </w:rPr>
        <w:t xml:space="preserve"> </w:t>
      </w:r>
      <w:r w:rsidRPr="004B0059">
        <w:t>dokumentų.</w:t>
      </w:r>
    </w:p>
    <w:p w14:paraId="049B3CD6" w14:textId="77777777" w:rsidR="000D31E1" w:rsidRPr="004B0059" w:rsidRDefault="000D31E1" w:rsidP="000D31E1">
      <w:pPr>
        <w:pBdr>
          <w:left w:val="none" w:sz="0" w:space="4" w:color="000000"/>
        </w:pBdr>
        <w:ind w:firstLine="567"/>
        <w:jc w:val="both"/>
        <w:rPr>
          <w:b/>
          <w:bCs/>
        </w:rPr>
      </w:pPr>
      <w:r w:rsidRPr="004B0059">
        <w:t>Perkančioji organizacija teikia suinteresuotų tiekėjų klausimus ir atsakymus į juos</w:t>
      </w:r>
      <w:r w:rsidRPr="004B0059">
        <w:rPr>
          <w:vertAlign w:val="superscript"/>
        </w:rPr>
        <w:t>*</w:t>
      </w:r>
      <w:r w:rsidRPr="004B0059">
        <w:t>:</w:t>
      </w:r>
    </w:p>
    <w:tbl>
      <w:tblPr>
        <w:tblW w:w="5000" w:type="pct"/>
        <w:tblInd w:w="10" w:type="dxa"/>
        <w:tblLayout w:type="fixed"/>
        <w:tblCellMar>
          <w:left w:w="0" w:type="dxa"/>
          <w:right w:w="0" w:type="dxa"/>
        </w:tblCellMar>
        <w:tblLook w:val="0000" w:firstRow="0" w:lastRow="0" w:firstColumn="0" w:lastColumn="0" w:noHBand="0" w:noVBand="0"/>
      </w:tblPr>
      <w:tblGrid>
        <w:gridCol w:w="371"/>
        <w:gridCol w:w="5066"/>
        <w:gridCol w:w="4191"/>
      </w:tblGrid>
      <w:tr w:rsidR="000D31E1" w:rsidRPr="004B0059" w14:paraId="0B3B1F69" w14:textId="77777777" w:rsidTr="000D31E1">
        <w:trPr>
          <w:trHeight w:val="521"/>
        </w:trPr>
        <w:tc>
          <w:tcPr>
            <w:tcW w:w="371" w:type="dxa"/>
            <w:tcBorders>
              <w:top w:val="single" w:sz="4" w:space="0" w:color="000000"/>
              <w:left w:val="single" w:sz="4" w:space="0" w:color="000000"/>
              <w:bottom w:val="single" w:sz="4" w:space="0" w:color="000000"/>
              <w:right w:val="single" w:sz="4" w:space="0" w:color="000000"/>
            </w:tcBorders>
          </w:tcPr>
          <w:p w14:paraId="52797EA3" w14:textId="77777777" w:rsidR="000D31E1" w:rsidRPr="004B0059" w:rsidRDefault="000D31E1" w:rsidP="008C5F7E">
            <w:pPr>
              <w:spacing w:line="276" w:lineRule="auto"/>
              <w:jc w:val="both"/>
            </w:pPr>
            <w:r w:rsidRPr="004B0059">
              <w:rPr>
                <w:b/>
                <w:bCs/>
              </w:rPr>
              <w:t>Eil. Nr.</w:t>
            </w:r>
          </w:p>
        </w:tc>
        <w:tc>
          <w:tcPr>
            <w:tcW w:w="5066" w:type="dxa"/>
            <w:tcBorders>
              <w:top w:val="single" w:sz="4" w:space="0" w:color="000000"/>
              <w:left w:val="single" w:sz="4" w:space="0" w:color="000000"/>
              <w:bottom w:val="single" w:sz="4" w:space="0" w:color="000000"/>
              <w:right w:val="single" w:sz="4" w:space="0" w:color="000000"/>
            </w:tcBorders>
            <w:vAlign w:val="center"/>
          </w:tcPr>
          <w:p w14:paraId="19FC0317" w14:textId="77777777" w:rsidR="000D31E1" w:rsidRPr="004B0059" w:rsidRDefault="000D31E1" w:rsidP="008C5F7E">
            <w:pPr>
              <w:spacing w:line="276" w:lineRule="auto"/>
              <w:jc w:val="center"/>
            </w:pPr>
            <w:r w:rsidRPr="004B0059">
              <w:rPr>
                <w:b/>
                <w:bCs/>
              </w:rPr>
              <w:t>Klausimas</w:t>
            </w:r>
          </w:p>
        </w:tc>
        <w:tc>
          <w:tcPr>
            <w:tcW w:w="4191" w:type="dxa"/>
            <w:tcBorders>
              <w:top w:val="single" w:sz="4" w:space="0" w:color="000000"/>
              <w:left w:val="single" w:sz="4" w:space="0" w:color="000000"/>
              <w:bottom w:val="single" w:sz="4" w:space="0" w:color="000000"/>
              <w:right w:val="single" w:sz="4" w:space="0" w:color="000000"/>
            </w:tcBorders>
            <w:vAlign w:val="center"/>
          </w:tcPr>
          <w:p w14:paraId="740F54F5" w14:textId="77777777" w:rsidR="000D31E1" w:rsidRPr="004B0059" w:rsidRDefault="000D31E1" w:rsidP="008C5F7E">
            <w:pPr>
              <w:spacing w:line="276" w:lineRule="auto"/>
              <w:jc w:val="center"/>
            </w:pPr>
            <w:r w:rsidRPr="004B0059">
              <w:rPr>
                <w:b/>
                <w:bCs/>
              </w:rPr>
              <w:t>Atsakymai</w:t>
            </w:r>
          </w:p>
        </w:tc>
      </w:tr>
      <w:tr w:rsidR="000D31E1" w:rsidRPr="004B0059" w14:paraId="7686A728" w14:textId="77777777" w:rsidTr="004B0059">
        <w:trPr>
          <w:trHeight w:val="2751"/>
        </w:trPr>
        <w:tc>
          <w:tcPr>
            <w:tcW w:w="371" w:type="dxa"/>
            <w:tcBorders>
              <w:top w:val="single" w:sz="4" w:space="0" w:color="000000"/>
              <w:left w:val="single" w:sz="4" w:space="0" w:color="000000"/>
              <w:bottom w:val="single" w:sz="4" w:space="0" w:color="000000"/>
              <w:right w:val="single" w:sz="4" w:space="0" w:color="000000"/>
            </w:tcBorders>
            <w:vAlign w:val="center"/>
          </w:tcPr>
          <w:p w14:paraId="7630C1E7" w14:textId="77777777" w:rsidR="000D31E1" w:rsidRPr="004B0059" w:rsidRDefault="000D31E1" w:rsidP="008C5F7E">
            <w:pPr>
              <w:spacing w:line="276" w:lineRule="auto"/>
              <w:jc w:val="center"/>
            </w:pPr>
            <w:r w:rsidRPr="004B0059">
              <w:t>1</w:t>
            </w:r>
          </w:p>
        </w:tc>
        <w:tc>
          <w:tcPr>
            <w:tcW w:w="5066" w:type="dxa"/>
            <w:tcBorders>
              <w:top w:val="single" w:sz="4" w:space="0" w:color="000000"/>
              <w:left w:val="single" w:sz="4" w:space="0" w:color="000000"/>
              <w:bottom w:val="single" w:sz="4" w:space="0" w:color="000000"/>
              <w:right w:val="single" w:sz="4" w:space="0" w:color="000000"/>
            </w:tcBorders>
          </w:tcPr>
          <w:p w14:paraId="08F01684" w14:textId="519160DF" w:rsidR="000D31E1" w:rsidRPr="004B0059" w:rsidRDefault="000D31E1" w:rsidP="004B0059">
            <w:pPr>
              <w:jc w:val="both"/>
            </w:pPr>
            <w:r w:rsidRPr="004B0059">
              <w:rPr>
                <w:color w:val="00241A"/>
                <w:shd w:val="clear" w:color="auto" w:fill="FFFFFF"/>
              </w:rPr>
              <w:t>Pirkimo dokumentuose numatyta šiluminės trasos pravedimas grindimis. Taip pat dokumentuose nurodoma, kad objektas yra KPD. Patikslinkite ar grindis bus galima ardyti, ar nėra saugotinas elementas? Nurodoma, kad turi būti įrengta vėdinimo sistema (</w:t>
            </w:r>
            <w:proofErr w:type="spellStart"/>
            <w:r w:rsidRPr="004B0059">
              <w:rPr>
                <w:color w:val="00241A"/>
                <w:shd w:val="clear" w:color="auto" w:fill="FFFFFF"/>
              </w:rPr>
              <w:t>rekuperatoriai</w:t>
            </w:r>
            <w:proofErr w:type="spellEnd"/>
            <w:r w:rsidRPr="004B0059">
              <w:rPr>
                <w:color w:val="00241A"/>
                <w:shd w:val="clear" w:color="auto" w:fill="FFFFFF"/>
              </w:rPr>
              <w:t>) archyvaro patalpose. Patikslinkite ar archyvaro patalpos naudojamos, kaip saugykla ar tai yra darbuotojų darbo patalpos, kadangi skiriasi reikalavimai.</w:t>
            </w:r>
          </w:p>
        </w:tc>
        <w:tc>
          <w:tcPr>
            <w:tcW w:w="4191" w:type="dxa"/>
            <w:tcBorders>
              <w:top w:val="single" w:sz="4" w:space="0" w:color="000000"/>
              <w:left w:val="single" w:sz="4" w:space="0" w:color="000000"/>
              <w:bottom w:val="single" w:sz="4" w:space="0" w:color="000000"/>
              <w:right w:val="single" w:sz="4" w:space="0" w:color="000000"/>
            </w:tcBorders>
          </w:tcPr>
          <w:p w14:paraId="56973724" w14:textId="77777777" w:rsidR="006004F8" w:rsidRPr="006004F8" w:rsidRDefault="006004F8" w:rsidP="006004F8">
            <w:pPr>
              <w:jc w:val="both"/>
              <w:rPr>
                <w:color w:val="000000" w:themeColor="text1"/>
              </w:rPr>
            </w:pPr>
            <w:r w:rsidRPr="006004F8">
              <w:rPr>
                <w:color w:val="000000" w:themeColor="text1"/>
              </w:rPr>
              <w:t>Informuojame, kad pagal statinio vertingųjų savybių aktą (Aštuntas korpusas, Parko g. 21, Vilnius) grindys nevertintos.</w:t>
            </w:r>
          </w:p>
          <w:p w14:paraId="7D9C76CE" w14:textId="7E70463F" w:rsidR="000D31E1" w:rsidRPr="006004F8" w:rsidRDefault="006004F8" w:rsidP="006004F8">
            <w:pPr>
              <w:jc w:val="both"/>
              <w:rPr>
                <w:color w:val="FF0000"/>
              </w:rPr>
            </w:pPr>
            <w:r w:rsidRPr="006004F8">
              <w:rPr>
                <w:color w:val="000000" w:themeColor="text1"/>
              </w:rPr>
              <w:t>Remontuojamos patalpos, esančios 2-ame aukšte, bus naudojamos kaip saugykla (paprastam saugojimui).</w:t>
            </w:r>
          </w:p>
        </w:tc>
      </w:tr>
    </w:tbl>
    <w:p w14:paraId="0F5AF26F" w14:textId="77777777" w:rsidR="000D31E1" w:rsidRPr="004B0059" w:rsidRDefault="000D31E1" w:rsidP="000D31E1">
      <w:pPr>
        <w:tabs>
          <w:tab w:val="left" w:pos="851"/>
        </w:tabs>
        <w:spacing w:line="276" w:lineRule="auto"/>
        <w:ind w:firstLine="567"/>
        <w:jc w:val="both"/>
        <w:rPr>
          <w:i/>
          <w:iCs/>
        </w:rPr>
      </w:pPr>
      <w:r w:rsidRPr="004B0059">
        <w:rPr>
          <w:i/>
          <w:iCs/>
          <w:vertAlign w:val="superscript"/>
        </w:rPr>
        <w:t>*</w:t>
      </w:r>
      <w:r w:rsidRPr="004B0059">
        <w:rPr>
          <w:i/>
          <w:iCs/>
        </w:rPr>
        <w:t>Čia ir kitur suinteresuoto (-ų) tiekėjo (-ų) prašymo (-ų) paaiškinti / patikslinti pirkimo dokumentus tekstas neredaguotas.</w:t>
      </w:r>
    </w:p>
    <w:p w14:paraId="2F135096" w14:textId="77777777" w:rsidR="000D31E1" w:rsidRPr="004B0059" w:rsidRDefault="000D31E1" w:rsidP="000D31E1">
      <w:pPr>
        <w:tabs>
          <w:tab w:val="left" w:pos="851"/>
        </w:tabs>
        <w:spacing w:line="276" w:lineRule="auto"/>
        <w:ind w:firstLine="567"/>
        <w:jc w:val="both"/>
      </w:pPr>
      <w:r w:rsidRPr="004B0059">
        <w:rPr>
          <w:i/>
          <w:iCs/>
        </w:rPr>
        <w:t>Pateikiami Pirkimo sąlygų paaiškinimai / patikslinimai laikomi neatsiejama Pirkimo sąlygų dalimi, ir jų nuostatos turi viršenybę prieš ankstesniuose Pirkimo dokumentuose išdėstytas nuostatas. Prašome jais vadovautis teikiant pasiūlymus.</w:t>
      </w:r>
    </w:p>
    <w:p w14:paraId="2F084FA9" w14:textId="77777777" w:rsidR="009A109C" w:rsidRPr="004B0059" w:rsidRDefault="009A109C"/>
    <w:p w14:paraId="708F08E8" w14:textId="77777777" w:rsidR="004B0059" w:rsidRPr="004B0059" w:rsidRDefault="004B0059"/>
    <w:sectPr w:rsidR="004B0059" w:rsidRPr="004B0059">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1E1"/>
    <w:rsid w:val="000D31E1"/>
    <w:rsid w:val="00213749"/>
    <w:rsid w:val="002F144E"/>
    <w:rsid w:val="00300C7E"/>
    <w:rsid w:val="00451A4C"/>
    <w:rsid w:val="004B0059"/>
    <w:rsid w:val="004E1785"/>
    <w:rsid w:val="006004F8"/>
    <w:rsid w:val="0061270E"/>
    <w:rsid w:val="00816951"/>
    <w:rsid w:val="0095050B"/>
    <w:rsid w:val="009A109C"/>
    <w:rsid w:val="00A35EF8"/>
    <w:rsid w:val="00B3150D"/>
    <w:rsid w:val="00DC5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7C55B"/>
  <w15:chartTrackingRefBased/>
  <w15:docId w15:val="{7208D916-4A3B-4572-A02B-69953137E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31E1"/>
    <w:pPr>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Times New Roman"/>
      <w:kern w:val="0"/>
      <w:sz w:val="24"/>
      <w:szCs w:val="24"/>
      <w:bdr w:val="none" w:sz="0" w:space="0" w:color="000000"/>
      <w:lang w:val="lt-LT"/>
      <w14:ligatures w14:val="none"/>
    </w:rPr>
  </w:style>
  <w:style w:type="paragraph" w:styleId="Antrat1">
    <w:name w:val="heading 1"/>
    <w:basedOn w:val="prastasis"/>
    <w:next w:val="prastasis"/>
    <w:link w:val="Antrat1Diagrama"/>
    <w:uiPriority w:val="9"/>
    <w:qFormat/>
    <w:rsid w:val="000D31E1"/>
    <w:pPr>
      <w:keepNext/>
      <w:keepLines/>
      <w:pBdr>
        <w:top w:val="none" w:sz="0" w:space="0" w:color="auto"/>
        <w:left w:val="none" w:sz="0" w:space="0" w:color="auto"/>
        <w:bottom w:val="none" w:sz="0" w:space="0" w:color="auto"/>
        <w:right w:val="none" w:sz="0" w:space="0" w:color="auto"/>
      </w:pBdr>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bdr w:val="none" w:sz="0" w:space="0" w:color="auto"/>
      <w:lang w:val="en-GB"/>
      <w14:ligatures w14:val="standardContextual"/>
    </w:rPr>
  </w:style>
  <w:style w:type="paragraph" w:styleId="Antrat2">
    <w:name w:val="heading 2"/>
    <w:basedOn w:val="prastasis"/>
    <w:next w:val="prastasis"/>
    <w:link w:val="Antrat2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bdr w:val="none" w:sz="0" w:space="0" w:color="auto"/>
      <w:lang w:val="en-GB"/>
      <w14:ligatures w14:val="standardContextual"/>
    </w:rPr>
  </w:style>
  <w:style w:type="paragraph" w:styleId="Antrat3">
    <w:name w:val="heading 3"/>
    <w:basedOn w:val="prastasis"/>
    <w:next w:val="prastasis"/>
    <w:link w:val="Antrat3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bdr w:val="none" w:sz="0" w:space="0" w:color="auto"/>
      <w:lang w:val="en-GB"/>
      <w14:ligatures w14:val="standardContextual"/>
    </w:rPr>
  </w:style>
  <w:style w:type="paragraph" w:styleId="Antrat4">
    <w:name w:val="heading 4"/>
    <w:basedOn w:val="prastasis"/>
    <w:next w:val="prastasis"/>
    <w:link w:val="Antrat4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bdr w:val="none" w:sz="0" w:space="0" w:color="auto"/>
      <w:lang w:val="en-GB"/>
      <w14:ligatures w14:val="standardContextual"/>
    </w:rPr>
  </w:style>
  <w:style w:type="paragraph" w:styleId="Antrat5">
    <w:name w:val="heading 5"/>
    <w:basedOn w:val="prastasis"/>
    <w:next w:val="prastasis"/>
    <w:link w:val="Antrat5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bdr w:val="none" w:sz="0" w:space="0" w:color="auto"/>
      <w:lang w:val="en-GB"/>
      <w14:ligatures w14:val="standardContextual"/>
    </w:rPr>
  </w:style>
  <w:style w:type="paragraph" w:styleId="Antrat6">
    <w:name w:val="heading 6"/>
    <w:basedOn w:val="prastasis"/>
    <w:next w:val="prastasis"/>
    <w:link w:val="Antrat6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val="en-GB"/>
      <w14:ligatures w14:val="standardContextual"/>
    </w:rPr>
  </w:style>
  <w:style w:type="paragraph" w:styleId="Antrat7">
    <w:name w:val="heading 7"/>
    <w:basedOn w:val="prastasis"/>
    <w:next w:val="prastasis"/>
    <w:link w:val="Antrat7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lang w:val="en-GB"/>
      <w14:ligatures w14:val="standardContextual"/>
    </w:rPr>
  </w:style>
  <w:style w:type="paragraph" w:styleId="Antrat8">
    <w:name w:val="heading 8"/>
    <w:basedOn w:val="prastasis"/>
    <w:next w:val="prastasis"/>
    <w:link w:val="Antrat8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val="en-GB"/>
      <w14:ligatures w14:val="standardContextual"/>
    </w:rPr>
  </w:style>
  <w:style w:type="paragraph" w:styleId="Antrat9">
    <w:name w:val="heading 9"/>
    <w:basedOn w:val="prastasis"/>
    <w:next w:val="prastasis"/>
    <w:link w:val="Antrat9Diagrama"/>
    <w:uiPriority w:val="9"/>
    <w:semiHidden/>
    <w:unhideWhenUsed/>
    <w:qFormat/>
    <w:rsid w:val="000D31E1"/>
    <w:pPr>
      <w:keepNext/>
      <w:keepLines/>
      <w:pBdr>
        <w:top w:val="none" w:sz="0" w:space="0" w:color="auto"/>
        <w:left w:val="none" w:sz="0" w:space="0" w:color="auto"/>
        <w:bottom w:val="none" w:sz="0" w:space="0" w:color="auto"/>
        <w:right w:val="none" w:sz="0" w:space="0" w:color="auto"/>
      </w:pBdr>
      <w:suppressAutoHyphens w:val="0"/>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lang w:val="en-GB"/>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D31E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D31E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D31E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D31E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D31E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D31E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D31E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D31E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D31E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D31E1"/>
    <w:pPr>
      <w:pBdr>
        <w:top w:val="none" w:sz="0" w:space="0" w:color="auto"/>
        <w:left w:val="none" w:sz="0" w:space="0" w:color="auto"/>
        <w:bottom w:val="none" w:sz="0" w:space="0" w:color="auto"/>
        <w:right w:val="none" w:sz="0" w:space="0" w:color="auto"/>
      </w:pBdr>
      <w:suppressAutoHyphens w:val="0"/>
      <w:spacing w:after="80"/>
      <w:contextualSpacing/>
    </w:pPr>
    <w:rPr>
      <w:rFonts w:asciiTheme="majorHAnsi" w:eastAsiaTheme="majorEastAsia" w:hAnsiTheme="majorHAnsi" w:cstheme="majorBidi"/>
      <w:spacing w:val="-10"/>
      <w:kern w:val="28"/>
      <w:sz w:val="56"/>
      <w:szCs w:val="56"/>
      <w:bdr w:val="none" w:sz="0" w:space="0" w:color="auto"/>
      <w:lang w:val="en-GB"/>
      <w14:ligatures w14:val="standardContextual"/>
    </w:rPr>
  </w:style>
  <w:style w:type="character" w:customStyle="1" w:styleId="PavadinimasDiagrama">
    <w:name w:val="Pavadinimas Diagrama"/>
    <w:basedOn w:val="Numatytasispastraiposriftas"/>
    <w:link w:val="Pavadinimas"/>
    <w:uiPriority w:val="10"/>
    <w:rsid w:val="000D31E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D31E1"/>
    <w:pPr>
      <w:numPr>
        <w:ilvl w:val="1"/>
      </w:numPr>
      <w:pBdr>
        <w:top w:val="none" w:sz="0" w:space="0" w:color="auto"/>
        <w:left w:val="none" w:sz="0" w:space="0" w:color="auto"/>
        <w:bottom w:val="none" w:sz="0" w:space="0" w:color="auto"/>
        <w:right w:val="none" w:sz="0" w:space="0" w:color="auto"/>
      </w:pBd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val="en-GB"/>
      <w14:ligatures w14:val="standardContextual"/>
    </w:rPr>
  </w:style>
  <w:style w:type="character" w:customStyle="1" w:styleId="PaantratDiagrama">
    <w:name w:val="Paantraštė Diagrama"/>
    <w:basedOn w:val="Numatytasispastraiposriftas"/>
    <w:link w:val="Paantrat"/>
    <w:uiPriority w:val="11"/>
    <w:rsid w:val="000D31E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D31E1"/>
    <w:pPr>
      <w:pBdr>
        <w:top w:val="none" w:sz="0" w:space="0" w:color="auto"/>
        <w:left w:val="none" w:sz="0" w:space="0" w:color="auto"/>
        <w:bottom w:val="none" w:sz="0" w:space="0" w:color="auto"/>
        <w:right w:val="none" w:sz="0" w:space="0" w:color="auto"/>
      </w:pBd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lang w:val="en-GB"/>
      <w14:ligatures w14:val="standardContextual"/>
    </w:rPr>
  </w:style>
  <w:style w:type="character" w:customStyle="1" w:styleId="CitataDiagrama">
    <w:name w:val="Citata Diagrama"/>
    <w:basedOn w:val="Numatytasispastraiposriftas"/>
    <w:link w:val="Citata"/>
    <w:uiPriority w:val="29"/>
    <w:rsid w:val="000D31E1"/>
    <w:rPr>
      <w:i/>
      <w:iCs/>
      <w:color w:val="404040" w:themeColor="text1" w:themeTint="BF"/>
    </w:rPr>
  </w:style>
  <w:style w:type="paragraph" w:styleId="Sraopastraipa">
    <w:name w:val="List Paragraph"/>
    <w:basedOn w:val="prastasis"/>
    <w:uiPriority w:val="34"/>
    <w:qFormat/>
    <w:rsid w:val="000D31E1"/>
    <w:pPr>
      <w:pBdr>
        <w:top w:val="none" w:sz="0" w:space="0" w:color="auto"/>
        <w:left w:val="none" w:sz="0" w:space="0" w:color="auto"/>
        <w:bottom w:val="none" w:sz="0" w:space="0" w:color="auto"/>
        <w:right w:val="none" w:sz="0" w:space="0" w:color="auto"/>
      </w:pBdr>
      <w:suppressAutoHyphens w:val="0"/>
      <w:spacing w:after="160" w:line="259" w:lineRule="auto"/>
      <w:ind w:left="720"/>
      <w:contextualSpacing/>
    </w:pPr>
    <w:rPr>
      <w:rFonts w:asciiTheme="minorHAnsi" w:eastAsiaTheme="minorHAnsi" w:hAnsiTheme="minorHAnsi" w:cstheme="minorBidi"/>
      <w:kern w:val="2"/>
      <w:sz w:val="22"/>
      <w:szCs w:val="22"/>
      <w:bdr w:val="none" w:sz="0" w:space="0" w:color="auto"/>
      <w:lang w:val="en-GB"/>
      <w14:ligatures w14:val="standardContextual"/>
    </w:rPr>
  </w:style>
  <w:style w:type="character" w:styleId="Rykuspabraukimas">
    <w:name w:val="Intense Emphasis"/>
    <w:basedOn w:val="Numatytasispastraiposriftas"/>
    <w:uiPriority w:val="21"/>
    <w:qFormat/>
    <w:rsid w:val="000D31E1"/>
    <w:rPr>
      <w:i/>
      <w:iCs/>
      <w:color w:val="2F5496" w:themeColor="accent1" w:themeShade="BF"/>
    </w:rPr>
  </w:style>
  <w:style w:type="paragraph" w:styleId="Iskirtacitata">
    <w:name w:val="Intense Quote"/>
    <w:basedOn w:val="prastasis"/>
    <w:next w:val="prastasis"/>
    <w:link w:val="IskirtacitataDiagrama"/>
    <w:uiPriority w:val="30"/>
    <w:qFormat/>
    <w:rsid w:val="000D31E1"/>
    <w:pPr>
      <w:pBdr>
        <w:top w:val="single" w:sz="4" w:space="10" w:color="2F5496" w:themeColor="accent1" w:themeShade="BF"/>
        <w:left w:val="none" w:sz="0" w:space="0" w:color="auto"/>
        <w:bottom w:val="single" w:sz="4" w:space="10" w:color="2F5496" w:themeColor="accent1" w:themeShade="BF"/>
        <w:right w:val="none" w:sz="0" w:space="0" w:color="auto"/>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bdr w:val="none" w:sz="0" w:space="0" w:color="auto"/>
      <w:lang w:val="en-GB"/>
      <w14:ligatures w14:val="standardContextual"/>
    </w:rPr>
  </w:style>
  <w:style w:type="character" w:customStyle="1" w:styleId="IskirtacitataDiagrama">
    <w:name w:val="Išskirta citata Diagrama"/>
    <w:basedOn w:val="Numatytasispastraiposriftas"/>
    <w:link w:val="Iskirtacitata"/>
    <w:uiPriority w:val="30"/>
    <w:rsid w:val="000D31E1"/>
    <w:rPr>
      <w:i/>
      <w:iCs/>
      <w:color w:val="2F5496" w:themeColor="accent1" w:themeShade="BF"/>
    </w:rPr>
  </w:style>
  <w:style w:type="character" w:styleId="Rykinuoroda">
    <w:name w:val="Intense Reference"/>
    <w:basedOn w:val="Numatytasispastraiposriftas"/>
    <w:uiPriority w:val="32"/>
    <w:qFormat/>
    <w:rsid w:val="000D31E1"/>
    <w:rPr>
      <w:b/>
      <w:bCs/>
      <w:smallCaps/>
      <w:color w:val="2F5496" w:themeColor="accent1" w:themeShade="BF"/>
      <w:spacing w:val="5"/>
    </w:rPr>
  </w:style>
  <w:style w:type="paragraph" w:customStyle="1" w:styleId="Default">
    <w:name w:val="Default"/>
    <w:rsid w:val="000D31E1"/>
    <w:pPr>
      <w:pBdr>
        <w:top w:val="none" w:sz="0" w:space="0" w:color="000000"/>
        <w:left w:val="none" w:sz="0" w:space="0" w:color="000000"/>
        <w:bottom w:val="none" w:sz="0" w:space="0" w:color="000000"/>
        <w:right w:val="none" w:sz="0" w:space="0" w:color="000000"/>
      </w:pBdr>
      <w:suppressAutoHyphens/>
      <w:spacing w:after="0" w:line="320" w:lineRule="atLeast"/>
    </w:pPr>
    <w:rPr>
      <w:rFonts w:ascii="Arial" w:eastAsia="Arial" w:hAnsi="Arial" w:cs="Arial"/>
      <w:color w:val="000000"/>
      <w:kern w:val="0"/>
      <w:sz w:val="16"/>
      <w:szCs w:val="16"/>
      <w:bdr w:val="none" w:sz="0" w:space="0" w:color="00000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512f2c2-1da3-4b18-801f-500a8a0a36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309E3069B788F4D98A37C5C6B10D4AD" ma:contentTypeVersion="9" ma:contentTypeDescription="Kurkite naują dokumentą." ma:contentTypeScope="" ma:versionID="b318a8f42dd69562289184ceda678252">
  <xsd:schema xmlns:xsd="http://www.w3.org/2001/XMLSchema" xmlns:xs="http://www.w3.org/2001/XMLSchema" xmlns:p="http://schemas.microsoft.com/office/2006/metadata/properties" xmlns:ns3="a512f2c2-1da3-4b18-801f-500a8a0a366e" targetNamespace="http://schemas.microsoft.com/office/2006/metadata/properties" ma:root="true" ma:fieldsID="5bfa23ded8df335b2a27dfa6b241bf54" ns3:_="">
    <xsd:import namespace="a512f2c2-1da3-4b18-801f-500a8a0a36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2f2c2-1da3-4b18-801f-500a8a0a36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9A9F9-A1E4-48A0-8059-B348C197C69A}">
  <ds:schemaRefs>
    <ds:schemaRef ds:uri="http://schemas.microsoft.com/sharepoint/v3/contenttype/forms"/>
  </ds:schemaRefs>
</ds:datastoreItem>
</file>

<file path=customXml/itemProps2.xml><?xml version="1.0" encoding="utf-8"?>
<ds:datastoreItem xmlns:ds="http://schemas.openxmlformats.org/officeDocument/2006/customXml" ds:itemID="{D9F6A29D-979C-4638-AAEC-30DD6DD7C54A}">
  <ds:schemaRefs>
    <ds:schemaRef ds:uri="http://schemas.microsoft.com/office/2006/metadata/properties"/>
    <ds:schemaRef ds:uri="http://schemas.microsoft.com/office/infopath/2007/PartnerControls"/>
    <ds:schemaRef ds:uri="a512f2c2-1da3-4b18-801f-500a8a0a366e"/>
  </ds:schemaRefs>
</ds:datastoreItem>
</file>

<file path=customXml/itemProps3.xml><?xml version="1.0" encoding="utf-8"?>
<ds:datastoreItem xmlns:ds="http://schemas.openxmlformats.org/officeDocument/2006/customXml" ds:itemID="{F571D6E0-B5CE-4F23-83C7-88A3ADC52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2f2c2-1da3-4b18-801f-500a8a0a3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914</Words>
  <Characters>522</Characters>
  <Application>Microsoft Office Word</Application>
  <DocSecurity>0</DocSecurity>
  <Lines>4</Lines>
  <Paragraphs>2</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Anželita Pajaujienė</dc:creator>
  <cp:keywords/>
  <dc:description/>
  <cp:lastModifiedBy>Anželita Pajaujienė</cp:lastModifiedBy>
  <cp:revision>2</cp:revision>
  <dcterms:created xsi:type="dcterms:W3CDTF">2026-11-04T11:30:00Z</dcterms:created>
  <dcterms:modified xsi:type="dcterms:W3CDTF">2026-11-04T11:30:00Z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0x010100B309E3069B788F4D98A37C5C6B10D4AD</vt:lpwstr>
  </property>
</Properties>
</file>