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0751F" w14:textId="77777777" w:rsidR="005B50BB" w:rsidRPr="004D76FF" w:rsidRDefault="005B50BB" w:rsidP="005B50BB">
      <w:pPr>
        <w:pStyle w:val="Heading2"/>
        <w:ind w:left="5103"/>
        <w:jc w:val="right"/>
        <w:rPr>
          <w:rFonts w:asciiTheme="minorHAnsi" w:eastAsia="Calibri" w:hAnsiTheme="minorHAnsi" w:cstheme="minorHAnsi"/>
          <w:color w:val="0070C0"/>
          <w:sz w:val="21"/>
          <w:szCs w:val="21"/>
        </w:rPr>
      </w:pPr>
      <w:bookmarkStart w:id="0" w:name="_Toc181172726"/>
      <w:r w:rsidRPr="004D76FF">
        <w:rPr>
          <w:rFonts w:asciiTheme="minorHAnsi" w:eastAsia="Calibri" w:hAnsiTheme="minorHAnsi" w:cstheme="minorHAnsi"/>
          <w:color w:val="0070C0"/>
          <w:sz w:val="21"/>
          <w:szCs w:val="21"/>
        </w:rPr>
        <w:t>Pirkimo sąlygų 8 priedas „Sutarties projektas“</w:t>
      </w:r>
      <w:bookmarkEnd w:id="0"/>
    </w:p>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4D76FF"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6C0CBEEE" w:rsidR="005A5832" w:rsidRPr="00EE400E" w:rsidRDefault="00EE400E">
            <w:pPr>
              <w:jc w:val="both"/>
              <w:rPr>
                <w:rFonts w:asciiTheme="minorHAnsi" w:hAnsiTheme="minorHAnsi" w:cstheme="minorHAnsi"/>
                <w:kern w:val="2"/>
                <w:szCs w:val="24"/>
              </w:rPr>
            </w:pPr>
            <w:r w:rsidRPr="00EE400E">
              <w:rPr>
                <w:rFonts w:asciiTheme="minorHAnsi" w:hAnsiTheme="minorHAnsi" w:cstheme="minorHAnsi"/>
                <w:b/>
                <w:bCs/>
                <w:iCs/>
                <w:szCs w:val="24"/>
              </w:rPr>
              <w:t>APGYVENDINIMO (SU PUSRYČIAIS) PASLAUGOS KLAIPĖDOJE</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41283E7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LT50 4040 0636 1000 1779</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77777777" w:rsidR="005A5832" w:rsidRPr="004D76FF" w:rsidRDefault="005A5832">
            <w:pPr>
              <w:jc w:val="center"/>
              <w:rPr>
                <w:rFonts w:asciiTheme="minorHAnsi" w:hAnsiTheme="minorHAnsi" w:cstheme="minorHAnsi"/>
                <w:kern w:val="2"/>
                <w:szCs w:val="24"/>
              </w:rPr>
            </w:pP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168E6E02" w14:textId="725466DD" w:rsidR="005A5832" w:rsidRPr="004D76FF" w:rsidRDefault="00A10867">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 xml:space="preserve">(jei </w:t>
            </w:r>
            <w:r w:rsidR="00DB43C6">
              <w:rPr>
                <w:rFonts w:asciiTheme="minorHAnsi" w:hAnsiTheme="minorHAnsi" w:cstheme="minorHAnsi"/>
                <w:color w:val="4472C4"/>
                <w:kern w:val="2"/>
                <w:szCs w:val="24"/>
              </w:rPr>
              <w:t>paslaugų teikėjas</w:t>
            </w:r>
            <w:r w:rsidRPr="004D76FF">
              <w:rPr>
                <w:rFonts w:asciiTheme="minorHAnsi" w:hAnsiTheme="minorHAnsi" w:cstheme="minorHAnsi"/>
                <w:color w:val="4472C4"/>
                <w:kern w:val="2"/>
                <w:szCs w:val="24"/>
              </w:rPr>
              <w:t xml:space="preserve"> yra fizinis asmuo, skiltys atitinkamai pakoreguojamos)</w:t>
            </w:r>
          </w:p>
          <w:p w14:paraId="711EF287" w14:textId="77777777" w:rsidR="005A5832" w:rsidRPr="004D76FF" w:rsidRDefault="005A583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77777777"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77777777"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77777777"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77777777"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77777777" w:rsidR="005A5832" w:rsidRPr="004D76FF" w:rsidRDefault="005A5832">
            <w:pPr>
              <w:jc w:val="center"/>
              <w:rPr>
                <w:rFonts w:asciiTheme="minorHAnsi" w:hAnsiTheme="minorHAnsi" w:cstheme="minorHAnsi"/>
                <w:kern w:val="2"/>
                <w:szCs w:val="24"/>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77777777" w:rsidR="005A5832" w:rsidRPr="004D76FF" w:rsidRDefault="005A5832">
            <w:pPr>
              <w:jc w:val="center"/>
              <w:rPr>
                <w:rFonts w:asciiTheme="minorHAnsi" w:hAnsiTheme="minorHAnsi" w:cstheme="minorHAnsi"/>
                <w:kern w:val="2"/>
                <w:szCs w:val="24"/>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77777777"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77777777"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7777777"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77777777"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786D64B4" w:rsidR="005A5832" w:rsidRPr="004B52DE" w:rsidRDefault="00AC367A" w:rsidP="00374CD8">
            <w:pPr>
              <w:rPr>
                <w:rStyle w:val="Hyperlink"/>
                <w:rFonts w:asciiTheme="minorHAnsi" w:hAnsiTheme="minorHAnsi" w:cstheme="minorHAnsi"/>
                <w:szCs w:val="24"/>
              </w:rPr>
            </w:pPr>
            <w:r w:rsidRPr="004B52DE">
              <w:rPr>
                <w:rFonts w:asciiTheme="minorHAnsi" w:hAnsiTheme="minorHAnsi" w:cstheme="minorHAnsi"/>
                <w:szCs w:val="24"/>
              </w:rPr>
              <w:t>2</w:t>
            </w:r>
            <w:r w:rsidRPr="004B52DE">
              <w:rPr>
                <w:rFonts w:asciiTheme="minorHAnsi" w:hAnsiTheme="minorHAnsi" w:cstheme="minorHAnsi"/>
              </w:rPr>
              <w:t xml:space="preserve">.1. </w:t>
            </w:r>
            <w:r w:rsidR="002C3811" w:rsidRPr="004B52DE">
              <w:rPr>
                <w:rFonts w:asciiTheme="minorHAnsi" w:hAnsiTheme="minorHAnsi" w:cstheme="minorHAnsi"/>
                <w:szCs w:val="24"/>
              </w:rPr>
              <w:t xml:space="preserve">Lietuvos neformaliojo švietimo agentūros Gebėjimų ugdymo skyriaus </w:t>
            </w:r>
            <w:r w:rsidR="00EE400E" w:rsidRPr="004B52DE">
              <w:rPr>
                <w:rFonts w:asciiTheme="minorHAnsi" w:hAnsiTheme="minorHAnsi" w:cstheme="minorHAnsi"/>
                <w:szCs w:val="24"/>
              </w:rPr>
              <w:t>renginių koordinatorė</w:t>
            </w:r>
            <w:r w:rsidR="002C3811" w:rsidRPr="004B52DE">
              <w:rPr>
                <w:rFonts w:asciiTheme="minorHAnsi" w:hAnsiTheme="minorHAnsi" w:cstheme="minorHAnsi"/>
                <w:szCs w:val="24"/>
              </w:rPr>
              <w:t xml:space="preserve"> </w:t>
            </w:r>
            <w:r w:rsidR="004B52DE" w:rsidRPr="004B52DE">
              <w:rPr>
                <w:rFonts w:asciiTheme="minorHAnsi" w:hAnsiTheme="minorHAnsi" w:cstheme="minorHAnsi"/>
                <w:szCs w:val="24"/>
              </w:rPr>
              <w:t>Alma Mirinienė</w:t>
            </w:r>
            <w:r w:rsidR="002C3811" w:rsidRPr="004B52DE">
              <w:rPr>
                <w:rFonts w:asciiTheme="minorHAnsi" w:hAnsiTheme="minorHAnsi" w:cstheme="minorHAnsi"/>
                <w:szCs w:val="24"/>
              </w:rPr>
              <w:t xml:space="preserve">, el. p. </w:t>
            </w:r>
            <w:hyperlink r:id="rId11" w:history="1">
              <w:r w:rsidR="004B52DE" w:rsidRPr="004B52DE">
                <w:rPr>
                  <w:rStyle w:val="Hyperlink"/>
                  <w:rFonts w:asciiTheme="minorHAnsi" w:hAnsiTheme="minorHAnsi" w:cstheme="minorHAnsi"/>
                  <w:szCs w:val="24"/>
                </w:rPr>
                <w:t>a</w:t>
              </w:r>
              <w:r w:rsidR="004B52DE" w:rsidRPr="004B52DE">
                <w:rPr>
                  <w:rStyle w:val="Hyperlink"/>
                  <w:rFonts w:asciiTheme="minorHAnsi" w:hAnsiTheme="minorHAnsi" w:cstheme="minorHAnsi"/>
                </w:rPr>
                <w:t>lma.miriniene</w:t>
              </w:r>
              <w:r w:rsidR="004B52DE" w:rsidRPr="004B52DE">
                <w:rPr>
                  <w:rStyle w:val="Hyperlink"/>
                  <w:rFonts w:asciiTheme="minorHAnsi" w:hAnsiTheme="minorHAnsi" w:cstheme="minorHAnsi"/>
                  <w:szCs w:val="24"/>
                </w:rPr>
                <w:t>@linesa.lt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t>2.1.1. Rima Nagelienė, viešųjų pirkimų specialistė, el. p. rima.nageliene@linesa.lt,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56418AFA"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1" w:name="_Hlk181143403"/>
            <w:r w:rsidRPr="004D76FF">
              <w:rPr>
                <w:rFonts w:asciiTheme="minorHAnsi" w:eastAsia="Calibri" w:hAnsiTheme="minorHAnsi" w:cstheme="minorHAnsi"/>
                <w:color w:val="000000" w:themeColor="text1"/>
                <w:szCs w:val="24"/>
              </w:rPr>
              <w:t xml:space="preserve">įsigyti </w:t>
            </w:r>
            <w:bookmarkEnd w:id="1"/>
            <w:r w:rsidRPr="004D76FF">
              <w:rPr>
                <w:rFonts w:asciiTheme="minorHAnsi" w:eastAsia="Calibri" w:hAnsiTheme="minorHAnsi" w:cstheme="minorHAnsi"/>
                <w:szCs w:val="24"/>
              </w:rPr>
              <w:t>šias paslaugas- „</w:t>
            </w:r>
            <w:r w:rsidR="00F73BC6">
              <w:rPr>
                <w:rFonts w:asciiTheme="minorHAnsi" w:hAnsiTheme="minorHAnsi" w:cstheme="minorHAnsi"/>
                <w:i/>
                <w:szCs w:val="24"/>
              </w:rPr>
              <w:t>Apgyvendinimo (su pusryčiais) paslaugos Klaipėdoje</w:t>
            </w:r>
            <w:r w:rsidRPr="004D76FF">
              <w:rPr>
                <w:rFonts w:asciiTheme="minorHAnsi" w:hAnsiTheme="minorHAnsi" w:cstheme="minorHAnsi"/>
                <w:i/>
                <w:szCs w:val="24"/>
              </w:rPr>
              <w:t>“</w:t>
            </w:r>
            <w:r w:rsidRPr="004D76FF">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6ED39F92"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 [</w:t>
            </w:r>
            <w:r w:rsidR="005B50BB" w:rsidRPr="004D76FF">
              <w:rPr>
                <w:rFonts w:asciiTheme="minorHAnsi" w:hAnsiTheme="minorHAnsi" w:cstheme="minorHAnsi"/>
                <w:color w:val="000000"/>
                <w:kern w:val="2"/>
                <w:szCs w:val="24"/>
              </w:rPr>
              <w:t>1</w:t>
            </w:r>
            <w:r w:rsidRPr="004D76FF">
              <w:rPr>
                <w:rFonts w:asciiTheme="minorHAnsi" w:hAnsiTheme="minorHAnsi" w:cstheme="minorHAnsi"/>
                <w:color w:val="000000"/>
                <w:kern w:val="2"/>
                <w:szCs w:val="24"/>
              </w:rPr>
              <w:t>] „Techninė specifikacija“ (toliau – Techninė specifikacija) ir Sutarties priede Nr. [</w:t>
            </w:r>
            <w:r w:rsidR="005B50BB" w:rsidRPr="004D76FF">
              <w:rPr>
                <w:rFonts w:asciiTheme="minorHAnsi" w:hAnsiTheme="minorHAnsi" w:cstheme="minorHAnsi"/>
                <w:color w:val="000000"/>
                <w:kern w:val="2"/>
                <w:szCs w:val="24"/>
              </w:rPr>
              <w:t>2</w:t>
            </w:r>
            <w:r w:rsidRPr="004D76FF">
              <w:rPr>
                <w:rFonts w:asciiTheme="minorHAnsi" w:hAnsiTheme="minorHAnsi" w:cstheme="minorHAnsi"/>
                <w:color w:val="000000"/>
                <w:kern w:val="2"/>
                <w:szCs w:val="24"/>
              </w:rPr>
              <w:t>] „Pasiūlymas“.</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77777777" w:rsidR="005A5832" w:rsidRPr="004D76FF" w:rsidRDefault="005A5832">
            <w:pPr>
              <w:rPr>
                <w:rFonts w:asciiTheme="minorHAnsi" w:hAnsiTheme="minorHAnsi" w:cstheme="minorHAnsi"/>
                <w:kern w:val="2"/>
                <w:szCs w:val="24"/>
              </w:rPr>
            </w:pP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B80BA96"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70C70E7" w14:textId="530CB7E8" w:rsidR="005A5832" w:rsidRPr="004D76FF" w:rsidRDefault="005A5832">
            <w:pPr>
              <w:rPr>
                <w:rFonts w:asciiTheme="minorHAnsi" w:hAnsiTheme="minorHAnsi" w:cstheme="minorHAnsi"/>
                <w:color w:val="000000" w:themeColor="text1"/>
                <w:kern w:val="2"/>
                <w:szCs w:val="24"/>
              </w:rPr>
            </w:pP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22D5888F" w14:textId="076985FA" w:rsidR="008A0E19" w:rsidRPr="004D76FF" w:rsidRDefault="00A10867" w:rsidP="0294A398">
            <w:pPr>
              <w:rPr>
                <w:rFonts w:asciiTheme="minorHAnsi" w:hAnsiTheme="minorHAnsi" w:cstheme="minorHAnsi"/>
                <w:kern w:val="2"/>
              </w:rPr>
            </w:pPr>
            <w:r w:rsidRPr="004D76FF">
              <w:rPr>
                <w:rFonts w:asciiTheme="minorHAnsi" w:hAnsiTheme="minorHAnsi" w:cstheme="minorHAnsi"/>
                <w:kern w:val="2"/>
              </w:rPr>
              <w:t>T</w:t>
            </w:r>
            <w:r w:rsidR="00DB43C6">
              <w:rPr>
                <w:rFonts w:asciiTheme="minorHAnsi" w:hAnsiTheme="minorHAnsi" w:cstheme="minorHAnsi"/>
                <w:kern w:val="2"/>
              </w:rPr>
              <w:t>eikėjas</w:t>
            </w:r>
            <w:r w:rsidRPr="004D76FF">
              <w:rPr>
                <w:rFonts w:asciiTheme="minorHAnsi" w:hAnsiTheme="minorHAnsi" w:cstheme="minorHAnsi"/>
                <w:kern w:val="2"/>
              </w:rPr>
              <w:t xml:space="preserve"> P</w:t>
            </w:r>
            <w:r w:rsidR="00D53AC1" w:rsidRPr="004D76FF">
              <w:rPr>
                <w:rFonts w:asciiTheme="minorHAnsi" w:hAnsiTheme="minorHAnsi" w:cstheme="minorHAnsi"/>
                <w:kern w:val="2"/>
              </w:rPr>
              <w:t>aslaugas</w:t>
            </w:r>
            <w:r w:rsidR="008A71D8" w:rsidRPr="004D76FF">
              <w:rPr>
                <w:rFonts w:asciiTheme="minorHAnsi" w:hAnsiTheme="minorHAnsi" w:cstheme="minorHAnsi"/>
                <w:kern w:val="2"/>
              </w:rPr>
              <w:t xml:space="preserve"> </w:t>
            </w:r>
            <w:r w:rsidRPr="004D76FF">
              <w:rPr>
                <w:rFonts w:asciiTheme="minorHAnsi" w:hAnsiTheme="minorHAnsi" w:cstheme="minorHAnsi"/>
                <w:kern w:val="2"/>
              </w:rPr>
              <w:t xml:space="preserve">įsipareigoja </w:t>
            </w:r>
            <w:r w:rsidR="008A71D8" w:rsidRPr="004D76FF">
              <w:rPr>
                <w:rFonts w:asciiTheme="minorHAnsi" w:hAnsiTheme="minorHAnsi" w:cstheme="minorHAnsi"/>
                <w:kern w:val="2"/>
              </w:rPr>
              <w:t>suteikti sekančiai:</w:t>
            </w:r>
          </w:p>
          <w:p w14:paraId="41CAE981" w14:textId="61945346" w:rsidR="00EC1CCE" w:rsidRPr="00EC1CCE" w:rsidRDefault="00EC1CCE" w:rsidP="00EC1CCE">
            <w:pPr>
              <w:suppressAutoHyphens/>
              <w:autoSpaceDN w:val="0"/>
              <w:jc w:val="both"/>
              <w:rPr>
                <w:rFonts w:asciiTheme="minorHAnsi" w:hAnsiTheme="minorHAnsi" w:cstheme="minorHAnsi"/>
                <w:bCs/>
                <w:szCs w:val="24"/>
              </w:rPr>
            </w:pPr>
            <w:r w:rsidRPr="00EC1CCE">
              <w:rPr>
                <w:rFonts w:asciiTheme="minorHAnsi" w:hAnsiTheme="minorHAnsi" w:cstheme="minorHAnsi"/>
                <w:bCs/>
                <w:szCs w:val="24"/>
              </w:rPr>
              <w:t>2025 m. vasario 28 – kovo 1 d. Lietuvos mokinių muzikos olimpiada, 40 žm.;</w:t>
            </w:r>
          </w:p>
          <w:p w14:paraId="652AA0D4" w14:textId="12E6E4DD" w:rsidR="00EC1CCE" w:rsidRPr="00EC1CCE" w:rsidRDefault="00EC1CCE" w:rsidP="00EC1CCE">
            <w:pPr>
              <w:suppressAutoHyphens/>
              <w:autoSpaceDN w:val="0"/>
              <w:jc w:val="both"/>
              <w:rPr>
                <w:rFonts w:asciiTheme="minorHAnsi" w:hAnsiTheme="minorHAnsi" w:cstheme="minorHAnsi"/>
                <w:bCs/>
                <w:szCs w:val="24"/>
              </w:rPr>
            </w:pPr>
            <w:r w:rsidRPr="00EC1CCE">
              <w:rPr>
                <w:rFonts w:asciiTheme="minorHAnsi" w:hAnsiTheme="minorHAnsi" w:cstheme="minorHAnsi"/>
                <w:bCs/>
                <w:szCs w:val="24"/>
              </w:rPr>
              <w:t>2025 m. kovo 20-22 d. Lietuvos mokinių biologijos olimpiada, 180 žm.;</w:t>
            </w:r>
          </w:p>
          <w:p w14:paraId="73D25BF1" w14:textId="77777777" w:rsidR="00EC1CCE" w:rsidRPr="00EC1CCE" w:rsidRDefault="00EC1CCE" w:rsidP="00EC1CCE">
            <w:pPr>
              <w:suppressAutoHyphens/>
              <w:autoSpaceDN w:val="0"/>
              <w:jc w:val="both"/>
              <w:rPr>
                <w:rFonts w:asciiTheme="minorHAnsi" w:hAnsiTheme="minorHAnsi" w:cstheme="minorHAnsi"/>
                <w:bCs/>
                <w:szCs w:val="24"/>
              </w:rPr>
            </w:pPr>
            <w:bookmarkStart w:id="2" w:name="_Hlk184029520"/>
            <w:r w:rsidRPr="00EC1CCE">
              <w:rPr>
                <w:rFonts w:asciiTheme="minorHAnsi" w:hAnsiTheme="minorHAnsi" w:cstheme="minorHAnsi"/>
                <w:bCs/>
                <w:szCs w:val="24"/>
              </w:rPr>
              <w:t>2025 m. kovo 28-29  d. Lietuvos mokinių vokiečių kalbos olimpiada, 90 žm.;</w:t>
            </w:r>
          </w:p>
          <w:p w14:paraId="7A43261E" w14:textId="77777777" w:rsidR="00EC1CCE" w:rsidRPr="00EC1CCE" w:rsidRDefault="00EC1CCE" w:rsidP="00EC1CCE">
            <w:pPr>
              <w:suppressAutoHyphens/>
              <w:autoSpaceDN w:val="0"/>
              <w:jc w:val="both"/>
              <w:rPr>
                <w:rFonts w:asciiTheme="minorHAnsi" w:hAnsiTheme="minorHAnsi" w:cstheme="minorHAnsi"/>
                <w:bCs/>
                <w:szCs w:val="24"/>
              </w:rPr>
            </w:pPr>
            <w:r w:rsidRPr="00EC1CCE">
              <w:rPr>
                <w:rFonts w:asciiTheme="minorHAnsi" w:hAnsiTheme="minorHAnsi" w:cstheme="minorHAnsi"/>
                <w:bCs/>
                <w:szCs w:val="24"/>
              </w:rPr>
              <w:t>2025 m. balandžio 28-29  d. Lietuvos mokinių jaunųjų filologų konkursas, 30 žm. ;</w:t>
            </w:r>
          </w:p>
          <w:p w14:paraId="22B1478D" w14:textId="77777777" w:rsidR="00EC1CCE" w:rsidRDefault="00EC1CCE" w:rsidP="00EC1CCE">
            <w:pPr>
              <w:suppressAutoHyphens/>
              <w:autoSpaceDN w:val="0"/>
              <w:jc w:val="both"/>
              <w:rPr>
                <w:rFonts w:asciiTheme="minorHAnsi" w:hAnsiTheme="minorHAnsi" w:cstheme="minorHAnsi"/>
                <w:bCs/>
                <w:szCs w:val="24"/>
              </w:rPr>
            </w:pPr>
            <w:r w:rsidRPr="00EC1CCE">
              <w:rPr>
                <w:rFonts w:asciiTheme="minorHAnsi" w:hAnsiTheme="minorHAnsi" w:cstheme="minorHAnsi"/>
                <w:bCs/>
                <w:szCs w:val="24"/>
              </w:rPr>
              <w:t xml:space="preserve">2025 m. balandžio 29-30  d. Lietuvos mokinių jaunųjų filologų konkursas, 140 žm.  </w:t>
            </w:r>
          </w:p>
          <w:p w14:paraId="17E1D911" w14:textId="62B2FA13" w:rsidR="00EC1CCE" w:rsidRPr="00EC1CCE" w:rsidRDefault="00EC1CCE" w:rsidP="00EC1CCE">
            <w:pPr>
              <w:suppressAutoHyphens/>
              <w:autoSpaceDN w:val="0"/>
              <w:jc w:val="both"/>
              <w:rPr>
                <w:rFonts w:asciiTheme="minorHAnsi" w:hAnsiTheme="minorHAnsi" w:cstheme="minorHAnsi"/>
                <w:bCs/>
                <w:szCs w:val="24"/>
              </w:rPr>
            </w:pPr>
            <w:r w:rsidRPr="005B50BB">
              <w:rPr>
                <w:rFonts w:asciiTheme="minorHAnsi" w:hAnsiTheme="minorHAnsi"/>
                <w:color w:val="000000"/>
                <w:kern w:val="2"/>
                <w:szCs w:val="24"/>
              </w:rPr>
              <w:t>Išsamus P</w:t>
            </w:r>
            <w:r>
              <w:rPr>
                <w:rFonts w:asciiTheme="minorHAnsi" w:hAnsiTheme="minorHAnsi"/>
                <w:color w:val="000000"/>
                <w:kern w:val="2"/>
                <w:szCs w:val="24"/>
              </w:rPr>
              <w:t>aslaugų</w:t>
            </w:r>
            <w:r w:rsidRPr="005B50BB">
              <w:rPr>
                <w:rFonts w:asciiTheme="minorHAnsi" w:hAnsiTheme="minorHAnsi"/>
                <w:color w:val="000000"/>
                <w:kern w:val="2"/>
                <w:szCs w:val="24"/>
              </w:rPr>
              <w:t xml:space="preserve"> aprašymas ir kiti reikalavimai nustatyti Sutarties priede Nr. [1] „Techninė specifikacija“ (toliau – Techninė specifikacija) ir Sutarties priede Nr. [2] „</w:t>
            </w:r>
            <w:r w:rsidRPr="00374CD8">
              <w:rPr>
                <w:rFonts w:asciiTheme="minorHAnsi" w:hAnsiTheme="minorHAnsi"/>
                <w:color w:val="000000"/>
                <w:kern w:val="2"/>
                <w:szCs w:val="24"/>
              </w:rPr>
              <w:t>Pasiūlymas“.</w:t>
            </w:r>
            <w:r w:rsidRPr="00EC1CCE">
              <w:rPr>
                <w:rFonts w:asciiTheme="minorHAnsi" w:hAnsiTheme="minorHAnsi" w:cstheme="minorHAnsi"/>
                <w:bCs/>
                <w:szCs w:val="24"/>
              </w:rPr>
              <w:t xml:space="preserve"> </w:t>
            </w:r>
          </w:p>
          <w:bookmarkEnd w:id="2"/>
          <w:p w14:paraId="34C7CC1B" w14:textId="77777777" w:rsidR="00EC1CCE" w:rsidRPr="00BA7533" w:rsidRDefault="00EC1CCE" w:rsidP="00EC1CCE">
            <w:pPr>
              <w:suppressAutoHyphens/>
              <w:autoSpaceDN w:val="0"/>
              <w:jc w:val="both"/>
              <w:rPr>
                <w:szCs w:val="24"/>
              </w:rPr>
            </w:pPr>
          </w:p>
          <w:p w14:paraId="7831AC77" w14:textId="77777777" w:rsidR="00EC1CCE" w:rsidRPr="00BA7533" w:rsidRDefault="00EC1CCE" w:rsidP="00EC1CCE">
            <w:pPr>
              <w:suppressAutoHyphens/>
              <w:autoSpaceDN w:val="0"/>
              <w:jc w:val="both"/>
              <w:rPr>
                <w:szCs w:val="24"/>
              </w:rPr>
            </w:pPr>
          </w:p>
          <w:p w14:paraId="32F940F0" w14:textId="058B1F4E" w:rsidR="001D07BB" w:rsidRPr="004D76FF" w:rsidRDefault="001D07BB" w:rsidP="008A0E19">
            <w:pPr>
              <w:rPr>
                <w:rFonts w:asciiTheme="minorHAnsi" w:hAnsiTheme="minorHAnsi" w:cstheme="minorHAnsi"/>
                <w:color w:val="000000" w:themeColor="text1"/>
                <w:kern w:val="2"/>
                <w:szCs w:val="24"/>
              </w:rPr>
            </w:pPr>
          </w:p>
          <w:p w14:paraId="5491866C" w14:textId="3E02D0F9" w:rsidR="001D07BB" w:rsidRPr="004D76FF"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35C57E08"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2ABA812" w14:textId="40198298" w:rsidR="005A5832" w:rsidRPr="004D76FF" w:rsidRDefault="005A5832" w:rsidP="005B50BB">
            <w:pPr>
              <w:jc w:val="both"/>
              <w:rPr>
                <w:rFonts w:asciiTheme="minorHAnsi" w:hAnsiTheme="minorHAnsi" w:cstheme="minorHAnsi"/>
                <w:kern w:val="2"/>
                <w:szCs w:val="24"/>
              </w:rPr>
            </w:pPr>
          </w:p>
        </w:tc>
      </w:tr>
      <w:tr w:rsidR="005A5832" w:rsidRPr="004D76FF" w14:paraId="2FECB001" w14:textId="77777777" w:rsidTr="0294A398">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5F2D66">
              <w:rPr>
                <w:rFonts w:asciiTheme="minorHAnsi" w:hAnsiTheme="minorHAnsi" w:cstheme="minorHAnsi"/>
                <w:b/>
                <w:bCs/>
                <w:kern w:val="2"/>
                <w:szCs w:val="24"/>
              </w:rPr>
              <w:t xml:space="preserve">4.3. </w:t>
            </w:r>
            <w:r w:rsidR="00AC367A" w:rsidRPr="005F2D66">
              <w:rPr>
                <w:rFonts w:asciiTheme="minorHAnsi" w:hAnsiTheme="minorHAnsi" w:cstheme="minorHAnsi"/>
                <w:b/>
                <w:bCs/>
                <w:szCs w:val="24"/>
              </w:rPr>
              <w:t>Paslaugų teikimo tvarka</w:t>
            </w:r>
          </w:p>
        </w:tc>
        <w:tc>
          <w:tcPr>
            <w:tcW w:w="6831" w:type="dxa"/>
            <w:gridSpan w:val="2"/>
          </w:tcPr>
          <w:p w14:paraId="1654B491" w14:textId="77777777" w:rsidR="005A5832" w:rsidRPr="00094396" w:rsidRDefault="005F2D66" w:rsidP="005B50BB">
            <w:pPr>
              <w:jc w:val="both"/>
              <w:rPr>
                <w:rFonts w:asciiTheme="minorHAnsi" w:hAnsiTheme="minorHAnsi" w:cstheme="minorHAnsi"/>
                <w:szCs w:val="24"/>
              </w:rPr>
            </w:pPr>
            <w:r w:rsidRPr="00094396">
              <w:rPr>
                <w:rFonts w:asciiTheme="minorHAnsi" w:hAnsiTheme="minorHAnsi" w:cstheme="minorHAnsi"/>
                <w:kern w:val="2"/>
                <w:szCs w:val="24"/>
              </w:rPr>
              <w:t>Sutarties 4.1. p. Nurodytomis datomis bei trukmėmis.</w:t>
            </w:r>
            <w:r w:rsidR="004707F9" w:rsidRPr="00094396">
              <w:rPr>
                <w:rFonts w:asciiTheme="minorHAnsi" w:hAnsiTheme="minorHAnsi" w:cstheme="minorHAnsi"/>
                <w:kern w:val="2"/>
                <w:szCs w:val="24"/>
              </w:rPr>
              <w:t xml:space="preserve"> A</w:t>
            </w:r>
            <w:r w:rsidR="004707F9" w:rsidRPr="00094396">
              <w:rPr>
                <w:rFonts w:asciiTheme="minorHAnsi" w:hAnsiTheme="minorHAnsi" w:cstheme="minorHAnsi"/>
                <w:szCs w:val="24"/>
              </w:rPr>
              <w:t>pgyvendinamų asmenų skaičius apmokama pagal faktą.</w:t>
            </w:r>
          </w:p>
          <w:p w14:paraId="622E93E5" w14:textId="66F608C3" w:rsidR="00497B33" w:rsidRPr="005F2D66" w:rsidRDefault="00094396" w:rsidP="005B50BB">
            <w:pPr>
              <w:jc w:val="both"/>
              <w:rPr>
                <w:rFonts w:asciiTheme="minorHAnsi" w:hAnsiTheme="minorHAnsi" w:cstheme="minorHAnsi"/>
                <w:kern w:val="2"/>
                <w:szCs w:val="24"/>
              </w:rPr>
            </w:pPr>
            <w:r w:rsidRPr="00094396">
              <w:rPr>
                <w:rFonts w:asciiTheme="minorHAnsi" w:hAnsiTheme="minorHAnsi" w:cstheme="minorHAnsi"/>
                <w:szCs w:val="24"/>
              </w:rPr>
              <w:t>Apgyvendinamų asmenų skaičius gali svyruoti iki 30 procentų.</w:t>
            </w:r>
            <w:r w:rsidRPr="00CF795D">
              <w:rPr>
                <w:szCs w:val="24"/>
              </w:rPr>
              <w:t xml:space="preserve">  </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08AA1D8F" w14:textId="7CB8D3B8" w:rsidR="005A5832" w:rsidRPr="004D76FF" w:rsidRDefault="006778B2" w:rsidP="00AF419C">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5.1. Sutarčiai taikomas kainos apskaičiavimo būdas</w:t>
            </w:r>
          </w:p>
        </w:tc>
        <w:tc>
          <w:tcPr>
            <w:tcW w:w="6831" w:type="dxa"/>
            <w:gridSpan w:val="2"/>
          </w:tcPr>
          <w:p w14:paraId="3C472C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21925A5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Pradinės Sutarties vertė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be pridėtinės vertės mokesčio (toliau – PVM). </w:t>
            </w:r>
          </w:p>
          <w:p w14:paraId="069F68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PVM sudaro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w:t>
            </w:r>
          </w:p>
          <w:p w14:paraId="2C65F05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Sutarties kaina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Eur su PVM.</w:t>
            </w:r>
          </w:p>
          <w:p w14:paraId="5DC2FF3E" w14:textId="7EE54316"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kern w:val="2"/>
                <w:szCs w:val="24"/>
              </w:rPr>
              <w:t>Šioje Sutartyje P</w:t>
            </w:r>
            <w:r w:rsidRPr="004D76FF">
              <w:rPr>
                <w:rFonts w:asciiTheme="minorHAnsi" w:hAnsiTheme="minorHAnsi" w:cstheme="minorHAnsi"/>
                <w:color w:val="000000"/>
                <w:kern w:val="2"/>
                <w:szCs w:val="24"/>
              </w:rPr>
              <w:t>radinės Sutarties vertė yra lygi T</w:t>
            </w:r>
            <w:r w:rsidR="00674DAD" w:rsidRPr="004D76FF">
              <w:rPr>
                <w:rFonts w:asciiTheme="minorHAnsi" w:hAnsiTheme="minorHAnsi" w:cstheme="minorHAnsi"/>
                <w:color w:val="000000"/>
                <w:kern w:val="2"/>
                <w:szCs w:val="24"/>
              </w:rPr>
              <w:t>ei</w:t>
            </w:r>
            <w:r w:rsidRPr="004D76FF">
              <w:rPr>
                <w:rFonts w:asciiTheme="minorHAnsi" w:hAnsiTheme="minorHAnsi" w:cstheme="minorHAnsi"/>
                <w:color w:val="000000"/>
                <w:kern w:val="2"/>
                <w:szCs w:val="24"/>
              </w:rPr>
              <w:t xml:space="preserve">kėjo pasiūlymo kainai be PVM, nurodytai už visą pirkimo dokumentuose ir Sutartyje nurodytą </w:t>
            </w:r>
            <w:r w:rsidR="007B3BB4">
              <w:rPr>
                <w:rFonts w:asciiTheme="minorHAnsi" w:hAnsiTheme="minorHAnsi" w:cstheme="minorHAnsi"/>
                <w:color w:val="000000"/>
                <w:kern w:val="2"/>
                <w:szCs w:val="24"/>
              </w:rPr>
              <w:t>paslaugų</w:t>
            </w:r>
            <w:r w:rsidRPr="004D76FF">
              <w:rPr>
                <w:rFonts w:asciiTheme="minorHAnsi" w:hAnsiTheme="minorHAnsi" w:cstheme="minorHAnsi"/>
                <w:color w:val="000000"/>
                <w:kern w:val="2"/>
                <w:szCs w:val="24"/>
              </w:rPr>
              <w:t xml:space="preserve"> apimtį.</w:t>
            </w: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776C896E" w14:textId="77777777" w:rsidR="00A67CF0" w:rsidRPr="0079359A" w:rsidRDefault="00A67CF0" w:rsidP="0079359A">
            <w:pPr>
              <w:autoSpaceDN w:val="0"/>
              <w:jc w:val="both"/>
              <w:rPr>
                <w:rFonts w:ascii="Calibri" w:hAnsi="Calibri" w:cs="Calibri"/>
                <w:szCs w:val="24"/>
              </w:rPr>
            </w:pPr>
            <w:r w:rsidRPr="0079359A">
              <w:rPr>
                <w:rFonts w:ascii="Calibri" w:hAnsi="Calibri" w:cs="Calibri"/>
                <w:szCs w:val="24"/>
              </w:rPr>
              <w:t>Sutarties kaina / įkainiai bus perskaičiuojami:</w:t>
            </w:r>
          </w:p>
          <w:p w14:paraId="19E14330" w14:textId="77777777" w:rsidR="00A67CF0" w:rsidRPr="0079359A" w:rsidRDefault="00A67CF0" w:rsidP="0079359A">
            <w:pPr>
              <w:autoSpaceDN w:val="0"/>
              <w:jc w:val="both"/>
              <w:rPr>
                <w:rFonts w:ascii="Calibri" w:hAnsi="Calibri" w:cs="Calibri"/>
                <w:szCs w:val="24"/>
              </w:rPr>
            </w:pPr>
            <w:r w:rsidRPr="0079359A">
              <w:rPr>
                <w:rFonts w:ascii="Calibri" w:hAnsi="Calibri" w:cs="Calibri"/>
                <w:szCs w:val="24"/>
              </w:rPr>
              <w:t>teisės aktais yra pakeičiamas Sutartyje nurodytoms Paslaugoms taikomas pridėtinės vertės mokestis (toliau – PVM). Tokiu atveju, Sutarties kaina bus keičiama atitinkama dalimi, atsižvelgiant į jos sudėtyje esančio PVM dalį. Perskaičiuojama tik ta Sutarties kainos dalis, kuri turi būti sumokėta po datos nuo kurios įsigalioja naujas PVM tarifas. Perskaičiuota Sutarties kaina įforminama Sutarties Šalių atstovų pasirašomu susitarimu.</w:t>
            </w:r>
          </w:p>
          <w:p w14:paraId="71DB5696" w14:textId="77777777" w:rsidR="00A67CF0" w:rsidRPr="00AB37E9" w:rsidRDefault="00A67CF0" w:rsidP="0079359A">
            <w:pPr>
              <w:autoSpaceDN w:val="0"/>
              <w:jc w:val="both"/>
              <w:rPr>
                <w:szCs w:val="24"/>
              </w:rPr>
            </w:pPr>
            <w:r w:rsidRPr="0079359A">
              <w:rPr>
                <w:rFonts w:ascii="Calibri" w:hAnsi="Calibri" w:cs="Calibri"/>
                <w:szCs w:val="24"/>
              </w:rPr>
              <w:t>-kai Statistikos departamento prie Lietuvos Respublikos Vyriausybės paskelbtas Vartotojų kainos indeksas taikomas sutarties objektui padidėja/sumažėja 5 proc., lyginant su Sutarties sudarymo metu buvusiu Vartotojų kainos indeksu. Šiuo atveju įkainiai perskaičiuojami ne dažniau kaip kartą per metus skaičiuojant nuo Sutarties įsigaliojimo datos pagal Paslaugų teikėjo pateiktą prašymą</w:t>
            </w:r>
            <w:r w:rsidRPr="00AB37E9">
              <w:rPr>
                <w:szCs w:val="24"/>
              </w:rPr>
              <w:t>.</w:t>
            </w:r>
          </w:p>
          <w:p w14:paraId="0AD0C670" w14:textId="1CD8199B" w:rsidR="00930EF8" w:rsidRPr="004D76FF" w:rsidRDefault="00930EF8" w:rsidP="00A67CF0">
            <w:pPr>
              <w:jc w:val="both"/>
              <w:rPr>
                <w:rFonts w:asciiTheme="minorHAnsi" w:hAnsiTheme="minorHAnsi" w:cstheme="minorHAnsi"/>
                <w:kern w:val="2"/>
                <w:szCs w:val="24"/>
              </w:rPr>
            </w:pP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77777777" w:rsidR="00E64492" w:rsidRPr="00AB37E9" w:rsidRDefault="00E64492" w:rsidP="00E64492">
            <w:pPr>
              <w:rPr>
                <w:szCs w:val="24"/>
              </w:rPr>
            </w:pPr>
            <w:r w:rsidRPr="00AB37E9">
              <w:rPr>
                <w:szCs w:val="24"/>
              </w:rPr>
              <w:t>Užsakovas atsiskaito su Paslaugų teikėju ne vėliau kaip per 30 d.nuo Sąskaitos gavimo dienos per bendrąją administravimo informacinę sistemą SABIS.</w:t>
            </w:r>
          </w:p>
          <w:p w14:paraId="68B296CE" w14:textId="77777777" w:rsidR="00E64492" w:rsidRPr="00AB37E9" w:rsidRDefault="00E64492" w:rsidP="00E64492">
            <w:pPr>
              <w:rPr>
                <w:szCs w:val="24"/>
              </w:rPr>
            </w:pPr>
          </w:p>
          <w:p w14:paraId="5D1F8A09" w14:textId="6F515D56" w:rsidR="005A5832" w:rsidRPr="004D76FF" w:rsidRDefault="00E64492" w:rsidP="00E64492">
            <w:pPr>
              <w:rPr>
                <w:rFonts w:asciiTheme="minorHAnsi" w:hAnsiTheme="minorHAnsi" w:cstheme="minorHAnsi"/>
                <w:color w:val="000000"/>
                <w:kern w:val="2"/>
                <w:szCs w:val="24"/>
                <w:shd w:val="clear" w:color="auto" w:fill="FFFFFF"/>
              </w:rPr>
            </w:pPr>
            <w:r w:rsidRPr="00AB37E9">
              <w:rPr>
                <w:szCs w:val="24"/>
                <w:shd w:val="clear" w:color="auto" w:fill="FFFFFF"/>
              </w:rPr>
              <w:t>Apmokėjimo sąlygos: įvykdžius užsakymą, mokama už konkretų kiekį / apimtį pagal</w:t>
            </w:r>
            <w:r>
              <w:rPr>
                <w:szCs w:val="24"/>
                <w:shd w:val="clear" w:color="auto" w:fill="FFFFFF"/>
              </w:rPr>
              <w:t xml:space="preserve"> nustatytus įkainius.</w:t>
            </w: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1B952C75" w14:textId="21DC816C" w:rsidR="005A5832" w:rsidRPr="004D76FF" w:rsidRDefault="00FA6BAC" w:rsidP="00AE6D92">
            <w:pPr>
              <w:spacing w:line="259" w:lineRule="auto"/>
              <w:rPr>
                <w:rFonts w:asciiTheme="minorHAnsi" w:hAnsiTheme="minorHAnsi" w:cstheme="minorHAnsi"/>
                <w:color w:val="000000"/>
                <w:kern w:val="2"/>
                <w:szCs w:val="24"/>
                <w:shd w:val="clear" w:color="auto" w:fill="FFFFFF"/>
              </w:rPr>
            </w:pPr>
            <w:r w:rsidRPr="004D76FF">
              <w:rPr>
                <w:rFonts w:asciiTheme="minorHAnsi" w:hAnsiTheme="minorHAnsi" w:cstheme="minorHAnsi"/>
                <w:kern w:val="2"/>
                <w:szCs w:val="24"/>
              </w:rPr>
              <w:t>Netaikoma</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35EE177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Sutarties vykdymui subtiekėjai ir (ar) specialistai nepasitelkiami.</w:t>
            </w:r>
          </w:p>
          <w:p w14:paraId="0A05E986" w14:textId="77777777" w:rsidR="005A5832" w:rsidRPr="004D76FF" w:rsidRDefault="005A5832">
            <w:pPr>
              <w:rPr>
                <w:rFonts w:asciiTheme="minorHAnsi" w:hAnsiTheme="minorHAnsi" w:cstheme="minorHAnsi"/>
                <w:kern w:val="2"/>
                <w:szCs w:val="24"/>
              </w:rPr>
            </w:pPr>
          </w:p>
          <w:p w14:paraId="1FDC783F" w14:textId="77777777"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color w:val="FF0000"/>
                <w:kern w:val="2"/>
                <w:szCs w:val="24"/>
              </w:rPr>
              <w:t>arba</w:t>
            </w:r>
          </w:p>
          <w:p w14:paraId="67FDD610" w14:textId="77777777" w:rsidR="005A5832" w:rsidRPr="004D76FF" w:rsidRDefault="005A5832">
            <w:pPr>
              <w:rPr>
                <w:rFonts w:asciiTheme="minorHAnsi" w:hAnsiTheme="minorHAnsi" w:cstheme="minorHAnsi"/>
                <w:kern w:val="2"/>
                <w:szCs w:val="24"/>
              </w:rPr>
            </w:pPr>
          </w:p>
          <w:p w14:paraId="100A011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kern w:val="2"/>
                <w:szCs w:val="24"/>
              </w:rPr>
              <w:t xml:space="preserve">Sutarties vykdymui pasitelkiami subtiekėjai ir (ar) specialistai yra nurodyti Sutarties priede Nr. </w:t>
            </w:r>
            <w:r w:rsidRPr="004D76FF">
              <w:rPr>
                <w:rFonts w:asciiTheme="minorHAnsi" w:hAnsiTheme="minorHAnsi" w:cstheme="minorHAnsi"/>
                <w:kern w:val="2"/>
                <w:szCs w:val="24"/>
                <w:highlight w:val="yellow"/>
              </w:rPr>
              <w:t>[...]</w:t>
            </w:r>
            <w:r w:rsidRPr="004D76FF">
              <w:rPr>
                <w:rFonts w:asciiTheme="minorHAnsi" w:hAnsiTheme="minorHAnsi" w:cstheme="minorHAnsi"/>
                <w:kern w:val="2"/>
                <w:szCs w:val="24"/>
              </w:rPr>
              <w:t xml:space="preserve"> „Sutarties vykdymui pasitelkiami subtiekėjai ir (ar) specialistai“</w:t>
            </w: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EA4E8CD" w14:textId="77777777" w:rsidR="00CC459B" w:rsidRPr="004D76FF" w:rsidRDefault="00CC459B" w:rsidP="00CC459B">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08E9FB70" w14:textId="1D9C2042" w:rsidR="005A5832" w:rsidRPr="004D76FF" w:rsidRDefault="005A5832">
            <w:pPr>
              <w:rPr>
                <w:rFonts w:asciiTheme="minorHAnsi" w:hAnsiTheme="minorHAnsi" w:cstheme="minorHAnsi"/>
                <w:kern w:val="2"/>
                <w:szCs w:val="24"/>
              </w:rPr>
            </w:pP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pirkimo dokumentuose nustatytų kokybinių kriterijų nepasiekimo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0F712704"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930EF8" w:rsidRPr="004D76FF">
              <w:rPr>
                <w:rFonts w:asciiTheme="minorHAnsi" w:hAnsiTheme="minorHAnsi" w:cstheme="minorHAnsi"/>
                <w:kern w:val="2"/>
              </w:rPr>
              <w:t xml:space="preserve"> ir kai pateikiamas sutarties įvykdymo užtikrinimas</w:t>
            </w:r>
            <w:r w:rsidRPr="004D76FF">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D2CAB0E" w14:textId="77777777" w:rsidR="005A5832" w:rsidRPr="004D76FF" w:rsidRDefault="00A10867" w:rsidP="62338AEF">
            <w:pPr>
              <w:rPr>
                <w:rFonts w:asciiTheme="minorHAnsi" w:hAnsiTheme="minorHAnsi" w:cstheme="minorHAnsi"/>
                <w:kern w:val="2"/>
              </w:rPr>
            </w:pPr>
            <w:r w:rsidRPr="004D76FF">
              <w:rPr>
                <w:rFonts w:asciiTheme="minorHAnsi" w:hAnsiTheme="minorHAnsi" w:cstheme="minorHAnsi"/>
                <w:kern w:val="2"/>
              </w:rPr>
              <w:t>Netaikoma</w:t>
            </w:r>
          </w:p>
          <w:p w14:paraId="24CF2B89" w14:textId="55EA5ADA" w:rsidR="005A5832" w:rsidRPr="004D76FF" w:rsidRDefault="005A5832">
            <w:pPr>
              <w:rPr>
                <w:rFonts w:asciiTheme="minorHAnsi" w:hAnsiTheme="minorHAnsi" w:cstheme="minorHAnsi"/>
                <w:kern w:val="2"/>
                <w:szCs w:val="24"/>
              </w:rPr>
            </w:pP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4198364C" w14:textId="2A330A9C" w:rsidR="005A5832" w:rsidRPr="004D76FF"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lastRenderedPageBreak/>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4408C5" w:rsidRPr="004D76FF">
              <w:rPr>
                <w:rFonts w:asciiTheme="minorHAnsi" w:hAnsiTheme="minorHAnsi" w:cstheme="minorHAnsi"/>
                <w:color w:val="000000" w:themeColor="text1"/>
                <w:kern w:val="2"/>
                <w:szCs w:val="24"/>
              </w:rPr>
              <w:t>Paslaugų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4408C5" w:rsidRPr="004D76FF">
              <w:rPr>
                <w:rFonts w:asciiTheme="minorHAnsi" w:eastAsia="Arial" w:hAnsiTheme="minorHAnsi" w:cstheme="minorHAnsi"/>
                <w:color w:val="000000" w:themeColor="text1"/>
                <w:kern w:val="2"/>
                <w:szCs w:val="24"/>
                <w:lang w:val="lt"/>
              </w:rPr>
              <w:t>.</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lastRenderedPageBreak/>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2F1F1007" w14:textId="77777777" w:rsidR="0088462B" w:rsidRPr="0088462B" w:rsidRDefault="0088462B" w:rsidP="0088462B">
            <w:pPr>
              <w:tabs>
                <w:tab w:val="left" w:pos="270"/>
                <w:tab w:val="left" w:pos="450"/>
              </w:tabs>
              <w:suppressAutoHyphens/>
              <w:autoSpaceDN w:val="0"/>
              <w:jc w:val="both"/>
              <w:rPr>
                <w:rFonts w:asciiTheme="minorHAnsi" w:hAnsiTheme="minorHAnsi" w:cstheme="minorHAnsi"/>
                <w:szCs w:val="24"/>
              </w:rPr>
            </w:pPr>
            <w:r w:rsidRPr="0088462B">
              <w:rPr>
                <w:rFonts w:asciiTheme="minorHAnsi" w:hAnsiTheme="minorHAnsi" w:cstheme="minorHAnsi"/>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4.4.1 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w:t>
            </w:r>
          </w:p>
          <w:p w14:paraId="5E3819D0" w14:textId="7CDC6BC3" w:rsidR="005A5832" w:rsidRPr="004D76FF" w:rsidRDefault="005A5832">
            <w:pPr>
              <w:rPr>
                <w:rFonts w:asciiTheme="minorHAnsi" w:hAnsiTheme="minorHAnsi" w:cstheme="minorHAnsi"/>
                <w:b/>
                <w:bCs/>
                <w:kern w:val="2"/>
                <w:szCs w:val="24"/>
              </w:rPr>
            </w:pP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51A9A3C7" w14:textId="77777777" w:rsidR="005A5832" w:rsidRPr="004D76FF" w:rsidRDefault="00A10867">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35E55601" w14:textId="28440A09" w:rsidR="005A5832" w:rsidRPr="004D76FF" w:rsidRDefault="005A5832">
            <w:pPr>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3C9EDCF" w14:textId="77777777" w:rsidR="005A5832" w:rsidRPr="004D76FF" w:rsidRDefault="00A10867">
            <w:pPr>
              <w:jc w:val="center"/>
              <w:rPr>
                <w:rFonts w:asciiTheme="minorHAnsi" w:hAnsiTheme="minorHAnsi" w:cstheme="minorHAnsi"/>
                <w:color w:val="4472C4"/>
                <w:kern w:val="2"/>
                <w:szCs w:val="24"/>
              </w:rPr>
            </w:pPr>
            <w:r w:rsidRPr="004D76FF">
              <w:rPr>
                <w:rFonts w:asciiTheme="minorHAnsi" w:hAnsiTheme="minorHAnsi" w:cstheme="minorHAnsi"/>
                <w:color w:val="4472C4"/>
                <w:kern w:val="2"/>
                <w:szCs w:val="24"/>
              </w:rPr>
              <w:t>(nurodomos atstovo pareigos, vardas, pavardė)</w:t>
            </w:r>
          </w:p>
        </w:tc>
        <w:tc>
          <w:tcPr>
            <w:tcW w:w="4747" w:type="dxa"/>
          </w:tcPr>
          <w:p w14:paraId="64B4EEA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color w:val="4472C4"/>
                <w:kern w:val="2"/>
                <w:szCs w:val="24"/>
              </w:rPr>
              <w:t>(nurodomos atstovo pareigos, vardas, pavardė)</w:t>
            </w: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t>_______________</w:t>
      </w:r>
    </w:p>
    <w:sectPr w:rsidR="005A5832" w:rsidRPr="004D76FF" w:rsidSect="005B50B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CCF33" w14:textId="77777777" w:rsidR="00736BEE" w:rsidRDefault="00736BEE">
      <w:pPr>
        <w:rPr>
          <w:kern w:val="2"/>
          <w:sz w:val="22"/>
          <w:szCs w:val="22"/>
          <w:lang w:val="en-US"/>
        </w:rPr>
      </w:pPr>
      <w:r>
        <w:rPr>
          <w:kern w:val="2"/>
          <w:sz w:val="22"/>
          <w:szCs w:val="22"/>
          <w:lang w:val="en-US"/>
        </w:rPr>
        <w:separator/>
      </w:r>
    </w:p>
  </w:endnote>
  <w:endnote w:type="continuationSeparator" w:id="0">
    <w:p w14:paraId="4DE089C5" w14:textId="77777777" w:rsidR="00736BEE" w:rsidRDefault="00736BEE">
      <w:pPr>
        <w:rPr>
          <w:kern w:val="2"/>
          <w:sz w:val="22"/>
          <w:szCs w:val="22"/>
          <w:lang w:val="en-US"/>
        </w:rPr>
      </w:pPr>
      <w:r>
        <w:rPr>
          <w:kern w:val="2"/>
          <w:sz w:val="22"/>
          <w:szCs w:val="22"/>
          <w:lang w:val="en-US"/>
        </w:rPr>
        <w:continuationSeparator/>
      </w:r>
    </w:p>
  </w:endnote>
  <w:endnote w:type="continuationNotice" w:id="1">
    <w:p w14:paraId="674A6196" w14:textId="77777777" w:rsidR="00736BEE" w:rsidRDefault="00736B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9EE2A" w14:textId="77777777" w:rsidR="00736BEE" w:rsidRDefault="00736BEE">
      <w:pPr>
        <w:rPr>
          <w:kern w:val="2"/>
          <w:sz w:val="22"/>
          <w:szCs w:val="22"/>
          <w:lang w:val="en-US"/>
        </w:rPr>
      </w:pPr>
      <w:r>
        <w:rPr>
          <w:kern w:val="2"/>
          <w:sz w:val="22"/>
          <w:szCs w:val="22"/>
          <w:lang w:val="en-US"/>
        </w:rPr>
        <w:separator/>
      </w:r>
    </w:p>
  </w:footnote>
  <w:footnote w:type="continuationSeparator" w:id="0">
    <w:p w14:paraId="2614BEA6" w14:textId="77777777" w:rsidR="00736BEE" w:rsidRDefault="00736BEE">
      <w:pPr>
        <w:rPr>
          <w:kern w:val="2"/>
          <w:sz w:val="22"/>
          <w:szCs w:val="22"/>
          <w:lang w:val="en-US"/>
        </w:rPr>
      </w:pPr>
      <w:r>
        <w:rPr>
          <w:kern w:val="2"/>
          <w:sz w:val="22"/>
          <w:szCs w:val="22"/>
          <w:lang w:val="en-US"/>
        </w:rPr>
        <w:continuationSeparator/>
      </w:r>
    </w:p>
  </w:footnote>
  <w:footnote w:type="continuationNotice" w:id="1">
    <w:p w14:paraId="0700FF00" w14:textId="77777777" w:rsidR="00736BEE" w:rsidRDefault="00736B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6E4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num w:numId="1" w16cid:durableId="528302698">
    <w:abstractNumId w:val="1"/>
  </w:num>
  <w:num w:numId="2" w16cid:durableId="181706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2C01"/>
    <w:rsid w:val="000259C0"/>
    <w:rsid w:val="00040E6C"/>
    <w:rsid w:val="000414E6"/>
    <w:rsid w:val="00045FFC"/>
    <w:rsid w:val="00051AD6"/>
    <w:rsid w:val="00063602"/>
    <w:rsid w:val="00084305"/>
    <w:rsid w:val="00094396"/>
    <w:rsid w:val="000A0D6A"/>
    <w:rsid w:val="000B4B48"/>
    <w:rsid w:val="000B7A1B"/>
    <w:rsid w:val="00104C50"/>
    <w:rsid w:val="00110CEA"/>
    <w:rsid w:val="00113F5F"/>
    <w:rsid w:val="001323C1"/>
    <w:rsid w:val="00140658"/>
    <w:rsid w:val="001672DF"/>
    <w:rsid w:val="001737B8"/>
    <w:rsid w:val="00183069"/>
    <w:rsid w:val="001854DE"/>
    <w:rsid w:val="001930E5"/>
    <w:rsid w:val="00193C9C"/>
    <w:rsid w:val="001A3923"/>
    <w:rsid w:val="001B0108"/>
    <w:rsid w:val="001B200F"/>
    <w:rsid w:val="001C0C6B"/>
    <w:rsid w:val="001D07BB"/>
    <w:rsid w:val="001D6E4E"/>
    <w:rsid w:val="00207E18"/>
    <w:rsid w:val="00214366"/>
    <w:rsid w:val="002510A5"/>
    <w:rsid w:val="00255B5A"/>
    <w:rsid w:val="002615BD"/>
    <w:rsid w:val="002B2686"/>
    <w:rsid w:val="002B5353"/>
    <w:rsid w:val="002C3811"/>
    <w:rsid w:val="002C4862"/>
    <w:rsid w:val="002C527B"/>
    <w:rsid w:val="002D1924"/>
    <w:rsid w:val="002F0D59"/>
    <w:rsid w:val="002F3B93"/>
    <w:rsid w:val="002F7C86"/>
    <w:rsid w:val="00340CBC"/>
    <w:rsid w:val="00343345"/>
    <w:rsid w:val="003568F9"/>
    <w:rsid w:val="00363E2A"/>
    <w:rsid w:val="00374BB9"/>
    <w:rsid w:val="00374CD8"/>
    <w:rsid w:val="003B2569"/>
    <w:rsid w:val="003D11EE"/>
    <w:rsid w:val="003D2E3E"/>
    <w:rsid w:val="003D536B"/>
    <w:rsid w:val="003E66AF"/>
    <w:rsid w:val="004155E5"/>
    <w:rsid w:val="00420ECC"/>
    <w:rsid w:val="0043027D"/>
    <w:rsid w:val="004408C5"/>
    <w:rsid w:val="00451535"/>
    <w:rsid w:val="004707F9"/>
    <w:rsid w:val="00491324"/>
    <w:rsid w:val="00497B33"/>
    <w:rsid w:val="004A1FFC"/>
    <w:rsid w:val="004B52DE"/>
    <w:rsid w:val="004B6D30"/>
    <w:rsid w:val="004C10B3"/>
    <w:rsid w:val="004D47EB"/>
    <w:rsid w:val="004D76FF"/>
    <w:rsid w:val="004E7856"/>
    <w:rsid w:val="004F492B"/>
    <w:rsid w:val="00523D0C"/>
    <w:rsid w:val="00531E06"/>
    <w:rsid w:val="00533530"/>
    <w:rsid w:val="00542F50"/>
    <w:rsid w:val="005571F8"/>
    <w:rsid w:val="00565E9F"/>
    <w:rsid w:val="00567332"/>
    <w:rsid w:val="00567C62"/>
    <w:rsid w:val="00573196"/>
    <w:rsid w:val="005867A3"/>
    <w:rsid w:val="005A5832"/>
    <w:rsid w:val="005B50BB"/>
    <w:rsid w:val="005B7A1D"/>
    <w:rsid w:val="005F2D66"/>
    <w:rsid w:val="005F5B23"/>
    <w:rsid w:val="00607620"/>
    <w:rsid w:val="00612D4B"/>
    <w:rsid w:val="00664606"/>
    <w:rsid w:val="00674DAD"/>
    <w:rsid w:val="00674E38"/>
    <w:rsid w:val="006778B2"/>
    <w:rsid w:val="006A30E7"/>
    <w:rsid w:val="006C60F6"/>
    <w:rsid w:val="006E2D67"/>
    <w:rsid w:val="00736BEE"/>
    <w:rsid w:val="007414D9"/>
    <w:rsid w:val="007618C8"/>
    <w:rsid w:val="00764978"/>
    <w:rsid w:val="0079359A"/>
    <w:rsid w:val="007974CF"/>
    <w:rsid w:val="007A0EF7"/>
    <w:rsid w:val="007B3BB4"/>
    <w:rsid w:val="007E61AF"/>
    <w:rsid w:val="007E7560"/>
    <w:rsid w:val="0084626F"/>
    <w:rsid w:val="0085082C"/>
    <w:rsid w:val="008635FF"/>
    <w:rsid w:val="00870186"/>
    <w:rsid w:val="0087042C"/>
    <w:rsid w:val="0088462B"/>
    <w:rsid w:val="00886CD2"/>
    <w:rsid w:val="00894937"/>
    <w:rsid w:val="008A0E19"/>
    <w:rsid w:val="008A71D8"/>
    <w:rsid w:val="008B1E45"/>
    <w:rsid w:val="008C12E7"/>
    <w:rsid w:val="008C168C"/>
    <w:rsid w:val="008E17BA"/>
    <w:rsid w:val="008E3AC9"/>
    <w:rsid w:val="008E417F"/>
    <w:rsid w:val="0092631E"/>
    <w:rsid w:val="00930EF8"/>
    <w:rsid w:val="00936C06"/>
    <w:rsid w:val="00976BC0"/>
    <w:rsid w:val="009832E1"/>
    <w:rsid w:val="009B1A8F"/>
    <w:rsid w:val="009C0C2D"/>
    <w:rsid w:val="009E0620"/>
    <w:rsid w:val="009E1142"/>
    <w:rsid w:val="009F6AC2"/>
    <w:rsid w:val="00A02B53"/>
    <w:rsid w:val="00A10867"/>
    <w:rsid w:val="00A30D53"/>
    <w:rsid w:val="00A334C7"/>
    <w:rsid w:val="00A35759"/>
    <w:rsid w:val="00A47A58"/>
    <w:rsid w:val="00A56AC2"/>
    <w:rsid w:val="00A67CF0"/>
    <w:rsid w:val="00A8350D"/>
    <w:rsid w:val="00AB26BE"/>
    <w:rsid w:val="00AB2B77"/>
    <w:rsid w:val="00AC367A"/>
    <w:rsid w:val="00AE6D92"/>
    <w:rsid w:val="00AF419C"/>
    <w:rsid w:val="00B10171"/>
    <w:rsid w:val="00B15098"/>
    <w:rsid w:val="00B400F8"/>
    <w:rsid w:val="00B44FF0"/>
    <w:rsid w:val="00B463A9"/>
    <w:rsid w:val="00B578B3"/>
    <w:rsid w:val="00B67B03"/>
    <w:rsid w:val="00B70ADE"/>
    <w:rsid w:val="00B82D01"/>
    <w:rsid w:val="00B84883"/>
    <w:rsid w:val="00BB258E"/>
    <w:rsid w:val="00BD1A2F"/>
    <w:rsid w:val="00BE52BA"/>
    <w:rsid w:val="00BF1626"/>
    <w:rsid w:val="00C169EF"/>
    <w:rsid w:val="00C226BC"/>
    <w:rsid w:val="00C325E3"/>
    <w:rsid w:val="00C71AB9"/>
    <w:rsid w:val="00C81662"/>
    <w:rsid w:val="00C96A6D"/>
    <w:rsid w:val="00CA4372"/>
    <w:rsid w:val="00CC459B"/>
    <w:rsid w:val="00CF6000"/>
    <w:rsid w:val="00CF646C"/>
    <w:rsid w:val="00D0475A"/>
    <w:rsid w:val="00D22C1E"/>
    <w:rsid w:val="00D32A66"/>
    <w:rsid w:val="00D32DB7"/>
    <w:rsid w:val="00D358AB"/>
    <w:rsid w:val="00D46C46"/>
    <w:rsid w:val="00D53AC1"/>
    <w:rsid w:val="00D76D2F"/>
    <w:rsid w:val="00D87085"/>
    <w:rsid w:val="00D96B9B"/>
    <w:rsid w:val="00DB43C6"/>
    <w:rsid w:val="00DE2B1E"/>
    <w:rsid w:val="00DF2011"/>
    <w:rsid w:val="00E64492"/>
    <w:rsid w:val="00E804D7"/>
    <w:rsid w:val="00EC1CCE"/>
    <w:rsid w:val="00EC600D"/>
    <w:rsid w:val="00ED51ED"/>
    <w:rsid w:val="00EE12FA"/>
    <w:rsid w:val="00EE400E"/>
    <w:rsid w:val="00EE4034"/>
    <w:rsid w:val="00EE67B7"/>
    <w:rsid w:val="00EF2736"/>
    <w:rsid w:val="00EF2E12"/>
    <w:rsid w:val="00F00FC5"/>
    <w:rsid w:val="00F0221E"/>
    <w:rsid w:val="00F033C8"/>
    <w:rsid w:val="00F5119E"/>
    <w:rsid w:val="00F53DEC"/>
    <w:rsid w:val="00F558CE"/>
    <w:rsid w:val="00F608F3"/>
    <w:rsid w:val="00F613BE"/>
    <w:rsid w:val="00F73BC6"/>
    <w:rsid w:val="00F8150A"/>
    <w:rsid w:val="00FA0F37"/>
    <w:rsid w:val="00FA6BAC"/>
    <w:rsid w:val="00FB7B61"/>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miriniene@line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2ECDF-C5FB-4F39-A7B5-D3BC52C5F538}">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1677</Words>
  <Characters>9565</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68</cp:revision>
  <dcterms:created xsi:type="dcterms:W3CDTF">2024-10-30T08:25:00Z</dcterms:created>
  <dcterms:modified xsi:type="dcterms:W3CDTF">2025-01-08T11:29:00Z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