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163B2733" w:rsidR="004C6023" w:rsidRPr="00C00F26" w:rsidRDefault="0054756B" w:rsidP="003263EE">
      <w:pPr>
        <w:pStyle w:val="Antrat1"/>
        <w:spacing w:before="0" w:after="0"/>
        <w:jc w:val="center"/>
        <w:rPr>
          <w:rStyle w:val="CharStyle7"/>
          <w:rFonts w:eastAsia="MS Gothic"/>
          <w:b w:val="0"/>
          <w:bCs w:val="0"/>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sidRPr="00C00F26">
        <w:rPr>
          <w:rStyle w:val="CharStyle7"/>
          <w:rFonts w:eastAsia="MS Gothic"/>
          <w:b w:val="0"/>
          <w:bCs w:val="0"/>
          <w:sz w:val="24"/>
          <w:szCs w:val="24"/>
        </w:rPr>
        <w:t>„</w:t>
      </w:r>
      <w:r w:rsidR="00C00F26" w:rsidRPr="00C00F26">
        <w:rPr>
          <w:rFonts w:ascii="Times New Roman" w:hAnsi="Times New Roman" w:cs="Times New Roman"/>
          <w:b/>
          <w:bCs/>
          <w:sz w:val="24"/>
          <w:szCs w:val="24"/>
        </w:rPr>
        <w:t>Sunkių kvėpavimo takų rinkinia</w:t>
      </w:r>
      <w:r w:rsidR="004913D0">
        <w:rPr>
          <w:rFonts w:ascii="Times New Roman" w:hAnsi="Times New Roman" w:cs="Times New Roman"/>
          <w:b/>
          <w:bCs/>
          <w:sz w:val="24"/>
          <w:szCs w:val="24"/>
        </w:rPr>
        <w:t>i</w:t>
      </w:r>
      <w:r w:rsidR="003202D2" w:rsidRPr="00C00F26">
        <w:rPr>
          <w:rStyle w:val="CharStyle7"/>
          <w:rFonts w:eastAsia="MS Gothic"/>
          <w:b w:val="0"/>
          <w:bCs w:val="0"/>
          <w:sz w:val="24"/>
          <w:szCs w:val="24"/>
        </w:rPr>
        <w:t xml:space="preserve">“ </w:t>
      </w:r>
    </w:p>
    <w:p w14:paraId="2683DB88" w14:textId="77777777" w:rsidR="003263EE" w:rsidRPr="003263EE" w:rsidRDefault="003263EE" w:rsidP="003263EE">
      <w:pPr>
        <w:pStyle w:val="Pagrindinistekstas"/>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1"/>
                <w:sz w:val="22"/>
                <w:szCs w:val="22"/>
              </w:rPr>
              <w:t xml:space="preserve"> </w:t>
            </w:r>
            <w:bookmarkStart w:id="0" w:name="_Hlk89263577"/>
            <w:r w:rsidR="009F7D1D" w:rsidRPr="003202D2">
              <w:rPr>
                <w:rStyle w:val="Numatytasispastraiposriftas1"/>
                <w:sz w:val="22"/>
                <w:szCs w:val="22"/>
              </w:rPr>
              <w:t>Viešoji įstaiga Respublikinė Vilniaus universitetinė ligoninė</w:t>
            </w:r>
            <w:bookmarkEnd w:id="0"/>
            <w:r w:rsidR="003202D2">
              <w:rPr>
                <w:rStyle w:val="Numatytasispastraiposriftas1"/>
                <w:sz w:val="22"/>
                <w:szCs w:val="22"/>
              </w:rPr>
              <w:t>.</w:t>
            </w:r>
            <w:r w:rsidRPr="003202D2">
              <w:rPr>
                <w:rStyle w:val="CharStyle11"/>
                <w:sz w:val="22"/>
                <w:szCs w:val="22"/>
              </w:rPr>
              <w:t xml:space="preserve"> </w:t>
            </w:r>
          </w:p>
          <w:p w14:paraId="7FD03442" w14:textId="6AFCEF40"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C00F26" w:rsidRPr="00C00F26">
              <w:rPr>
                <w:sz w:val="22"/>
                <w:szCs w:val="22"/>
              </w:rPr>
              <w:t>Sunkių kvėpavimo takų rinkiniai</w:t>
            </w:r>
            <w:r w:rsidR="006505A4">
              <w:rPr>
                <w:rStyle w:val="CharStyle11"/>
                <w:sz w:val="22"/>
                <w:szCs w:val="22"/>
              </w:rPr>
              <w:t xml:space="preserve">. </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771E8331" w:rsidR="007833DB" w:rsidRPr="00D0352C" w:rsidRDefault="003202D2" w:rsidP="003202D2">
            <w:pPr>
              <w:pStyle w:val="Antrat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w:t>
            </w:r>
            <w:r w:rsidR="006505A4" w:rsidRPr="006505A4">
              <w:rPr>
                <w:rStyle w:val="CharStyle11"/>
                <w:rFonts w:eastAsia="Courier New"/>
                <w:noProof/>
                <w:sz w:val="22"/>
                <w:szCs w:val="22"/>
              </w:rPr>
              <w:t>Irmina Galdikienė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8" w:history="1">
              <w:r w:rsidR="006505A4" w:rsidRPr="00606802">
                <w:rPr>
                  <w:rStyle w:val="Hipersaitas"/>
                  <w:rFonts w:ascii="Times New Roman" w:hAnsi="Times New Roman" w:cs="Times New Roman"/>
                  <w:noProof/>
                  <w:sz w:val="22"/>
                  <w:szCs w:val="22"/>
                </w:rPr>
                <w:t>irmina.galdikiene@rvul.lt</w:t>
              </w:r>
            </w:hyperlink>
          </w:p>
          <w:p w14:paraId="6C4804DF" w14:textId="66D97F1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tel. +370 5 </w:t>
            </w:r>
            <w:r w:rsidR="006505A4">
              <w:rPr>
                <w:rFonts w:ascii="Times New Roman" w:hAnsi="Times New Roman" w:cs="Times New Roman"/>
                <w:noProof/>
                <w:sz w:val="22"/>
                <w:szCs w:val="22"/>
              </w:rPr>
              <w:t>27 87378</w:t>
            </w:r>
            <w:r w:rsidRPr="00D0352C">
              <w:rPr>
                <w:rFonts w:ascii="Times New Roman" w:hAnsi="Times New Roman" w:cs="Times New Roman"/>
                <w:noProof/>
                <w:sz w:val="22"/>
                <w:szCs w:val="22"/>
              </w:rPr>
              <w:t xml:space="preserve">,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Antrat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145BA66D" w:rsidR="007833DB" w:rsidRPr="00F824D8" w:rsidRDefault="0054756B" w:rsidP="00893FB6">
            <w:pPr>
              <w:pStyle w:val="a1"/>
              <w:jc w:val="both"/>
              <w:rPr>
                <w:sz w:val="22"/>
                <w:szCs w:val="22"/>
              </w:rPr>
            </w:pPr>
            <w:r w:rsidRPr="00893FB6">
              <w:rPr>
                <w:rStyle w:val="CharStyle11"/>
                <w:sz w:val="22"/>
                <w:szCs w:val="22"/>
              </w:rPr>
              <w:t>Ne vėliau kaip iki termino, nurodyto CVP IS</w:t>
            </w:r>
            <w:r w:rsidR="00AD7A51" w:rsidRPr="00893FB6">
              <w:rPr>
                <w:rStyle w:val="CharStyle11"/>
                <w:sz w:val="22"/>
                <w:szCs w:val="22"/>
              </w:rPr>
              <w:t xml:space="preserve">, t. </w:t>
            </w:r>
            <w:r w:rsidR="00A5060D" w:rsidRPr="00893FB6">
              <w:rPr>
                <w:rStyle w:val="CharStyle11"/>
                <w:sz w:val="22"/>
                <w:szCs w:val="22"/>
              </w:rPr>
              <w:t>y</w:t>
            </w:r>
            <w:r w:rsidR="00AD7A51" w:rsidRPr="00893FB6">
              <w:rPr>
                <w:rStyle w:val="CharStyle11"/>
                <w:sz w:val="22"/>
                <w:szCs w:val="22"/>
              </w:rPr>
              <w:t xml:space="preserve">. </w:t>
            </w:r>
            <w:r w:rsidR="00AD7A51" w:rsidRPr="00893FB6">
              <w:rPr>
                <w:sz w:val="22"/>
                <w:szCs w:val="22"/>
              </w:rPr>
              <w:t xml:space="preserve">iki </w:t>
            </w:r>
            <w:r w:rsidR="00AD7A51" w:rsidRPr="00893FB6">
              <w:rPr>
                <w:b/>
                <w:bCs/>
                <w:sz w:val="22"/>
                <w:szCs w:val="22"/>
                <w:lang w:eastAsia="ar-SA"/>
              </w:rPr>
              <w:t>202</w:t>
            </w:r>
            <w:r w:rsidR="004913D0">
              <w:rPr>
                <w:b/>
                <w:bCs/>
                <w:sz w:val="22"/>
                <w:szCs w:val="22"/>
                <w:lang w:eastAsia="ar-SA"/>
              </w:rPr>
              <w:t>5</w:t>
            </w:r>
            <w:r w:rsidR="00AD7A51" w:rsidRPr="00893FB6">
              <w:rPr>
                <w:b/>
                <w:bCs/>
                <w:sz w:val="22"/>
                <w:szCs w:val="22"/>
                <w:lang w:eastAsia="ar-SA"/>
              </w:rPr>
              <w:t xml:space="preserve"> m. </w:t>
            </w:r>
            <w:r w:rsidR="004913D0">
              <w:rPr>
                <w:b/>
                <w:bCs/>
                <w:sz w:val="22"/>
                <w:szCs w:val="22"/>
                <w:lang w:eastAsia="ar-SA"/>
              </w:rPr>
              <w:t>vasario 17</w:t>
            </w:r>
            <w:r w:rsidR="00AD7A51" w:rsidRPr="00893FB6">
              <w:rPr>
                <w:b/>
                <w:bCs/>
                <w:sz w:val="22"/>
                <w:szCs w:val="22"/>
                <w:lang w:eastAsia="ar-SA"/>
              </w:rPr>
              <w:t xml:space="preserve"> d. </w:t>
            </w:r>
            <w:r w:rsidR="006505A4">
              <w:rPr>
                <w:b/>
                <w:bCs/>
                <w:sz w:val="22"/>
                <w:szCs w:val="22"/>
                <w:lang w:eastAsia="ar-SA"/>
              </w:rPr>
              <w:t>23</w:t>
            </w:r>
            <w:r w:rsidR="00F824D8" w:rsidRPr="00893FB6">
              <w:rPr>
                <w:b/>
                <w:bCs/>
                <w:sz w:val="22"/>
                <w:szCs w:val="22"/>
                <w:lang w:eastAsia="ar-SA"/>
              </w:rPr>
              <w:t>:</w:t>
            </w:r>
            <w:r w:rsidR="006505A4">
              <w:rPr>
                <w:b/>
                <w:bCs/>
                <w:sz w:val="22"/>
                <w:szCs w:val="22"/>
                <w:lang w:eastAsia="ar-SA"/>
              </w:rPr>
              <w:t>59</w:t>
            </w:r>
            <w:r w:rsidR="00AD7A51" w:rsidRPr="00893FB6">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lastRenderedPageBreak/>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5C04E041"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w:t>
            </w:r>
            <w:r w:rsidR="006505A4">
              <w:rPr>
                <w:rStyle w:val="CharStyle6"/>
                <w:rFonts w:eastAsia="Courier New"/>
                <w:sz w:val="22"/>
                <w:szCs w:val="22"/>
              </w:rPr>
              <w:t>s</w:t>
            </w:r>
            <w:r w:rsidRPr="00B70546">
              <w:rPr>
                <w:rStyle w:val="CharStyle6"/>
                <w:rFonts w:eastAsia="Courier New"/>
                <w:sz w:val="22"/>
                <w:szCs w:val="22"/>
              </w:rPr>
              <w:t>;</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17A8" w14:textId="77777777" w:rsidR="00C77710" w:rsidRDefault="00C77710">
      <w:r>
        <w:separator/>
      </w:r>
    </w:p>
  </w:endnote>
  <w:endnote w:type="continuationSeparator" w:id="0">
    <w:p w14:paraId="63200594" w14:textId="77777777" w:rsidR="00C77710" w:rsidRDefault="00C7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8EFF" w14:textId="77777777" w:rsidR="00C77710" w:rsidRDefault="00C77710">
      <w:r>
        <w:separator/>
      </w:r>
    </w:p>
  </w:footnote>
  <w:footnote w:type="continuationSeparator" w:id="0">
    <w:p w14:paraId="48799269" w14:textId="77777777" w:rsidR="00C77710" w:rsidRDefault="00C77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43905305">
    <w:abstractNumId w:val="0"/>
  </w:num>
  <w:num w:numId="2" w16cid:durableId="1865825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22476"/>
    <w:rsid w:val="00035256"/>
    <w:rsid w:val="00070427"/>
    <w:rsid w:val="00075422"/>
    <w:rsid w:val="000D5E48"/>
    <w:rsid w:val="000F5BEE"/>
    <w:rsid w:val="00107DF0"/>
    <w:rsid w:val="001174B2"/>
    <w:rsid w:val="001C2E82"/>
    <w:rsid w:val="001D23B7"/>
    <w:rsid w:val="001E3EB8"/>
    <w:rsid w:val="001E6507"/>
    <w:rsid w:val="002401E7"/>
    <w:rsid w:val="0027167A"/>
    <w:rsid w:val="002A01CE"/>
    <w:rsid w:val="002E4489"/>
    <w:rsid w:val="002E6577"/>
    <w:rsid w:val="002F737C"/>
    <w:rsid w:val="003202D2"/>
    <w:rsid w:val="003263EE"/>
    <w:rsid w:val="00354589"/>
    <w:rsid w:val="00360775"/>
    <w:rsid w:val="003B74D5"/>
    <w:rsid w:val="003D6222"/>
    <w:rsid w:val="003D7F76"/>
    <w:rsid w:val="003E6445"/>
    <w:rsid w:val="003F4F80"/>
    <w:rsid w:val="004052E7"/>
    <w:rsid w:val="00443067"/>
    <w:rsid w:val="004913D0"/>
    <w:rsid w:val="004A439E"/>
    <w:rsid w:val="004C6023"/>
    <w:rsid w:val="004D20CD"/>
    <w:rsid w:val="004F0658"/>
    <w:rsid w:val="0051364F"/>
    <w:rsid w:val="0054756B"/>
    <w:rsid w:val="005B268A"/>
    <w:rsid w:val="005D4A03"/>
    <w:rsid w:val="00616980"/>
    <w:rsid w:val="006505A4"/>
    <w:rsid w:val="006C7EED"/>
    <w:rsid w:val="006E243A"/>
    <w:rsid w:val="00724EC2"/>
    <w:rsid w:val="00754846"/>
    <w:rsid w:val="007833DB"/>
    <w:rsid w:val="00793763"/>
    <w:rsid w:val="0083106F"/>
    <w:rsid w:val="00853A51"/>
    <w:rsid w:val="00860841"/>
    <w:rsid w:val="00876FF2"/>
    <w:rsid w:val="0089143F"/>
    <w:rsid w:val="00893FB6"/>
    <w:rsid w:val="008B1989"/>
    <w:rsid w:val="008B23D7"/>
    <w:rsid w:val="008B26CD"/>
    <w:rsid w:val="009269FD"/>
    <w:rsid w:val="00934A4D"/>
    <w:rsid w:val="009425D7"/>
    <w:rsid w:val="00973566"/>
    <w:rsid w:val="009A4604"/>
    <w:rsid w:val="009B6AF6"/>
    <w:rsid w:val="009E5CD3"/>
    <w:rsid w:val="009F7D1D"/>
    <w:rsid w:val="00A1518A"/>
    <w:rsid w:val="00A5060D"/>
    <w:rsid w:val="00A634A5"/>
    <w:rsid w:val="00A63D16"/>
    <w:rsid w:val="00A75B27"/>
    <w:rsid w:val="00AB2665"/>
    <w:rsid w:val="00AC234A"/>
    <w:rsid w:val="00AC7A39"/>
    <w:rsid w:val="00AD7A51"/>
    <w:rsid w:val="00AE47C2"/>
    <w:rsid w:val="00B27DA3"/>
    <w:rsid w:val="00B32815"/>
    <w:rsid w:val="00B51A2B"/>
    <w:rsid w:val="00B5278B"/>
    <w:rsid w:val="00B642E2"/>
    <w:rsid w:val="00B70546"/>
    <w:rsid w:val="00B8460A"/>
    <w:rsid w:val="00BA6C7F"/>
    <w:rsid w:val="00BB0835"/>
    <w:rsid w:val="00BD1068"/>
    <w:rsid w:val="00C00F26"/>
    <w:rsid w:val="00C26477"/>
    <w:rsid w:val="00C33CB6"/>
    <w:rsid w:val="00C57E5C"/>
    <w:rsid w:val="00C74296"/>
    <w:rsid w:val="00C77710"/>
    <w:rsid w:val="00CB5DA4"/>
    <w:rsid w:val="00D0352C"/>
    <w:rsid w:val="00D71857"/>
    <w:rsid w:val="00DF1179"/>
    <w:rsid w:val="00E34D13"/>
    <w:rsid w:val="00E43C21"/>
    <w:rsid w:val="00E6442D"/>
    <w:rsid w:val="00EB7659"/>
    <w:rsid w:val="00F17BFD"/>
    <w:rsid w:val="00F253CB"/>
    <w:rsid w:val="00F4685F"/>
    <w:rsid w:val="00F5394D"/>
    <w:rsid w:val="00F824D8"/>
    <w:rsid w:val="00FE5417"/>
    <w:rsid w:val="00FF39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6D5C0BFD-7283-4262-8F1F-4B672F3A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character" w:styleId="Hipersaitas">
    <w:name w:val="Hyperlink"/>
    <w:basedOn w:val="Numatytasispastraiposriftas"/>
    <w:uiPriority w:val="99"/>
    <w:unhideWhenUsed/>
    <w:rsid w:val="003202D2"/>
    <w:rPr>
      <w:color w:val="0563C1" w:themeColor="hyperlink"/>
      <w:u w:val="single"/>
    </w:rPr>
  </w:style>
  <w:style w:type="character" w:styleId="Neapdorotaspaminjimas">
    <w:name w:val="Unresolved Mention"/>
    <w:basedOn w:val="Numatytasispastraiposriftas"/>
    <w:uiPriority w:val="99"/>
    <w:semiHidden/>
    <w:unhideWhenUsed/>
    <w:rsid w:val="00650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ina.galdikiene@rvu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FDDB4-9936-459C-AE94-C40C0FCC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Irmina Galdikienė</cp:lastModifiedBy>
  <cp:revision>2</cp:revision>
  <dcterms:created xsi:type="dcterms:W3CDTF">2025-02-05T12:26:00Z</dcterms:created>
  <dcterms:modified xsi:type="dcterms:W3CDTF">2025-02-05T12:26:00Z</dcterms:modified>
  <dc:language>lt-LT</dc:language>
</cp:coreProperties>
</file>