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A524" w14:textId="463B3EE6" w:rsidR="005625D4" w:rsidRPr="008A511B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A511B">
        <w:rPr>
          <w:rFonts w:ascii="Times New Roman" w:hAnsi="Times New Roman" w:cs="Times New Roman"/>
          <w:sz w:val="24"/>
          <w:szCs w:val="24"/>
          <w:lang w:val="lt-LT"/>
        </w:rPr>
        <w:t>Suinteresuotiems dalyviams</w:t>
      </w:r>
      <w:r w:rsidR="00EF3E34" w:rsidRPr="008A511B">
        <w:rPr>
          <w:rFonts w:ascii="Times New Roman" w:hAnsi="Times New Roman" w:cs="Times New Roman"/>
          <w:sz w:val="24"/>
          <w:szCs w:val="24"/>
          <w:lang w:val="lt-LT"/>
        </w:rPr>
        <w:t>/</w:t>
      </w:r>
      <w:proofErr w:type="spellStart"/>
      <w:r w:rsidR="000A31AE" w:rsidRPr="008A511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0A31AE" w:rsidRPr="008A511B">
        <w:rPr>
          <w:rFonts w:ascii="Times New Roman" w:hAnsi="Times New Roman" w:cs="Times New Roman"/>
          <w:sz w:val="24"/>
          <w:szCs w:val="24"/>
        </w:rPr>
        <w:t xml:space="preserve"> зацікавлених</w:t>
      </w:r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учасників тендеру </w:t>
      </w:r>
    </w:p>
    <w:p w14:paraId="177912D4" w14:textId="7EC35A4F" w:rsidR="00EF3E34" w:rsidRPr="000A31AE" w:rsidRDefault="005625D4" w:rsidP="00EE4BD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 xml:space="preserve">SUPAPRASTINTO </w:t>
      </w:r>
      <w:r>
        <w:rPr>
          <w:rFonts w:ascii="Times New Roman" w:hAnsi="Times New Roman" w:cs="Times New Roman"/>
          <w:sz w:val="24"/>
          <w:szCs w:val="24"/>
          <w:lang w:val="lt-LT"/>
        </w:rPr>
        <w:t>ATVIRO KONKURSO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Dvigubos paskirties antiradiacinės slėptuvės, sujungtos su licėjumi,  naujos statybos darbai, adresas: Dovženko g. 34, Desna, Černihivo regionas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 pirkimo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bCs/>
          <w:sz w:val="24"/>
          <w:szCs w:val="24"/>
          <w:lang w:val="lt-LT"/>
        </w:rPr>
        <w:t>ID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</w:rPr>
        <w:t>907655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Pr="00651446">
        <w:rPr>
          <w:rFonts w:ascii="Times New Roman" w:hAnsi="Times New Roman" w:cs="Times New Roman"/>
          <w:bCs/>
          <w:sz w:val="24"/>
          <w:szCs w:val="24"/>
          <w:lang w:val="lt-LT"/>
        </w:rPr>
        <w:t>(PIRKIMAS)</w:t>
      </w:r>
      <w:r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37AB1">
        <w:rPr>
          <w:rFonts w:ascii="Times New Roman" w:hAnsi="Times New Roman" w:cs="Times New Roman"/>
          <w:b/>
          <w:sz w:val="24"/>
          <w:szCs w:val="24"/>
          <w:lang w:val="lt-LT"/>
        </w:rPr>
        <w:t>DOKUMENTŲ</w:t>
      </w:r>
      <w:r w:rsidRPr="005625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PAAIŠKINIMO IR / AR PATIKSLINIMO </w:t>
      </w:r>
      <w:r w:rsidR="00EF3E34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B86F1C" w:rsidRPr="00651446">
        <w:rPr>
          <w:rFonts w:ascii="Segoe UI" w:hAnsi="Segoe UI" w:cs="Segoe UI"/>
          <w:color w:val="000000"/>
          <w:sz w:val="21"/>
          <w:szCs w:val="21"/>
          <w:shd w:val="clear" w:color="auto" w:fill="EFF6FF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ПРО СПРОЩЕНИЙ ВІДКРИТИЙ КОНКУРС «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Нове будівництво споруди подвійного призначення (СПП) з захисними властивостями протирадіаційного укриття (ПРУ)  з влаштуванням переходу з існуючого корпусу Деснянського ліцею Деснянської селищної ради за адресою: Чернігівська область, Чернігівський район, смт Десна, вул. Довженко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»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ID покупки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i/>
          <w:iCs/>
          <w:sz w:val="24"/>
          <w:szCs w:val="24"/>
          <w:lang w:val="lt-LT"/>
        </w:rPr>
        <w:t>907655</w:t>
      </w:r>
      <w:r w:rsidR="0015421E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(КУПІВЛЯ) </w:t>
      </w:r>
      <w:r w:rsidR="00B86F1C"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>УТОЧНЕННЯ ТА/АБО УТОЧНЕННЯ ДОКУМЕНТІВ</w:t>
      </w:r>
    </w:p>
    <w:p w14:paraId="6E5FDDDA" w14:textId="77777777" w:rsidR="005625D4" w:rsidRPr="005625D4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1E175E4" w14:textId="4FC2D6B9" w:rsidR="00EF3E34" w:rsidRPr="00EF3E34" w:rsidRDefault="005625D4" w:rsidP="00B86F1C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VšĮ Centrinė projektų valdymo agentūra (Perkančioji organizacija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arba CPVA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) 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Centrinės viešųjų pirkimų informacinės sistemos priemonėmis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CVP IS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priemonėmis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gavo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tiekėjo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klausim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/prašym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paaiškinti/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patikslinti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irkimo dokumentus.</w:t>
      </w:r>
      <w:r w:rsidR="00EF3E3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Центральне агентство з управління проектами </w:t>
      </w:r>
      <w:r w:rsidR="00C631C6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631C6" w:rsidRPr="00651446">
        <w:rPr>
          <w:rFonts w:ascii="Times New Roman" w:hAnsi="Times New Roman" w:cs="Times New Roman"/>
          <w:sz w:val="24"/>
          <w:szCs w:val="24"/>
          <w:lang w:val="lt-LT"/>
        </w:rPr>
        <w:t>«</w:t>
      </w:r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Замовна організація»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або </w:t>
      </w:r>
      <w:r w:rsidR="00EE4BD6">
        <w:rPr>
          <w:rFonts w:ascii="Times New Roman" w:hAnsi="Times New Roman" w:cs="Times New Roman"/>
          <w:b/>
          <w:sz w:val="24"/>
          <w:szCs w:val="24"/>
          <w:lang w:val="lt-LT"/>
        </w:rPr>
        <w:t>CPVA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отримало питання/запити від постачальника щодо пояснення/уточнення Закупівельної документації за допомогою </w:t>
      </w:r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Центральної інформаційної системи закупівель (CVP IS).</w:t>
      </w:r>
    </w:p>
    <w:p w14:paraId="6ECEE0EA" w14:textId="676FABF6" w:rsidR="005625D4" w:rsidRPr="00574513" w:rsidRDefault="005625D4" w:rsidP="005625D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1197606E" w14:textId="06236D47" w:rsidR="005625D4" w:rsidRPr="00574513" w:rsidRDefault="005625D4" w:rsidP="00EF3E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 išnagrinėjo klausimus</w:t>
      </w:r>
      <w:r w:rsidR="002554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/prašymus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teikia atsakymus</w:t>
      </w:r>
      <w:r w:rsidR="00255485" w:rsidRPr="002554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5485"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paaiškindama / patikslindama Pirkimo </w:t>
      </w:r>
      <w:r w:rsidR="00937AB1">
        <w:rPr>
          <w:rFonts w:ascii="Times New Roman" w:hAnsi="Times New Roman" w:cs="Times New Roman"/>
          <w:sz w:val="24"/>
          <w:szCs w:val="24"/>
          <w:lang w:val="lt-LT"/>
        </w:rPr>
        <w:t>dokumentus</w:t>
      </w:r>
      <w:r w:rsidR="00EF3E34">
        <w:rPr>
          <w:rFonts w:ascii="Times New Roman" w:hAnsi="Times New Roman" w:cs="Times New Roman"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Комісія з публічних закупівель розглянула питання/запити та надає відповіді шляхом роз'яснення/уточнення Закупівельних документів</w:t>
      </w:r>
      <w:r w:rsidR="00B86F1C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3686"/>
      </w:tblGrid>
      <w:tr w:rsidR="00734B33" w:rsidRPr="00142C60" w14:paraId="101D6BFA" w14:textId="77777777" w:rsidTr="00EF3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B7FA" w14:textId="77777777" w:rsidR="00EF3E34" w:rsidRDefault="00734B33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Nr.</w:t>
            </w:r>
            <w:r w:rsid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7C0186A2" w14:textId="419916B7" w:rsidR="00734B33" w:rsidRPr="00812E66" w:rsidRDefault="00B86F1C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B86F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F8F" w14:textId="77777777" w:rsidR="00734B33" w:rsidRPr="00254993" w:rsidRDefault="00734B33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Klausimas</w:t>
            </w:r>
            <w:r w:rsidR="00A932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/prašymas</w:t>
            </w: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  <w:r w:rsid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r w:rsidR="00B86F1C"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Питання/прохання*</w:t>
            </w:r>
          </w:p>
          <w:p w14:paraId="6196DE46" w14:textId="1838695B" w:rsidR="0015421E" w:rsidRPr="0015421E" w:rsidRDefault="0015421E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 переклад)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CDC" w14:textId="15442065" w:rsidR="00734B33" w:rsidRPr="00812E66" w:rsidRDefault="00734B33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Pirkimo dokumentų dalis</w:t>
            </w:r>
            <w:r w:rsid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r w:rsidR="00B86F1C" w:rsidRPr="006514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Частина документів про пручук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C6A8" w14:textId="77777777" w:rsidR="00734B33" w:rsidRDefault="00734B33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Paaiškinimas / patikslinimas</w:t>
            </w:r>
            <w:r w:rsid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</w:p>
          <w:p w14:paraId="3D07DB87" w14:textId="77777777" w:rsidR="00EF3E34" w:rsidRPr="00254993" w:rsidRDefault="00B86F1C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Пояснення / уточнення</w:t>
            </w:r>
          </w:p>
          <w:p w14:paraId="73DA1325" w14:textId="717D8ED3" w:rsidR="0015421E" w:rsidRPr="00812E66" w:rsidRDefault="0015421E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 переклад)</w:t>
            </w:r>
          </w:p>
        </w:tc>
      </w:tr>
      <w:tr w:rsidR="00734B33" w:rsidRPr="00142C60" w14:paraId="794D0AF7" w14:textId="77777777" w:rsidTr="00EF3E34">
        <w:tc>
          <w:tcPr>
            <w:tcW w:w="851" w:type="dxa"/>
            <w:vAlign w:val="center"/>
          </w:tcPr>
          <w:p w14:paraId="53C42146" w14:textId="77777777" w:rsidR="00734B33" w:rsidRPr="00812E66" w:rsidRDefault="00734B33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35FC9588" w14:textId="77777777" w:rsidR="003A6CEF" w:rsidRPr="00F87899" w:rsidRDefault="00F87899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8789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Kas bus naudos gavėjas laidavimo rašte ar užsakovas iš Ukrainos ar Centrinė pirkimų agentūra?/</w:t>
            </w:r>
          </w:p>
          <w:p w14:paraId="13394366" w14:textId="77ADC82D" w:rsidR="00F87899" w:rsidRDefault="00F87899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8789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Хто буде бенефіціаром у гарантійному листі - замовник з України чи ЦЗКУ?</w:t>
            </w:r>
            <w:r w:rsidR="0052179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/</w:t>
            </w:r>
          </w:p>
          <w:p w14:paraId="5B0687B1" w14:textId="77777777" w:rsidR="00521792" w:rsidRPr="00F87899" w:rsidRDefault="00521792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63D50E6" w14:textId="362F980D" w:rsidR="00F87899" w:rsidRPr="0015421E" w:rsidRDefault="00F87899" w:rsidP="00523DB4">
            <w:pPr>
              <w:spacing w:after="0" w:line="240" w:lineRule="auto"/>
              <w:jc w:val="both"/>
              <w:rPr>
                <w:shd w:val="clear" w:color="auto" w:fill="FFFFFF"/>
                <w:lang w:val="lt-LT"/>
              </w:rPr>
            </w:pPr>
          </w:p>
        </w:tc>
        <w:tc>
          <w:tcPr>
            <w:tcW w:w="1701" w:type="dxa"/>
          </w:tcPr>
          <w:p w14:paraId="144B6DE8" w14:textId="4074406F" w:rsidR="005C776E" w:rsidRDefault="003A6CEF" w:rsidP="0017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Pirkimo sąlygų </w:t>
            </w:r>
            <w:r w:rsid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3</w:t>
            </w:r>
            <w:r w:rsidR="00523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pried</w:t>
            </w:r>
            <w:r w:rsid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o</w:t>
            </w:r>
            <w:r w:rsidR="00523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„</w:t>
            </w:r>
            <w:r w:rsid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Sutarties projektas</w:t>
            </w:r>
            <w:r w:rsidR="00523D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“</w:t>
            </w:r>
            <w:r w:rsid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bendrųjų sąlygų 3.3.2. p.</w:t>
            </w:r>
            <w:r w:rsidR="005C77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/</w:t>
            </w:r>
            <w:r w:rsidR="001708AD">
              <w:t xml:space="preserve"> </w:t>
            </w:r>
            <w:r w:rsidR="001708AD" w:rsidRP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Додаток 3 «Проект договору» Загальних умов закупівлі 3.3.2. стор</w:t>
            </w:r>
            <w:r w:rsid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14:paraId="29D12610" w14:textId="06E33C68" w:rsidR="005C776E" w:rsidRPr="00812E66" w:rsidRDefault="005C776E" w:rsidP="00256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3686" w:type="dxa"/>
          </w:tcPr>
          <w:p w14:paraId="08B5C86C" w14:textId="6F9AB1A7" w:rsidR="001708AD" w:rsidRDefault="001708AD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Nėra aišku apie kokį laidavimą tiekėjas klausia. Įvertinus tai, kad šio pirkimo apimtyje yra vienintelis avanso užtikrinimo laidavimas, perkančioji organizacija pasisako dėl šio avanso grąžinimo užtikrinimo būdo.</w:t>
            </w:r>
          </w:p>
          <w:p w14:paraId="7D855CFA" w14:textId="641D831B" w:rsidR="005C776E" w:rsidRDefault="001708AD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Vadovaujantis pirkimo sąlygų priedo Nr. 3 “Sutarties projektas” bendrųjų sąlygų 3.3.2. p., laiduotojas turi pareigą CPVA sumokėti jo laiduojamą avanso sumą, todėl avanso užtikrinimo grąžinimo laidavimo rate naudos gavėju turi būti nurodyta CPVA./</w:t>
            </w:r>
          </w:p>
          <w:p w14:paraId="452B9AC9" w14:textId="77777777" w:rsidR="001708AD" w:rsidRPr="001708AD" w:rsidRDefault="001708AD" w:rsidP="00170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 яку саме гарантію запитує постачальник, незрозуміло. Враховуючи те, що обсягом даної закупівлі є єдина гарантія забезпечення авансового платежу, замовник висловлює свою думку щодо способу забезпечення повернення цього авансового платежу.</w:t>
            </w:r>
          </w:p>
          <w:p w14:paraId="19555290" w14:textId="130E1775" w:rsidR="001708AD" w:rsidRPr="005C776E" w:rsidRDefault="001708AD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Відповідно до додатку No1 до умов закупівлі. 3.3.2 загальних умов «Проекту договору». п., поручитель зобов’язаний сплатити ЦПВА гарантовану ним суму авансу, тому в ЦПВА повинен бути вказаний бенефіціар гарантії на повернення авансу.</w:t>
            </w:r>
          </w:p>
        </w:tc>
      </w:tr>
      <w:tr w:rsidR="00215773" w:rsidRPr="00142C60" w14:paraId="7DAD7591" w14:textId="77777777" w:rsidTr="00EF3E34">
        <w:tc>
          <w:tcPr>
            <w:tcW w:w="851" w:type="dxa"/>
            <w:vAlign w:val="center"/>
          </w:tcPr>
          <w:p w14:paraId="1D54034B" w14:textId="77777777" w:rsidR="00215773" w:rsidRPr="00812E66" w:rsidRDefault="00215773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3685" w:type="dxa"/>
          </w:tcPr>
          <w:p w14:paraId="6F986081" w14:textId="027FB2D6" w:rsidR="00521792" w:rsidRDefault="00F87899" w:rsidP="005217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</w:t>
            </w:r>
            <w:r w:rsidRPr="00F8789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r pagal Ukrainoje galiojančius teisės aktus Ukrainos piliečiai kurie bus pasitelkiame pirkimo objekto vykdymui gali būti atleisti nuo karo prievolininko pareigų?</w:t>
            </w:r>
            <w:r w:rsidR="0052179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72F93663" w14:textId="4116F30B" w:rsidR="001708AD" w:rsidRPr="004C4B38" w:rsidRDefault="001708AD" w:rsidP="005217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1708A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Чи можуть згідно з чинним в Україні законодавством громадяни України, які будуть використовуватися для виконання предмета закупівлі, бути звільнені від військової служби?</w:t>
            </w:r>
          </w:p>
          <w:p w14:paraId="3B0F0BEB" w14:textId="24908824" w:rsidR="00D02781" w:rsidRPr="004C4B38" w:rsidRDefault="00D02781" w:rsidP="00D027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</w:tcPr>
          <w:p w14:paraId="4B490EA3" w14:textId="5B896A2B" w:rsidR="00215773" w:rsidRPr="00A475ED" w:rsidRDefault="00D02781" w:rsidP="00256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Pirkimo sąlygų pried</w:t>
            </w:r>
            <w:r w:rsid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Nr. </w:t>
            </w:r>
            <w:r w:rsid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„</w:t>
            </w:r>
            <w:r w:rsidR="001708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Techninė specifikacija/</w:t>
            </w:r>
            <w:r w:rsidR="00420CD5">
              <w:t xml:space="preserve"> </w:t>
            </w:r>
            <w:r w:rsidR="00420CD5" w:rsidRPr="00420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Додаток № до Умов закупівлі 2 «Технічне завдання</w:t>
            </w:r>
            <w:r w:rsidR="00420CD5">
              <w:t xml:space="preserve"> </w:t>
            </w:r>
            <w:r w:rsidR="00420CD5" w:rsidRPr="00420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»</w:t>
            </w:r>
          </w:p>
        </w:tc>
        <w:tc>
          <w:tcPr>
            <w:tcW w:w="3686" w:type="dxa"/>
          </w:tcPr>
          <w:p w14:paraId="3F9701D8" w14:textId="77777777" w:rsidR="003A6CEF" w:rsidRDefault="00420CD5" w:rsidP="008F1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Pirkimo sutarties o</w:t>
            </w:r>
            <w:r w:rsidRPr="00420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bjektas nepriskiriamas prie ypatingos svarbos statinių, todėl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Ukrainos piliečiai, kurie bus pasitelkiami pirkimo objektui vykdymui </w:t>
            </w:r>
            <w:r w:rsidRPr="00420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nuo karo prievolės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nėra </w:t>
            </w:r>
            <w:r w:rsidRPr="00420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atleidžiami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./</w:t>
            </w:r>
          </w:p>
          <w:p w14:paraId="4CC35C01" w14:textId="163D7A57" w:rsidR="00420CD5" w:rsidRPr="008F1FFA" w:rsidRDefault="00420CD5" w:rsidP="008F1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20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Об’єкт договору купівлі-продажу не віднесено до об’єктів особливої ​​важливості, тому громадяни України, які будуть використані для здійснення закупівлі, не звільняються від військової служби.</w:t>
            </w:r>
          </w:p>
        </w:tc>
      </w:tr>
    </w:tbl>
    <w:p w14:paraId="4B81C19E" w14:textId="1CD5DD5A" w:rsidR="00812E66" w:rsidRPr="00812E66" w:rsidRDefault="00812E66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* Suinteresuoto dalyvio prašymo paaiškinti / patikslinti Pirkimo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dokumentus</w:t>
      </w:r>
      <w:r w:rsid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tekstas neredaguotas /</w:t>
      </w: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Текст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запиту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зацікавленого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учасника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тендеру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про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пояснення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роз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'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яснення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Документів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про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закупівлю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не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редагується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6C2DE556" w14:textId="69C410F1" w:rsidR="008C0D2B" w:rsidRDefault="00812E66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Pažymėtina, kad bet kuris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CPVA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atliktas paaiškinimas / patikslinimas yra laikomas neatskiriama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dokumentų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dalimi ir jo nuostatos turi viršenybę prieš ankstesnes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išdėstytas nuostatas. Tuo atveju, kai skelbime apie Pirkimą pateikta informacija neatitinka informacijos, pateiktos kit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u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ose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teisinga laikoma informacija, nurodyta skelbime apie Pirkimą.</w:t>
      </w:r>
      <w:r w:rsidR="00EF3E34" w:rsidRPr="00651446">
        <w:rPr>
          <w:lang w:val="lt-LT"/>
        </w:rPr>
        <w:t xml:space="preserve"> / 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Слід зазначити, що будь-які пояснення/уточнення, зроблені </w:t>
      </w:r>
      <w:r w:rsid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CPVA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вважаються невід'ємною частиною </w:t>
      </w:r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Закупівельної документації та її положення мають пріоритет над попередніми положеннями, викладеними в Документах про закупівлю. 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У випадку, якщо інформація, що міститься в Повідомленні про Договір, не відповідає інформації, наведеній в інших Документах про закупівлю, інформація, зазначена в Повідомленні про Договір, вважається правильною.</w:t>
      </w:r>
    </w:p>
    <w:p w14:paraId="3B73F808" w14:textId="37C3F74C" w:rsidR="008A511B" w:rsidRPr="008C0D2B" w:rsidRDefault="005625D4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</w:t>
      </w:r>
      <w:r w:rsidR="00EF3E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/ </w:t>
      </w:r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Комісія з публічних закупівель</w:t>
      </w:r>
    </w:p>
    <w:sectPr w:rsidR="008A511B" w:rsidRPr="008C0D2B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9FB"/>
    <w:multiLevelType w:val="hybridMultilevel"/>
    <w:tmpl w:val="42A05D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906"/>
    <w:multiLevelType w:val="hybridMultilevel"/>
    <w:tmpl w:val="3FC86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FA3"/>
    <w:multiLevelType w:val="hybridMultilevel"/>
    <w:tmpl w:val="A4468D6C"/>
    <w:lvl w:ilvl="0" w:tplc="5CB4C62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530EB"/>
    <w:multiLevelType w:val="hybridMultilevel"/>
    <w:tmpl w:val="F2FC494C"/>
    <w:lvl w:ilvl="0" w:tplc="8D1AA74E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6AAC"/>
    <w:multiLevelType w:val="hybridMultilevel"/>
    <w:tmpl w:val="26E0CB7C"/>
    <w:lvl w:ilvl="0" w:tplc="C68455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4F8"/>
    <w:multiLevelType w:val="hybridMultilevel"/>
    <w:tmpl w:val="F9C465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6977B1"/>
    <w:multiLevelType w:val="hybridMultilevel"/>
    <w:tmpl w:val="47C2643A"/>
    <w:lvl w:ilvl="0" w:tplc="DB76C6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2220"/>
    <w:multiLevelType w:val="hybridMultilevel"/>
    <w:tmpl w:val="8BE2D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60044">
    <w:abstractNumId w:val="5"/>
  </w:num>
  <w:num w:numId="2" w16cid:durableId="714232896">
    <w:abstractNumId w:val="8"/>
  </w:num>
  <w:num w:numId="3" w16cid:durableId="568804517">
    <w:abstractNumId w:val="2"/>
  </w:num>
  <w:num w:numId="4" w16cid:durableId="1951471618">
    <w:abstractNumId w:val="4"/>
  </w:num>
  <w:num w:numId="5" w16cid:durableId="893544047">
    <w:abstractNumId w:val="9"/>
  </w:num>
  <w:num w:numId="6" w16cid:durableId="225997589">
    <w:abstractNumId w:val="10"/>
  </w:num>
  <w:num w:numId="7" w16cid:durableId="1668634263">
    <w:abstractNumId w:val="3"/>
  </w:num>
  <w:num w:numId="8" w16cid:durableId="1009719030">
    <w:abstractNumId w:val="0"/>
  </w:num>
  <w:num w:numId="9" w16cid:durableId="178588097">
    <w:abstractNumId w:val="6"/>
  </w:num>
  <w:num w:numId="10" w16cid:durableId="1484004053">
    <w:abstractNumId w:val="1"/>
  </w:num>
  <w:num w:numId="11" w16cid:durableId="857891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56630"/>
    <w:rsid w:val="000A31AE"/>
    <w:rsid w:val="000A5D60"/>
    <w:rsid w:val="000B437B"/>
    <w:rsid w:val="00142C60"/>
    <w:rsid w:val="00143F0B"/>
    <w:rsid w:val="0015421E"/>
    <w:rsid w:val="00157CF5"/>
    <w:rsid w:val="001708AD"/>
    <w:rsid w:val="0017413C"/>
    <w:rsid w:val="001C4B23"/>
    <w:rsid w:val="001E29EC"/>
    <w:rsid w:val="001E4F14"/>
    <w:rsid w:val="00215773"/>
    <w:rsid w:val="00254993"/>
    <w:rsid w:val="00255485"/>
    <w:rsid w:val="002569DF"/>
    <w:rsid w:val="00290306"/>
    <w:rsid w:val="002B639C"/>
    <w:rsid w:val="002F25A6"/>
    <w:rsid w:val="0030271B"/>
    <w:rsid w:val="003167A1"/>
    <w:rsid w:val="0032334E"/>
    <w:rsid w:val="003A128E"/>
    <w:rsid w:val="003A6CEF"/>
    <w:rsid w:val="003B5E3F"/>
    <w:rsid w:val="00420CD5"/>
    <w:rsid w:val="00437D3D"/>
    <w:rsid w:val="00454414"/>
    <w:rsid w:val="004A1700"/>
    <w:rsid w:val="004C4B38"/>
    <w:rsid w:val="004E41C0"/>
    <w:rsid w:val="004F0A88"/>
    <w:rsid w:val="004F1601"/>
    <w:rsid w:val="00516454"/>
    <w:rsid w:val="00521792"/>
    <w:rsid w:val="00521994"/>
    <w:rsid w:val="00523DB4"/>
    <w:rsid w:val="00553301"/>
    <w:rsid w:val="005625D4"/>
    <w:rsid w:val="005C776E"/>
    <w:rsid w:val="00611C01"/>
    <w:rsid w:val="00626D74"/>
    <w:rsid w:val="00651446"/>
    <w:rsid w:val="006A18BB"/>
    <w:rsid w:val="006E5A79"/>
    <w:rsid w:val="006F0A6D"/>
    <w:rsid w:val="00721989"/>
    <w:rsid w:val="00734B33"/>
    <w:rsid w:val="00751B9D"/>
    <w:rsid w:val="0075717D"/>
    <w:rsid w:val="00761375"/>
    <w:rsid w:val="00780EB3"/>
    <w:rsid w:val="007A225B"/>
    <w:rsid w:val="007C48CE"/>
    <w:rsid w:val="007C6FB2"/>
    <w:rsid w:val="007D1FE5"/>
    <w:rsid w:val="007E0095"/>
    <w:rsid w:val="00812E66"/>
    <w:rsid w:val="00813B60"/>
    <w:rsid w:val="00844229"/>
    <w:rsid w:val="008A511B"/>
    <w:rsid w:val="008C0D2B"/>
    <w:rsid w:val="008F1FFA"/>
    <w:rsid w:val="008F3756"/>
    <w:rsid w:val="00906299"/>
    <w:rsid w:val="00930512"/>
    <w:rsid w:val="00931489"/>
    <w:rsid w:val="00937AB1"/>
    <w:rsid w:val="009471E0"/>
    <w:rsid w:val="0095011F"/>
    <w:rsid w:val="009A7C74"/>
    <w:rsid w:val="009B04D3"/>
    <w:rsid w:val="009F6043"/>
    <w:rsid w:val="00A44EC4"/>
    <w:rsid w:val="00A475ED"/>
    <w:rsid w:val="00A9320A"/>
    <w:rsid w:val="00AF0325"/>
    <w:rsid w:val="00B05FB9"/>
    <w:rsid w:val="00B121AB"/>
    <w:rsid w:val="00B156D8"/>
    <w:rsid w:val="00B25CDD"/>
    <w:rsid w:val="00B51DE9"/>
    <w:rsid w:val="00B521B3"/>
    <w:rsid w:val="00B5317A"/>
    <w:rsid w:val="00B86F1C"/>
    <w:rsid w:val="00B9635E"/>
    <w:rsid w:val="00BB3886"/>
    <w:rsid w:val="00BC33D1"/>
    <w:rsid w:val="00C4640F"/>
    <w:rsid w:val="00C631C6"/>
    <w:rsid w:val="00C66487"/>
    <w:rsid w:val="00CA59B8"/>
    <w:rsid w:val="00D02781"/>
    <w:rsid w:val="00D35A4B"/>
    <w:rsid w:val="00D456E0"/>
    <w:rsid w:val="00D71F35"/>
    <w:rsid w:val="00D80E31"/>
    <w:rsid w:val="00DB423E"/>
    <w:rsid w:val="00E20E49"/>
    <w:rsid w:val="00E5733A"/>
    <w:rsid w:val="00E64A9A"/>
    <w:rsid w:val="00E94D0A"/>
    <w:rsid w:val="00ED440E"/>
    <w:rsid w:val="00EE4BD6"/>
    <w:rsid w:val="00EF3E34"/>
    <w:rsid w:val="00F00962"/>
    <w:rsid w:val="00F71932"/>
    <w:rsid w:val="00F87899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31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53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3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446"/>
    <w:pPr>
      <w:spacing w:after="0" w:line="240" w:lineRule="auto"/>
    </w:pPr>
    <w:rPr>
      <w:lang w:val="en-US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Standard paragraph,Char Char, Char,Char,b"/>
    <w:basedOn w:val="Normal"/>
    <w:link w:val="BodyTextChar"/>
    <w:uiPriority w:val="99"/>
    <w:qFormat/>
    <w:rsid w:val="008F1FF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,b Char"/>
    <w:basedOn w:val="DefaultParagraphFont"/>
    <w:link w:val="BodyText"/>
    <w:uiPriority w:val="99"/>
    <w:qFormat/>
    <w:rsid w:val="008F1FFA"/>
    <w:rPr>
      <w:rFonts w:ascii="Arial" w:eastAsia="Times New Roman" w:hAnsi="Arial" w:cs="Times New Roman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A1674-540C-4867-A2CD-2E323DAD3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89D36-B21D-490E-82A7-078CBB3ED39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F9C50E6E-8700-4BEC-B1E4-9E92FD3E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protokolo priedas. Atsakymų suvestinė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protokolo priedas. Atsakymų suvestinė</dc:title>
  <dc:subject/>
  <dc:creator>Inga Kavaliauskienė</dc:creator>
  <cp:keywords/>
  <dc:description/>
  <cp:lastModifiedBy>Tadas Kontrimas</cp:lastModifiedBy>
  <cp:revision>2</cp:revision>
  <dcterms:created xsi:type="dcterms:W3CDTF">2025-02-06T09:28:00Z</dcterms:created>
  <dcterms:modified xsi:type="dcterms:W3CDTF">2025-02-06T09:28:00Z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4359;#Teisės ir pirkimų skyrius|72419e98-9ffe-4573-a524-85d9b5806ebb;#4363;#Ukrainos ir taikos investicijų skyrius|3fe9dbe6-3f97-46f0-ba46-4cccdb346c0e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795;#Tadas Kontrimas;#1283;#Laura Sungailaitė-Jurčė;#1322;#Birutė Stučkienė;#872;#Aina Jonuškytė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