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8504" w14:textId="3A7D1645" w:rsidR="00260CE8" w:rsidRPr="00260CE8" w:rsidRDefault="00260CE8" w:rsidP="00260CE8">
      <w:pPr>
        <w:autoSpaceDE w:val="0"/>
        <w:adjustRightInd w:val="0"/>
        <w:jc w:val="both"/>
        <w:rPr>
          <w:b/>
          <w:color w:val="000000"/>
          <w:szCs w:val="24"/>
        </w:rPr>
      </w:pPr>
      <w:r w:rsidRPr="00260CE8">
        <w:rPr>
          <w:b/>
          <w:color w:val="000000"/>
          <w:szCs w:val="24"/>
        </w:rPr>
        <w:t>ATSAKYMAS RINKOS KONSULTACIJAI</w:t>
      </w:r>
      <w:r>
        <w:rPr>
          <w:b/>
          <w:color w:val="000000"/>
          <w:szCs w:val="24"/>
        </w:rPr>
        <w:t xml:space="preserve">                                                                2025-02-06</w:t>
      </w:r>
    </w:p>
    <w:p w14:paraId="39B058B4" w14:textId="77777777" w:rsidR="00260CE8" w:rsidRDefault="00260CE8" w:rsidP="00260CE8">
      <w:pPr>
        <w:autoSpaceDE w:val="0"/>
        <w:adjustRightInd w:val="0"/>
        <w:jc w:val="both"/>
        <w:rPr>
          <w:bCs/>
          <w:color w:val="000000"/>
          <w:szCs w:val="24"/>
        </w:rPr>
      </w:pPr>
    </w:p>
    <w:p w14:paraId="036F6916" w14:textId="77777777" w:rsidR="00260CE8" w:rsidRDefault="00260CE8" w:rsidP="00260CE8">
      <w:pPr>
        <w:autoSpaceDE w:val="0"/>
        <w:adjustRightInd w:val="0"/>
        <w:jc w:val="both"/>
        <w:rPr>
          <w:bCs/>
          <w:color w:val="000000"/>
          <w:szCs w:val="24"/>
        </w:rPr>
      </w:pPr>
    </w:p>
    <w:p w14:paraId="1F01A2D8" w14:textId="6BCC1E0B" w:rsidR="00260CE8" w:rsidRPr="00A73F3F" w:rsidRDefault="00260CE8" w:rsidP="00260CE8">
      <w:pPr>
        <w:autoSpaceDE w:val="0"/>
        <w:adjustRightInd w:val="0"/>
        <w:jc w:val="both"/>
      </w:pPr>
      <w:r>
        <w:rPr>
          <w:bCs/>
          <w:color w:val="000000"/>
          <w:szCs w:val="24"/>
        </w:rPr>
        <w:t>,,</w:t>
      </w:r>
      <w:r w:rsidRPr="00A73F3F">
        <w:t>Paskelbus rinkos konsultaciją, nurodytam terminui – iki 2025-01-31</w:t>
      </w:r>
      <w:r>
        <w:t>-</w:t>
      </w:r>
      <w:r w:rsidRPr="00A73F3F">
        <w:t xml:space="preserve"> gauti tokie klausimai ir siūlymai:</w:t>
      </w:r>
    </w:p>
    <w:p w14:paraId="1CD0F131" w14:textId="77777777" w:rsidR="00260CE8" w:rsidRPr="00260CE8" w:rsidRDefault="00260CE8" w:rsidP="00260CE8">
      <w:pPr>
        <w:numPr>
          <w:ilvl w:val="0"/>
          <w:numId w:val="1"/>
        </w:numPr>
        <w:autoSpaceDE w:val="0"/>
        <w:adjustRightInd w:val="0"/>
        <w:jc w:val="both"/>
        <w:rPr>
          <w:b/>
          <w:bCs/>
          <w:color w:val="FF0000"/>
          <w:szCs w:val="24"/>
          <w:shd w:val="clear" w:color="auto" w:fill="FFFFFF"/>
        </w:rPr>
      </w:pPr>
      <w:r w:rsidRPr="00A73F3F">
        <w:t>,,</w:t>
      </w:r>
      <w:r w:rsidRPr="00A73F3F">
        <w:rPr>
          <w:szCs w:val="24"/>
          <w:shd w:val="clear" w:color="auto" w:fill="FFFFFF"/>
        </w:rPr>
        <w:t xml:space="preserve">Perkančioji organizacija turėtų nusimatyti ne mažesnį kaip 240000.00 EUR be PVM biudžetą reikalingoms paslaugoms. </w:t>
      </w:r>
      <w:r w:rsidRPr="00260CE8">
        <w:rPr>
          <w:b/>
          <w:bCs/>
          <w:szCs w:val="24"/>
          <w:shd w:val="clear" w:color="auto" w:fill="FFFFFF"/>
        </w:rPr>
        <w:t>Pranešame, kad pirkimo biudžetas didinamas nebus ir lieka</w:t>
      </w:r>
      <w:r w:rsidRPr="00260CE8">
        <w:rPr>
          <w:b/>
          <w:bCs/>
          <w:color w:val="FF0000"/>
          <w:szCs w:val="24"/>
          <w:shd w:val="clear" w:color="auto" w:fill="FFFFFF"/>
        </w:rPr>
        <w:t xml:space="preserve"> </w:t>
      </w:r>
      <w:r w:rsidRPr="00260CE8">
        <w:rPr>
          <w:b/>
          <w:bCs/>
          <w:color w:val="000000"/>
        </w:rPr>
        <w:t>148 830,00 Eur su PVM</w:t>
      </w:r>
    </w:p>
    <w:p w14:paraId="16C1AB89" w14:textId="77777777" w:rsidR="00260CE8" w:rsidRPr="00A73F3F" w:rsidRDefault="00260CE8" w:rsidP="00260CE8">
      <w:pPr>
        <w:numPr>
          <w:ilvl w:val="0"/>
          <w:numId w:val="1"/>
        </w:numPr>
        <w:autoSpaceDE w:val="0"/>
        <w:adjustRightInd w:val="0"/>
        <w:jc w:val="both"/>
        <w:rPr>
          <w:bCs/>
          <w:szCs w:val="24"/>
        </w:rPr>
      </w:pPr>
      <w:r w:rsidRPr="00A73F3F">
        <w:rPr>
          <w:bCs/>
          <w:szCs w:val="24"/>
        </w:rPr>
        <w:t>Dėl kvalifikacinių reikalavimų:</w:t>
      </w:r>
    </w:p>
    <w:p w14:paraId="1EDE6C3B" w14:textId="77777777" w:rsidR="00260CE8" w:rsidRDefault="00260CE8" w:rsidP="00260CE8">
      <w:pPr>
        <w:autoSpaceDE w:val="0"/>
        <w:adjustRightInd w:val="0"/>
        <w:ind w:left="360"/>
        <w:jc w:val="both"/>
        <w:rPr>
          <w:bCs/>
          <w:color w:val="FF0000"/>
          <w:szCs w:val="24"/>
        </w:rPr>
      </w:pPr>
      <w:r w:rsidRPr="00A73F3F">
        <w:rPr>
          <w:bCs/>
          <w:szCs w:val="24"/>
        </w:rPr>
        <w:t xml:space="preserve"> Pasiūlyta vertinti taip:</w:t>
      </w: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
        <w:gridCol w:w="1790"/>
        <w:gridCol w:w="1933"/>
        <w:gridCol w:w="1688"/>
        <w:gridCol w:w="5396"/>
        <w:gridCol w:w="2089"/>
      </w:tblGrid>
      <w:tr w:rsidR="00260CE8" w:rsidRPr="009A7632" w14:paraId="712C7EDF" w14:textId="77777777" w:rsidTr="00C8230A">
        <w:trPr>
          <w:gridBefore w:val="1"/>
          <w:wBefore w:w="43" w:type="pct"/>
        </w:trPr>
        <w:tc>
          <w:tcPr>
            <w:tcW w:w="1431" w:type="pct"/>
            <w:gridSpan w:val="2"/>
            <w:shd w:val="clear" w:color="auto" w:fill="FFE599"/>
          </w:tcPr>
          <w:p w14:paraId="55EAD585" w14:textId="77777777" w:rsidR="00260CE8" w:rsidRPr="001A5BE8" w:rsidRDefault="00260CE8" w:rsidP="00C8230A">
            <w:pPr>
              <w:tabs>
                <w:tab w:val="left" w:pos="0"/>
              </w:tabs>
              <w:contextualSpacing/>
              <w:jc w:val="center"/>
              <w:rPr>
                <w:b/>
                <w:bCs/>
              </w:rPr>
            </w:pPr>
            <w:r w:rsidRPr="001A5BE8">
              <w:rPr>
                <w:b/>
                <w:bCs/>
              </w:rPr>
              <w:t>Vertinimo kriterijai, kriterijaus žymuo formulėje</w:t>
            </w:r>
          </w:p>
        </w:tc>
        <w:tc>
          <w:tcPr>
            <w:tcW w:w="649" w:type="pct"/>
            <w:shd w:val="clear" w:color="auto" w:fill="FFE599"/>
          </w:tcPr>
          <w:p w14:paraId="2D0E3119" w14:textId="77777777" w:rsidR="00260CE8" w:rsidRPr="001A5BE8" w:rsidRDefault="00260CE8" w:rsidP="00C8230A">
            <w:pPr>
              <w:tabs>
                <w:tab w:val="left" w:pos="0"/>
              </w:tabs>
              <w:contextualSpacing/>
              <w:jc w:val="center"/>
              <w:rPr>
                <w:b/>
                <w:bCs/>
              </w:rPr>
            </w:pPr>
            <w:r w:rsidRPr="001A5BE8">
              <w:rPr>
                <w:b/>
                <w:bCs/>
              </w:rPr>
              <w:t>Skaičiavimo formulė</w:t>
            </w:r>
          </w:p>
        </w:tc>
        <w:tc>
          <w:tcPr>
            <w:tcW w:w="2074" w:type="pct"/>
            <w:shd w:val="clear" w:color="auto" w:fill="FFE599"/>
          </w:tcPr>
          <w:p w14:paraId="147E677F" w14:textId="77777777" w:rsidR="00260CE8" w:rsidRPr="001A5BE8" w:rsidRDefault="00260CE8" w:rsidP="00C8230A">
            <w:pPr>
              <w:tabs>
                <w:tab w:val="left" w:pos="0"/>
              </w:tabs>
              <w:contextualSpacing/>
              <w:jc w:val="center"/>
              <w:rPr>
                <w:b/>
                <w:bCs/>
              </w:rPr>
            </w:pPr>
            <w:r w:rsidRPr="001A5BE8">
              <w:rPr>
                <w:b/>
                <w:bCs/>
              </w:rPr>
              <w:t>Žymens reikšmė</w:t>
            </w:r>
          </w:p>
        </w:tc>
        <w:tc>
          <w:tcPr>
            <w:tcW w:w="803" w:type="pct"/>
            <w:shd w:val="clear" w:color="auto" w:fill="FFE599"/>
          </w:tcPr>
          <w:p w14:paraId="50553DB1" w14:textId="77777777" w:rsidR="00260CE8" w:rsidRPr="001A5BE8" w:rsidRDefault="00260CE8" w:rsidP="00C8230A">
            <w:pPr>
              <w:tabs>
                <w:tab w:val="left" w:pos="0"/>
              </w:tabs>
              <w:contextualSpacing/>
              <w:jc w:val="center"/>
              <w:rPr>
                <w:b/>
                <w:bCs/>
              </w:rPr>
            </w:pPr>
            <w:r w:rsidRPr="001A5BE8">
              <w:rPr>
                <w:b/>
                <w:bCs/>
              </w:rPr>
              <w:t>Lyginamasis svoris</w:t>
            </w:r>
          </w:p>
        </w:tc>
      </w:tr>
      <w:tr w:rsidR="00260CE8" w:rsidRPr="009A7632" w14:paraId="29A809CA" w14:textId="77777777" w:rsidTr="00C8230A">
        <w:trPr>
          <w:gridBefore w:val="1"/>
          <w:wBefore w:w="43" w:type="pct"/>
          <w:trHeight w:val="602"/>
        </w:trPr>
        <w:tc>
          <w:tcPr>
            <w:tcW w:w="688" w:type="pct"/>
            <w:shd w:val="clear" w:color="auto" w:fill="auto"/>
          </w:tcPr>
          <w:p w14:paraId="530C2D77" w14:textId="77777777" w:rsidR="00260CE8" w:rsidRPr="009A7632" w:rsidRDefault="00260CE8" w:rsidP="00C8230A">
            <w:pPr>
              <w:tabs>
                <w:tab w:val="left" w:pos="0"/>
              </w:tabs>
              <w:contextualSpacing/>
            </w:pPr>
            <w:r w:rsidRPr="009A7632">
              <w:t>A - kaina</w:t>
            </w:r>
          </w:p>
        </w:tc>
        <w:tc>
          <w:tcPr>
            <w:tcW w:w="743" w:type="pct"/>
            <w:shd w:val="clear" w:color="auto" w:fill="auto"/>
          </w:tcPr>
          <w:p w14:paraId="15392332" w14:textId="77777777" w:rsidR="00260CE8" w:rsidRPr="001A5BE8" w:rsidRDefault="00260CE8" w:rsidP="00C8230A">
            <w:pPr>
              <w:tabs>
                <w:tab w:val="left" w:pos="0"/>
              </w:tabs>
              <w:contextualSpacing/>
              <w:rPr>
                <w:rFonts w:eastAsia="Calibri"/>
              </w:rPr>
            </w:pPr>
          </w:p>
        </w:tc>
        <w:tc>
          <w:tcPr>
            <w:tcW w:w="649" w:type="pct"/>
            <w:shd w:val="clear" w:color="auto" w:fill="auto"/>
          </w:tcPr>
          <w:p w14:paraId="4C07FD65" w14:textId="3D550898" w:rsidR="00260CE8" w:rsidRPr="00260CE8" w:rsidRDefault="00260CE8" w:rsidP="00C8230A">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074" w:type="pct"/>
            <w:shd w:val="clear" w:color="auto" w:fill="auto"/>
          </w:tcPr>
          <w:p w14:paraId="6990E96D" w14:textId="77777777" w:rsidR="00260CE8" w:rsidRPr="009A7632" w:rsidRDefault="00260CE8" w:rsidP="00C8230A">
            <w:pPr>
              <w:tabs>
                <w:tab w:val="left" w:pos="0"/>
              </w:tabs>
              <w:contextualSpacing/>
            </w:pPr>
            <w:proofErr w:type="spellStart"/>
            <w:r w:rsidRPr="009A7632">
              <w:t>A</w:t>
            </w:r>
            <w:r w:rsidRPr="001A5BE8">
              <w:rPr>
                <w:vertAlign w:val="subscript"/>
              </w:rPr>
              <w:t>min</w:t>
            </w:r>
            <w:proofErr w:type="spellEnd"/>
            <w:r w:rsidRPr="009A7632">
              <w:t>-mažiausia pasiūlyta kaina;</w:t>
            </w:r>
          </w:p>
          <w:p w14:paraId="7757DD5A" w14:textId="77777777" w:rsidR="00260CE8" w:rsidRPr="009A7632" w:rsidRDefault="00260CE8" w:rsidP="00C8230A">
            <w:pPr>
              <w:tabs>
                <w:tab w:val="left" w:pos="0"/>
              </w:tabs>
              <w:contextualSpacing/>
            </w:pPr>
            <w:proofErr w:type="spellStart"/>
            <w:r w:rsidRPr="009A7632">
              <w:t>A</w:t>
            </w:r>
            <w:r w:rsidRPr="001A5BE8">
              <w:rPr>
                <w:vertAlign w:val="subscript"/>
              </w:rPr>
              <w:t>p</w:t>
            </w:r>
            <w:proofErr w:type="spellEnd"/>
            <w:r w:rsidRPr="009A7632">
              <w:t>-vertinamo pasiūlymo kaina.</w:t>
            </w:r>
          </w:p>
          <w:p w14:paraId="00D3AEF9" w14:textId="77777777" w:rsidR="00260CE8" w:rsidRPr="009A7632" w:rsidRDefault="00260CE8" w:rsidP="00C8230A">
            <w:pPr>
              <w:tabs>
                <w:tab w:val="left" w:pos="0"/>
              </w:tabs>
              <w:contextualSpacing/>
            </w:pPr>
            <w:r w:rsidRPr="009A7632">
              <w:t xml:space="preserve">  </w:t>
            </w:r>
          </w:p>
        </w:tc>
        <w:tc>
          <w:tcPr>
            <w:tcW w:w="803" w:type="pct"/>
            <w:shd w:val="clear" w:color="auto" w:fill="auto"/>
          </w:tcPr>
          <w:p w14:paraId="53EC41E0" w14:textId="77777777" w:rsidR="00260CE8" w:rsidRPr="00C74E56" w:rsidRDefault="00260CE8" w:rsidP="00C8230A">
            <w:pPr>
              <w:contextualSpacing/>
            </w:pPr>
            <w:r w:rsidRPr="00C74E56">
              <w:t>X=30</w:t>
            </w:r>
          </w:p>
        </w:tc>
      </w:tr>
      <w:tr w:rsidR="00260CE8" w:rsidRPr="009A7632" w14:paraId="150F6A36" w14:textId="77777777" w:rsidTr="00C8230A">
        <w:trPr>
          <w:gridBefore w:val="1"/>
          <w:wBefore w:w="43" w:type="pct"/>
          <w:trHeight w:val="1550"/>
        </w:trPr>
        <w:tc>
          <w:tcPr>
            <w:tcW w:w="688" w:type="pct"/>
            <w:shd w:val="clear" w:color="auto" w:fill="auto"/>
          </w:tcPr>
          <w:p w14:paraId="2E8C6067" w14:textId="77777777" w:rsidR="00260CE8" w:rsidRPr="00832ABB" w:rsidRDefault="00260CE8" w:rsidP="00C8230A">
            <w:pPr>
              <w:jc w:val="both"/>
            </w:pPr>
            <w:r w:rsidRPr="00832ABB">
              <w:t>B</w:t>
            </w:r>
            <w:r w:rsidRPr="001A5BE8">
              <w:rPr>
                <w:vertAlign w:val="subscript"/>
              </w:rPr>
              <w:t>1</w:t>
            </w:r>
            <w:r w:rsidRPr="00832ABB">
              <w:t xml:space="preserve"> - personalo patirtis (kvalifikuoto </w:t>
            </w:r>
            <w:r w:rsidRPr="001A5BE8">
              <w:rPr>
                <w:b/>
                <w:bCs/>
              </w:rPr>
              <w:t xml:space="preserve">neypatingųjų </w:t>
            </w:r>
            <w:r w:rsidRPr="00832ABB">
              <w:t xml:space="preserve">statinių </w:t>
            </w:r>
            <w:r w:rsidRPr="001A5BE8">
              <w:rPr>
                <w:b/>
                <w:bCs/>
              </w:rPr>
              <w:t>architektūrinės dalies</w:t>
            </w:r>
            <w:r w:rsidRPr="00832ABB">
              <w:t xml:space="preserve"> projekto vadovo patirtis) *</w:t>
            </w:r>
          </w:p>
          <w:p w14:paraId="5A5B16F9" w14:textId="77777777" w:rsidR="00260CE8" w:rsidRPr="00832ABB" w:rsidRDefault="00260CE8" w:rsidP="00C8230A">
            <w:pPr>
              <w:jc w:val="both"/>
            </w:pPr>
          </w:p>
          <w:p w14:paraId="738D3A33" w14:textId="77777777" w:rsidR="00260CE8" w:rsidRPr="00832ABB" w:rsidRDefault="00260CE8" w:rsidP="00C8230A">
            <w:pPr>
              <w:jc w:val="both"/>
            </w:pPr>
          </w:p>
        </w:tc>
        <w:tc>
          <w:tcPr>
            <w:tcW w:w="743" w:type="pct"/>
            <w:shd w:val="clear" w:color="auto" w:fill="auto"/>
          </w:tcPr>
          <w:p w14:paraId="0BFEBE60" w14:textId="77777777" w:rsidR="00260CE8" w:rsidRPr="00832ABB" w:rsidRDefault="00260CE8" w:rsidP="00C8230A">
            <w:pPr>
              <w:pStyle w:val="paragraph"/>
              <w:spacing w:before="0" w:beforeAutospacing="0" w:after="0" w:afterAutospacing="0"/>
              <w:jc w:val="both"/>
              <w:textAlignment w:val="baseline"/>
            </w:pPr>
            <w:r w:rsidRPr="001A5BE8">
              <w:rPr>
                <w:rStyle w:val="normaltextrun"/>
                <w:rFonts w:eastAsia="Calibri"/>
              </w:rPr>
              <w:t xml:space="preserve">*Vertinami projektai, kuriuos per pastaruosius 5 (penkis) metus iki pasiūlymų pateikimo termino </w:t>
            </w:r>
            <w:r w:rsidRPr="001A5BE8">
              <w:rPr>
                <w:rStyle w:val="normaltextrun"/>
                <w:rFonts w:eastAsia="Calibri"/>
                <w:u w:val="single"/>
              </w:rPr>
              <w:t>ne</w:t>
            </w:r>
            <w:r w:rsidRPr="001A5BE8">
              <w:rPr>
                <w:b/>
                <w:bCs/>
                <w:u w:val="single"/>
              </w:rPr>
              <w:t>ypatingųjų statinių architektūrinės dalies projekto vadovas</w:t>
            </w:r>
            <w:r w:rsidRPr="001A5BE8">
              <w:rPr>
                <w:rStyle w:val="normaltextrun"/>
                <w:rFonts w:eastAsia="Calibri"/>
              </w:rPr>
              <w:t xml:space="preserve"> parengė:</w:t>
            </w:r>
          </w:p>
          <w:p w14:paraId="46DA287D" w14:textId="77777777" w:rsidR="00260CE8" w:rsidRPr="001A5BE8" w:rsidRDefault="00260CE8" w:rsidP="00C8230A">
            <w:pPr>
              <w:pStyle w:val="paragraph"/>
              <w:spacing w:before="0" w:beforeAutospacing="0" w:after="0" w:afterAutospacing="0"/>
              <w:jc w:val="both"/>
              <w:textAlignment w:val="baseline"/>
              <w:rPr>
                <w:rStyle w:val="normaltextrun"/>
                <w:rFonts w:eastAsia="Calibri"/>
              </w:rPr>
            </w:pPr>
          </w:p>
          <w:p w14:paraId="3A50256B" w14:textId="77777777" w:rsidR="00260CE8" w:rsidRPr="001A5BE8" w:rsidRDefault="00260CE8" w:rsidP="00C8230A">
            <w:pPr>
              <w:pStyle w:val="paragraph"/>
              <w:jc w:val="both"/>
              <w:textAlignment w:val="baseline"/>
              <w:rPr>
                <w:rFonts w:eastAsia="Calibri"/>
                <w:b/>
                <w:bCs/>
                <w:u w:val="single"/>
              </w:rPr>
            </w:pPr>
            <w:r w:rsidRPr="001A5BE8">
              <w:rPr>
                <w:rStyle w:val="normaltextrun"/>
                <w:rFonts w:eastAsia="Calibri"/>
                <w:u w:val="single"/>
              </w:rPr>
              <w:t xml:space="preserve">*Vertinami neypatingųjų statinių </w:t>
            </w:r>
            <w:r w:rsidRPr="001A5BE8">
              <w:rPr>
                <w:u w:val="single"/>
              </w:rPr>
              <w:t>architektūrinės dalies projekto vadovo parengti</w:t>
            </w:r>
            <w:r w:rsidRPr="00832ABB">
              <w:t xml:space="preserve">  </w:t>
            </w:r>
            <w:r w:rsidRPr="001A5BE8">
              <w:rPr>
                <w:b/>
                <w:bCs/>
                <w:u w:val="single"/>
              </w:rPr>
              <w:t xml:space="preserve">naujos statybos </w:t>
            </w:r>
            <w:r w:rsidRPr="001A5BE8">
              <w:rPr>
                <w:b/>
                <w:bCs/>
                <w:u w:val="single"/>
              </w:rPr>
              <w:lastRenderedPageBreak/>
              <w:t>arba rekonstravimo</w:t>
            </w:r>
            <w:r w:rsidRPr="001A5BE8">
              <w:rPr>
                <w:u w:val="single"/>
              </w:rPr>
              <w:t xml:space="preserve"> techniniai ir/ar techniniai darbo projektai</w:t>
            </w:r>
            <w:r w:rsidRPr="001A5BE8">
              <w:rPr>
                <w:rStyle w:val="normaltextrun"/>
                <w:rFonts w:eastAsia="Calibri"/>
                <w:u w:val="single"/>
              </w:rPr>
              <w:t>, kurių plotas ne mažesnis nei 500 m2 (kultūros arba mokslo paskirties)</w:t>
            </w:r>
          </w:p>
        </w:tc>
        <w:tc>
          <w:tcPr>
            <w:tcW w:w="649" w:type="pct"/>
            <w:shd w:val="clear" w:color="auto" w:fill="auto"/>
          </w:tcPr>
          <w:p w14:paraId="2FB843D4" w14:textId="29BF5D8D" w:rsidR="00260CE8" w:rsidRPr="00260CE8" w:rsidRDefault="00260CE8" w:rsidP="00C8230A">
            <w:pPr>
              <w:contextualSpacing/>
              <w:jc w:val="center"/>
            </w:pPr>
            <m:oMathPara>
              <m:oMath>
                <m:r>
                  <m:rPr>
                    <m:sty m:val="p"/>
                  </m:rPr>
                  <w:rPr>
                    <w:rFonts w:ascii="Cambria Math" w:hAnsi="Cambria Math"/>
                  </w:rPr>
                  <w:lastRenderedPageBreak/>
                  <m:t>B1=</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074" w:type="pct"/>
            <w:shd w:val="clear" w:color="auto" w:fill="auto"/>
          </w:tcPr>
          <w:p w14:paraId="4B0EDA35" w14:textId="77777777" w:rsidR="00260CE8" w:rsidRPr="00832ABB" w:rsidRDefault="00260CE8" w:rsidP="00C8230A">
            <w:pPr>
              <w:contextualSpacing/>
              <w:jc w:val="both"/>
            </w:pPr>
            <w:proofErr w:type="spellStart"/>
            <w:r w:rsidRPr="00832ABB">
              <w:t>B</w:t>
            </w:r>
            <w:r w:rsidRPr="001A5BE8">
              <w:rPr>
                <w:vertAlign w:val="subscript"/>
              </w:rPr>
              <w:t>p</w:t>
            </w:r>
            <w:proofErr w:type="spellEnd"/>
            <w:r w:rsidRPr="00832ABB">
              <w:t>- vertinamo pasiūlymo kvalifikuoto neypatingųjų statinių architektūrinės dalies projekto vadovo parengtų projektų* skaičius;</w:t>
            </w:r>
          </w:p>
          <w:p w14:paraId="13D5F3F4" w14:textId="77777777" w:rsidR="00260CE8" w:rsidRPr="00832ABB" w:rsidRDefault="00260CE8" w:rsidP="00C8230A">
            <w:pPr>
              <w:contextualSpacing/>
              <w:jc w:val="both"/>
            </w:pPr>
          </w:p>
          <w:p w14:paraId="11FCA32C" w14:textId="77777777" w:rsidR="00260CE8" w:rsidRPr="00832ABB" w:rsidRDefault="00260CE8" w:rsidP="00C8230A">
            <w:pPr>
              <w:contextualSpacing/>
              <w:jc w:val="both"/>
            </w:pPr>
            <w:proofErr w:type="spellStart"/>
            <w:r w:rsidRPr="00832ABB">
              <w:t>B</w:t>
            </w:r>
            <w:r w:rsidRPr="001A5BE8">
              <w:rPr>
                <w:vertAlign w:val="subscript"/>
              </w:rPr>
              <w:t>max</w:t>
            </w:r>
            <w:proofErr w:type="spellEnd"/>
            <w:r w:rsidRPr="00832ABB">
              <w:t xml:space="preserve">- maksimalus  neypatingųjų statinių architektūrinės dalies projekto vadovo per pastaruosius 5 (penkis) metus parengtų projektų* skaičius, kurį viršijus papildomi balai nesuteikiami = 4. </w:t>
            </w:r>
          </w:p>
          <w:p w14:paraId="240C860F" w14:textId="77777777" w:rsidR="00260CE8" w:rsidRPr="00832ABB" w:rsidRDefault="00260CE8" w:rsidP="00C8230A">
            <w:pPr>
              <w:contextualSpacing/>
              <w:jc w:val="both"/>
            </w:pPr>
          </w:p>
          <w:p w14:paraId="0F7FB456" w14:textId="77777777" w:rsidR="00260CE8" w:rsidRPr="00832ABB" w:rsidRDefault="00260CE8" w:rsidP="00C8230A">
            <w:pPr>
              <w:contextualSpacing/>
              <w:jc w:val="both"/>
            </w:pPr>
            <w:r w:rsidRPr="00832ABB">
              <w:t xml:space="preserve">Vertinami neypatingųjų statinių architektūrinės dalies projekto vadovo per pastaruosius 5 (penkis) metus parengtų projektų* skaičius (vnt.);. </w:t>
            </w:r>
          </w:p>
          <w:p w14:paraId="3135F446" w14:textId="77777777" w:rsidR="00260CE8" w:rsidRPr="00832ABB" w:rsidRDefault="00260CE8" w:rsidP="00C8230A">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52"/>
              <w:gridCol w:w="659"/>
              <w:gridCol w:w="781"/>
              <w:gridCol w:w="1535"/>
            </w:tblGrid>
            <w:tr w:rsidR="00260CE8" w:rsidRPr="00832ABB" w14:paraId="6EF0ACBE" w14:textId="77777777" w:rsidTr="00C8230A">
              <w:tc>
                <w:tcPr>
                  <w:tcW w:w="5582" w:type="dxa"/>
                  <w:gridSpan w:val="5"/>
                  <w:shd w:val="clear" w:color="auto" w:fill="auto"/>
                </w:tcPr>
                <w:p w14:paraId="7DE901A2" w14:textId="77777777" w:rsidR="00260CE8" w:rsidRPr="00832ABB" w:rsidRDefault="00260CE8" w:rsidP="00C8230A">
                  <w:pPr>
                    <w:contextualSpacing/>
                    <w:jc w:val="both"/>
                  </w:pPr>
                  <w:r w:rsidRPr="00832ABB">
                    <w:t>Už patirtį skiriami balai: už tinkamai parengtus projektus skiriami balai</w:t>
                  </w:r>
                </w:p>
              </w:tc>
            </w:tr>
            <w:tr w:rsidR="00260CE8" w:rsidRPr="00832ABB" w14:paraId="7E5299CD" w14:textId="77777777" w:rsidTr="00C8230A">
              <w:tc>
                <w:tcPr>
                  <w:tcW w:w="1621" w:type="dxa"/>
                  <w:shd w:val="clear" w:color="auto" w:fill="auto"/>
                </w:tcPr>
                <w:p w14:paraId="221FEFD5" w14:textId="77777777" w:rsidR="00260CE8" w:rsidRPr="00832ABB" w:rsidRDefault="00260CE8" w:rsidP="00C8230A">
                  <w:pPr>
                    <w:contextualSpacing/>
                    <w:jc w:val="both"/>
                  </w:pPr>
                  <w:r w:rsidRPr="00832ABB">
                    <w:t>Projektų sk.</w:t>
                  </w:r>
                </w:p>
              </w:tc>
              <w:tc>
                <w:tcPr>
                  <w:tcW w:w="701" w:type="dxa"/>
                  <w:shd w:val="clear" w:color="auto" w:fill="auto"/>
                </w:tcPr>
                <w:p w14:paraId="3E408D21" w14:textId="77777777" w:rsidR="00260CE8" w:rsidRPr="00832ABB" w:rsidRDefault="00260CE8" w:rsidP="00C8230A">
                  <w:pPr>
                    <w:contextualSpacing/>
                    <w:jc w:val="center"/>
                  </w:pPr>
                  <w:r w:rsidRPr="00832ABB">
                    <w:t>1</w:t>
                  </w:r>
                </w:p>
              </w:tc>
              <w:tc>
                <w:tcPr>
                  <w:tcW w:w="709" w:type="dxa"/>
                  <w:shd w:val="clear" w:color="auto" w:fill="auto"/>
                </w:tcPr>
                <w:p w14:paraId="4D730128" w14:textId="77777777" w:rsidR="00260CE8" w:rsidRPr="00832ABB" w:rsidRDefault="00260CE8" w:rsidP="00C8230A">
                  <w:pPr>
                    <w:contextualSpacing/>
                    <w:jc w:val="center"/>
                  </w:pPr>
                  <w:r w:rsidRPr="00832ABB">
                    <w:t>2</w:t>
                  </w:r>
                </w:p>
              </w:tc>
              <w:tc>
                <w:tcPr>
                  <w:tcW w:w="850" w:type="dxa"/>
                  <w:shd w:val="clear" w:color="auto" w:fill="auto"/>
                </w:tcPr>
                <w:p w14:paraId="50003106" w14:textId="77777777" w:rsidR="00260CE8" w:rsidRPr="00832ABB" w:rsidRDefault="00260CE8" w:rsidP="00C8230A">
                  <w:pPr>
                    <w:contextualSpacing/>
                    <w:jc w:val="center"/>
                  </w:pPr>
                  <w:r w:rsidRPr="00832ABB">
                    <w:t>3</w:t>
                  </w:r>
                </w:p>
              </w:tc>
              <w:tc>
                <w:tcPr>
                  <w:tcW w:w="1701" w:type="dxa"/>
                  <w:shd w:val="clear" w:color="auto" w:fill="auto"/>
                </w:tcPr>
                <w:p w14:paraId="326596B0" w14:textId="77777777" w:rsidR="00260CE8" w:rsidRPr="00832ABB" w:rsidRDefault="00260CE8" w:rsidP="00C8230A">
                  <w:pPr>
                    <w:contextualSpacing/>
                    <w:jc w:val="center"/>
                  </w:pPr>
                  <w:r w:rsidRPr="00832ABB">
                    <w:t>≥4</w:t>
                  </w:r>
                </w:p>
              </w:tc>
            </w:tr>
            <w:tr w:rsidR="00260CE8" w:rsidRPr="00832ABB" w14:paraId="02711BA3" w14:textId="77777777" w:rsidTr="00C8230A">
              <w:tc>
                <w:tcPr>
                  <w:tcW w:w="1621" w:type="dxa"/>
                  <w:shd w:val="clear" w:color="auto" w:fill="auto"/>
                </w:tcPr>
                <w:p w14:paraId="41E352B2" w14:textId="77777777" w:rsidR="00260CE8" w:rsidRPr="00832ABB" w:rsidRDefault="00260CE8" w:rsidP="00C8230A">
                  <w:pPr>
                    <w:contextualSpacing/>
                    <w:jc w:val="both"/>
                  </w:pPr>
                  <w:r w:rsidRPr="00832ABB">
                    <w:t>Skiriami balai</w:t>
                  </w:r>
                </w:p>
              </w:tc>
              <w:tc>
                <w:tcPr>
                  <w:tcW w:w="701" w:type="dxa"/>
                  <w:shd w:val="clear" w:color="auto" w:fill="auto"/>
                </w:tcPr>
                <w:p w14:paraId="48E84F01" w14:textId="77777777" w:rsidR="00260CE8" w:rsidRPr="00832ABB" w:rsidRDefault="00260CE8" w:rsidP="00C8230A">
                  <w:pPr>
                    <w:contextualSpacing/>
                    <w:jc w:val="center"/>
                  </w:pPr>
                  <w:r w:rsidRPr="00832ABB">
                    <w:t>1</w:t>
                  </w:r>
                </w:p>
              </w:tc>
              <w:tc>
                <w:tcPr>
                  <w:tcW w:w="709" w:type="dxa"/>
                  <w:shd w:val="clear" w:color="auto" w:fill="auto"/>
                </w:tcPr>
                <w:p w14:paraId="132BB920" w14:textId="77777777" w:rsidR="00260CE8" w:rsidRPr="00832ABB" w:rsidRDefault="00260CE8" w:rsidP="00C8230A">
                  <w:pPr>
                    <w:contextualSpacing/>
                    <w:jc w:val="center"/>
                  </w:pPr>
                  <w:r w:rsidRPr="00832ABB">
                    <w:t>2</w:t>
                  </w:r>
                </w:p>
              </w:tc>
              <w:tc>
                <w:tcPr>
                  <w:tcW w:w="850" w:type="dxa"/>
                  <w:shd w:val="clear" w:color="auto" w:fill="auto"/>
                </w:tcPr>
                <w:p w14:paraId="0F69B959" w14:textId="77777777" w:rsidR="00260CE8" w:rsidRPr="00832ABB" w:rsidRDefault="00260CE8" w:rsidP="00C8230A">
                  <w:pPr>
                    <w:contextualSpacing/>
                    <w:jc w:val="center"/>
                  </w:pPr>
                  <w:r w:rsidRPr="00832ABB">
                    <w:t>3</w:t>
                  </w:r>
                </w:p>
              </w:tc>
              <w:tc>
                <w:tcPr>
                  <w:tcW w:w="1701" w:type="dxa"/>
                  <w:shd w:val="clear" w:color="auto" w:fill="auto"/>
                </w:tcPr>
                <w:p w14:paraId="65F85210" w14:textId="77777777" w:rsidR="00260CE8" w:rsidRPr="00832ABB" w:rsidRDefault="00260CE8" w:rsidP="00C8230A">
                  <w:pPr>
                    <w:contextualSpacing/>
                    <w:jc w:val="center"/>
                  </w:pPr>
                  <w:r w:rsidRPr="00832ABB">
                    <w:t>4</w:t>
                  </w:r>
                </w:p>
              </w:tc>
            </w:tr>
          </w:tbl>
          <w:p w14:paraId="483DFE4D" w14:textId="77777777" w:rsidR="00260CE8" w:rsidRPr="00832ABB" w:rsidRDefault="00260CE8" w:rsidP="00C8230A">
            <w:pPr>
              <w:contextualSpacing/>
              <w:jc w:val="both"/>
            </w:pPr>
          </w:p>
          <w:p w14:paraId="0D51B1C3" w14:textId="77777777" w:rsidR="00260CE8" w:rsidRPr="001A5BE8" w:rsidRDefault="00260CE8" w:rsidP="00C8230A">
            <w:pPr>
              <w:contextualSpacing/>
              <w:jc w:val="both"/>
              <w:rPr>
                <w:u w:val="single"/>
              </w:rPr>
            </w:pPr>
            <w:r w:rsidRPr="00832ABB">
              <w:lastRenderedPageBreak/>
              <w:t xml:space="preserve">Patirtį įrodyti pateikiama užpildyta neypatingųjų statinių architektūrinės dalies projekto vadovo parengtų projektų lentelė ir </w:t>
            </w:r>
            <w:r w:rsidRPr="001A5BE8">
              <w:rPr>
                <w:u w:val="single"/>
              </w:rPr>
              <w:t>joje nurodytos privalomų su pasiūlymu pateikti dokumentų kopijos.</w:t>
            </w:r>
          </w:p>
          <w:p w14:paraId="121D2B88" w14:textId="77777777" w:rsidR="00260CE8" w:rsidRPr="00832ABB" w:rsidRDefault="00260CE8" w:rsidP="00C8230A">
            <w:pPr>
              <w:contextualSpacing/>
              <w:jc w:val="both"/>
            </w:pPr>
          </w:p>
          <w:p w14:paraId="041BC1E6" w14:textId="77777777" w:rsidR="00260CE8" w:rsidRPr="00832ABB" w:rsidRDefault="00260CE8" w:rsidP="00C8230A">
            <w:pPr>
              <w:tabs>
                <w:tab w:val="left" w:pos="15484"/>
              </w:tabs>
              <w:jc w:val="both"/>
            </w:pPr>
            <w:r w:rsidRPr="00832ABB">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37EA3E97" w14:textId="77777777" w:rsidR="00260CE8" w:rsidRPr="00832ABB" w:rsidRDefault="00260CE8" w:rsidP="00C8230A">
            <w:pPr>
              <w:tabs>
                <w:tab w:val="left" w:pos="15484"/>
              </w:tabs>
              <w:jc w:val="both"/>
            </w:pPr>
          </w:p>
          <w:p w14:paraId="306FFCE0" w14:textId="77777777" w:rsidR="00260CE8" w:rsidRPr="00832ABB" w:rsidRDefault="00260CE8" w:rsidP="00C8230A">
            <w:pPr>
              <w:tabs>
                <w:tab w:val="left" w:pos="15484"/>
              </w:tabs>
              <w:jc w:val="both"/>
            </w:pPr>
            <w:r w:rsidRPr="00832ABB">
              <w:t>Projekto vykdymo priežiūra į projekto parengimo laikotarpį nėra įskaičiuojama.</w:t>
            </w:r>
          </w:p>
        </w:tc>
        <w:tc>
          <w:tcPr>
            <w:tcW w:w="803" w:type="pct"/>
            <w:shd w:val="clear" w:color="auto" w:fill="auto"/>
          </w:tcPr>
          <w:p w14:paraId="5344E4EE" w14:textId="77777777" w:rsidR="00260CE8" w:rsidRPr="001A5BE8" w:rsidRDefault="00260CE8" w:rsidP="00C8230A">
            <w:pPr>
              <w:contextualSpacing/>
              <w:rPr>
                <w:color w:val="FF0000"/>
              </w:rPr>
            </w:pPr>
            <w:r w:rsidRPr="001A5BE8">
              <w:rPr>
                <w:color w:val="FF0000"/>
                <w:highlight w:val="lightGray"/>
              </w:rPr>
              <w:lastRenderedPageBreak/>
              <w:t>Y=40</w:t>
            </w:r>
          </w:p>
        </w:tc>
      </w:tr>
      <w:tr w:rsidR="00260CE8" w:rsidRPr="00C74E56" w14:paraId="45F49217" w14:textId="77777777" w:rsidTr="00C8230A">
        <w:trPr>
          <w:trHeight w:val="1550"/>
        </w:trPr>
        <w:tc>
          <w:tcPr>
            <w:tcW w:w="731" w:type="pct"/>
            <w:gridSpan w:val="2"/>
            <w:shd w:val="clear" w:color="auto" w:fill="auto"/>
          </w:tcPr>
          <w:p w14:paraId="0B6A54BD" w14:textId="77777777" w:rsidR="00260CE8" w:rsidRPr="001A5BE8" w:rsidRDefault="00260CE8" w:rsidP="00C8230A">
            <w:pPr>
              <w:jc w:val="both"/>
              <w:rPr>
                <w:color w:val="FF0000"/>
                <w:highlight w:val="lightGray"/>
              </w:rPr>
            </w:pPr>
            <w:r w:rsidRPr="001A5BE8">
              <w:rPr>
                <w:color w:val="FF0000"/>
                <w:highlight w:val="lightGray"/>
              </w:rPr>
              <w:t>B</w:t>
            </w:r>
            <w:r w:rsidRPr="001A5BE8">
              <w:rPr>
                <w:color w:val="FF0000"/>
                <w:highlight w:val="lightGray"/>
                <w:vertAlign w:val="subscript"/>
              </w:rPr>
              <w:t>2</w:t>
            </w:r>
            <w:r w:rsidRPr="001A5BE8">
              <w:rPr>
                <w:color w:val="FF0000"/>
                <w:highlight w:val="lightGray"/>
              </w:rPr>
              <w:t xml:space="preserve"> - personalo patirtis (kvalifikuoto </w:t>
            </w:r>
            <w:r w:rsidRPr="001A5BE8">
              <w:rPr>
                <w:b/>
                <w:bCs/>
                <w:color w:val="FF0000"/>
                <w:highlight w:val="lightGray"/>
              </w:rPr>
              <w:t xml:space="preserve">neypatingųjų </w:t>
            </w:r>
            <w:r w:rsidRPr="001A5BE8">
              <w:rPr>
                <w:color w:val="FF0000"/>
                <w:highlight w:val="lightGray"/>
              </w:rPr>
              <w:t xml:space="preserve">statinių </w:t>
            </w:r>
            <w:r w:rsidRPr="001A5BE8">
              <w:rPr>
                <w:b/>
                <w:bCs/>
                <w:color w:val="FF0000"/>
                <w:highlight w:val="lightGray"/>
              </w:rPr>
              <w:t xml:space="preserve">projekto vadovo </w:t>
            </w:r>
            <w:r w:rsidRPr="001A5BE8">
              <w:rPr>
                <w:color w:val="FF0000"/>
                <w:highlight w:val="lightGray"/>
              </w:rPr>
              <w:t>patirtis) *</w:t>
            </w:r>
          </w:p>
          <w:p w14:paraId="09419634" w14:textId="77777777" w:rsidR="00260CE8" w:rsidRPr="001A5BE8" w:rsidRDefault="00260CE8" w:rsidP="00C8230A">
            <w:pPr>
              <w:jc w:val="both"/>
              <w:rPr>
                <w:color w:val="FF0000"/>
                <w:highlight w:val="lightGray"/>
              </w:rPr>
            </w:pPr>
          </w:p>
          <w:p w14:paraId="342BFD91" w14:textId="77777777" w:rsidR="00260CE8" w:rsidRPr="001A5BE8" w:rsidRDefault="00260CE8" w:rsidP="00C8230A">
            <w:pPr>
              <w:jc w:val="both"/>
              <w:rPr>
                <w:color w:val="FF0000"/>
                <w:highlight w:val="lightGray"/>
              </w:rPr>
            </w:pPr>
          </w:p>
        </w:tc>
        <w:tc>
          <w:tcPr>
            <w:tcW w:w="743" w:type="pct"/>
            <w:shd w:val="clear" w:color="auto" w:fill="auto"/>
          </w:tcPr>
          <w:p w14:paraId="16AB71C1" w14:textId="77777777" w:rsidR="00260CE8" w:rsidRPr="001A5BE8" w:rsidRDefault="00260CE8" w:rsidP="00C8230A">
            <w:pPr>
              <w:pStyle w:val="paragraph"/>
              <w:spacing w:before="0" w:beforeAutospacing="0" w:after="0" w:afterAutospacing="0"/>
              <w:jc w:val="both"/>
              <w:textAlignment w:val="baseline"/>
              <w:rPr>
                <w:color w:val="FF0000"/>
                <w:highlight w:val="lightGray"/>
              </w:rPr>
            </w:pPr>
            <w:r w:rsidRPr="001A5BE8">
              <w:rPr>
                <w:rStyle w:val="normaltextrun"/>
                <w:rFonts w:eastAsia="Calibri"/>
                <w:color w:val="FF0000"/>
                <w:highlight w:val="lightGray"/>
              </w:rPr>
              <w:t xml:space="preserve">*Vertinami projektai, kuriuos per pastaruosius 5 (penkis) metus iki pasiūlymų pateikimo termino </w:t>
            </w:r>
            <w:r w:rsidRPr="001A5BE8">
              <w:rPr>
                <w:rStyle w:val="normaltextrun"/>
                <w:rFonts w:eastAsia="Calibri"/>
                <w:color w:val="FF0000"/>
                <w:highlight w:val="lightGray"/>
                <w:u w:val="single"/>
              </w:rPr>
              <w:t>ne</w:t>
            </w:r>
            <w:r w:rsidRPr="001A5BE8">
              <w:rPr>
                <w:b/>
                <w:bCs/>
                <w:color w:val="FF0000"/>
                <w:highlight w:val="lightGray"/>
                <w:u w:val="single"/>
              </w:rPr>
              <w:t>ypatingųjų statinių projekto vadovas</w:t>
            </w:r>
            <w:r w:rsidRPr="001A5BE8">
              <w:rPr>
                <w:rStyle w:val="normaltextrun"/>
                <w:rFonts w:eastAsia="Calibri"/>
                <w:color w:val="FF0000"/>
                <w:highlight w:val="lightGray"/>
              </w:rPr>
              <w:t xml:space="preserve"> parengė:</w:t>
            </w:r>
          </w:p>
          <w:p w14:paraId="4A37B6EE" w14:textId="77777777" w:rsidR="00260CE8" w:rsidRPr="001A5BE8" w:rsidRDefault="00260CE8" w:rsidP="00C8230A">
            <w:pPr>
              <w:pStyle w:val="paragraph"/>
              <w:spacing w:before="0" w:beforeAutospacing="0" w:after="0" w:afterAutospacing="0"/>
              <w:jc w:val="both"/>
              <w:textAlignment w:val="baseline"/>
              <w:rPr>
                <w:rStyle w:val="normaltextrun"/>
                <w:rFonts w:eastAsia="Calibri"/>
                <w:color w:val="FF0000"/>
                <w:highlight w:val="lightGray"/>
              </w:rPr>
            </w:pPr>
          </w:p>
          <w:p w14:paraId="56719CAE" w14:textId="77777777" w:rsidR="00260CE8" w:rsidRPr="001A5BE8" w:rsidRDefault="00260CE8" w:rsidP="00C8230A">
            <w:pPr>
              <w:pStyle w:val="paragraph"/>
              <w:jc w:val="both"/>
              <w:textAlignment w:val="baseline"/>
              <w:rPr>
                <w:rFonts w:eastAsia="Calibri"/>
                <w:b/>
                <w:bCs/>
                <w:color w:val="FF0000"/>
                <w:highlight w:val="lightGray"/>
                <w:u w:val="single"/>
              </w:rPr>
            </w:pPr>
            <w:r w:rsidRPr="001A5BE8">
              <w:rPr>
                <w:rStyle w:val="normaltextrun"/>
                <w:rFonts w:eastAsia="Calibri"/>
                <w:color w:val="FF0000"/>
                <w:highlight w:val="lightGray"/>
                <w:u w:val="single"/>
              </w:rPr>
              <w:t>*Vertinami neypatingųjų statinių</w:t>
            </w:r>
            <w:r w:rsidRPr="001A5BE8">
              <w:rPr>
                <w:color w:val="FF0000"/>
                <w:highlight w:val="lightGray"/>
                <w:u w:val="single"/>
              </w:rPr>
              <w:t xml:space="preserve"> projekto vadovo parengti</w:t>
            </w:r>
            <w:r w:rsidRPr="001A5BE8">
              <w:rPr>
                <w:color w:val="FF0000"/>
                <w:highlight w:val="lightGray"/>
              </w:rPr>
              <w:t xml:space="preserve">  </w:t>
            </w:r>
            <w:r w:rsidRPr="001A5BE8">
              <w:rPr>
                <w:b/>
                <w:bCs/>
                <w:color w:val="FF0000"/>
                <w:highlight w:val="lightGray"/>
                <w:u w:val="single"/>
              </w:rPr>
              <w:t>naujos statybos arba rekonstravimo</w:t>
            </w:r>
            <w:r w:rsidRPr="001A5BE8">
              <w:rPr>
                <w:color w:val="FF0000"/>
                <w:highlight w:val="lightGray"/>
                <w:u w:val="single"/>
              </w:rPr>
              <w:t xml:space="preserve"> techniniai ir/ar techniniai darbo projektai</w:t>
            </w:r>
            <w:r w:rsidRPr="001A5BE8">
              <w:rPr>
                <w:rStyle w:val="normaltextrun"/>
                <w:rFonts w:eastAsia="Calibri"/>
                <w:color w:val="FF0000"/>
                <w:highlight w:val="lightGray"/>
                <w:u w:val="single"/>
              </w:rPr>
              <w:t>, kurių plotas ne mažesnis nei 500 m2 (kultūros arba mokslo paskirties)</w:t>
            </w:r>
          </w:p>
        </w:tc>
        <w:tc>
          <w:tcPr>
            <w:tcW w:w="649" w:type="pct"/>
            <w:shd w:val="clear" w:color="auto" w:fill="auto"/>
          </w:tcPr>
          <w:p w14:paraId="5F949F58" w14:textId="1FD99802" w:rsidR="00260CE8" w:rsidRPr="00260CE8" w:rsidRDefault="00260CE8" w:rsidP="00C8230A">
            <w:pPr>
              <w:contextualSpacing/>
              <w:jc w:val="center"/>
              <w:rPr>
                <w:color w:val="FF0000"/>
                <w:highlight w:val="lightGray"/>
              </w:rPr>
            </w:pPr>
            <m:oMathPara>
              <m:oMath>
                <m:r>
                  <m:rPr>
                    <m:sty m:val="p"/>
                  </m:rPr>
                  <w:rPr>
                    <w:rFonts w:ascii="Cambria Math" w:hAnsi="Cambria Math"/>
                  </w:rPr>
                  <m:t>B2=</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074" w:type="pct"/>
            <w:shd w:val="clear" w:color="auto" w:fill="auto"/>
          </w:tcPr>
          <w:p w14:paraId="63B1CE87" w14:textId="77777777" w:rsidR="00260CE8" w:rsidRPr="001A5BE8" w:rsidRDefault="00260CE8" w:rsidP="00C8230A">
            <w:pPr>
              <w:contextualSpacing/>
              <w:jc w:val="both"/>
              <w:rPr>
                <w:color w:val="FF0000"/>
                <w:highlight w:val="lightGray"/>
              </w:rPr>
            </w:pPr>
            <w:proofErr w:type="spellStart"/>
            <w:r w:rsidRPr="001A5BE8">
              <w:rPr>
                <w:color w:val="FF0000"/>
                <w:highlight w:val="lightGray"/>
              </w:rPr>
              <w:t>B</w:t>
            </w:r>
            <w:r w:rsidRPr="001A5BE8">
              <w:rPr>
                <w:color w:val="FF0000"/>
                <w:highlight w:val="lightGray"/>
                <w:vertAlign w:val="subscript"/>
              </w:rPr>
              <w:t>p</w:t>
            </w:r>
            <w:proofErr w:type="spellEnd"/>
            <w:r w:rsidRPr="001A5BE8">
              <w:rPr>
                <w:color w:val="FF0000"/>
                <w:highlight w:val="lightGray"/>
              </w:rPr>
              <w:t>- vertinamo pasiūlymo kvalifikuoto neypatingųjų statinių projekto vadovo parengtų projektų* skaičius;</w:t>
            </w:r>
          </w:p>
          <w:p w14:paraId="374D0FE6" w14:textId="77777777" w:rsidR="00260CE8" w:rsidRPr="001A5BE8" w:rsidRDefault="00260CE8" w:rsidP="00C8230A">
            <w:pPr>
              <w:contextualSpacing/>
              <w:jc w:val="both"/>
              <w:rPr>
                <w:color w:val="FF0000"/>
                <w:highlight w:val="lightGray"/>
              </w:rPr>
            </w:pPr>
          </w:p>
          <w:p w14:paraId="2267B1E3" w14:textId="77777777" w:rsidR="00260CE8" w:rsidRPr="001A5BE8" w:rsidRDefault="00260CE8" w:rsidP="00C8230A">
            <w:pPr>
              <w:contextualSpacing/>
              <w:jc w:val="both"/>
              <w:rPr>
                <w:color w:val="FF0000"/>
                <w:highlight w:val="lightGray"/>
              </w:rPr>
            </w:pPr>
            <w:proofErr w:type="spellStart"/>
            <w:r w:rsidRPr="001A5BE8">
              <w:rPr>
                <w:color w:val="FF0000"/>
                <w:highlight w:val="lightGray"/>
              </w:rPr>
              <w:t>B</w:t>
            </w:r>
            <w:r w:rsidRPr="001A5BE8">
              <w:rPr>
                <w:color w:val="FF0000"/>
                <w:highlight w:val="lightGray"/>
                <w:vertAlign w:val="subscript"/>
              </w:rPr>
              <w:t>max</w:t>
            </w:r>
            <w:proofErr w:type="spellEnd"/>
            <w:r w:rsidRPr="001A5BE8">
              <w:rPr>
                <w:color w:val="FF0000"/>
                <w:highlight w:val="lightGray"/>
              </w:rPr>
              <w:t xml:space="preserve">- maksimalus  neypatingųjų statinių projekto vadovo per pastaruosius 5 (penkis) metus parengtų projektų* skaičius, kurį viršijus papildomi balai nesuteikiami = 4. </w:t>
            </w:r>
          </w:p>
          <w:p w14:paraId="7F20284E" w14:textId="77777777" w:rsidR="00260CE8" w:rsidRPr="001A5BE8" w:rsidRDefault="00260CE8" w:rsidP="00C8230A">
            <w:pPr>
              <w:contextualSpacing/>
              <w:jc w:val="both"/>
              <w:rPr>
                <w:color w:val="FF0000"/>
                <w:highlight w:val="lightGray"/>
              </w:rPr>
            </w:pPr>
          </w:p>
          <w:p w14:paraId="0FB7262F" w14:textId="77777777" w:rsidR="00260CE8" w:rsidRPr="001A5BE8" w:rsidRDefault="00260CE8" w:rsidP="00C8230A">
            <w:pPr>
              <w:contextualSpacing/>
              <w:jc w:val="both"/>
              <w:rPr>
                <w:color w:val="FF0000"/>
                <w:highlight w:val="lightGray"/>
              </w:rPr>
            </w:pPr>
            <w:r w:rsidRPr="001A5BE8">
              <w:rPr>
                <w:color w:val="FF0000"/>
                <w:highlight w:val="lightGray"/>
              </w:rPr>
              <w:t xml:space="preserve">Vertinami neypatingųjų statinių projekto vadovo per pastaruosius 5 (penkis) metus parengtų projektų* skaičius (vnt.);. </w:t>
            </w:r>
          </w:p>
          <w:p w14:paraId="004097A5" w14:textId="77777777" w:rsidR="00260CE8" w:rsidRPr="001A5BE8" w:rsidRDefault="00260CE8" w:rsidP="00C8230A">
            <w:pPr>
              <w:contextualSpacing/>
              <w:jc w:val="both"/>
              <w:rPr>
                <w:color w:val="FF0000"/>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52"/>
              <w:gridCol w:w="659"/>
              <w:gridCol w:w="781"/>
              <w:gridCol w:w="1535"/>
            </w:tblGrid>
            <w:tr w:rsidR="00260CE8" w:rsidRPr="001A5BE8" w14:paraId="0F2F3867" w14:textId="77777777" w:rsidTr="00C8230A">
              <w:tc>
                <w:tcPr>
                  <w:tcW w:w="5582" w:type="dxa"/>
                  <w:gridSpan w:val="5"/>
                  <w:shd w:val="clear" w:color="auto" w:fill="auto"/>
                </w:tcPr>
                <w:p w14:paraId="49063BC1" w14:textId="77777777" w:rsidR="00260CE8" w:rsidRPr="001A5BE8" w:rsidRDefault="00260CE8" w:rsidP="00C8230A">
                  <w:pPr>
                    <w:contextualSpacing/>
                    <w:jc w:val="both"/>
                    <w:rPr>
                      <w:color w:val="FF0000"/>
                      <w:highlight w:val="lightGray"/>
                    </w:rPr>
                  </w:pPr>
                  <w:r w:rsidRPr="001A5BE8">
                    <w:rPr>
                      <w:color w:val="FF0000"/>
                      <w:highlight w:val="lightGray"/>
                    </w:rPr>
                    <w:t>Už patirtį skiriami balai: už tinkamai parengtus projektus skiriami balai</w:t>
                  </w:r>
                </w:p>
              </w:tc>
            </w:tr>
            <w:tr w:rsidR="00260CE8" w:rsidRPr="001A5BE8" w14:paraId="5FA62937" w14:textId="77777777" w:rsidTr="00C8230A">
              <w:tc>
                <w:tcPr>
                  <w:tcW w:w="1621" w:type="dxa"/>
                  <w:shd w:val="clear" w:color="auto" w:fill="auto"/>
                </w:tcPr>
                <w:p w14:paraId="21938EC0" w14:textId="77777777" w:rsidR="00260CE8" w:rsidRPr="001A5BE8" w:rsidRDefault="00260CE8" w:rsidP="00C8230A">
                  <w:pPr>
                    <w:contextualSpacing/>
                    <w:jc w:val="both"/>
                    <w:rPr>
                      <w:color w:val="FF0000"/>
                      <w:highlight w:val="lightGray"/>
                    </w:rPr>
                  </w:pPr>
                  <w:r w:rsidRPr="001A5BE8">
                    <w:rPr>
                      <w:color w:val="FF0000"/>
                      <w:highlight w:val="lightGray"/>
                    </w:rPr>
                    <w:t>Projektų sk.</w:t>
                  </w:r>
                </w:p>
              </w:tc>
              <w:tc>
                <w:tcPr>
                  <w:tcW w:w="701" w:type="dxa"/>
                  <w:shd w:val="clear" w:color="auto" w:fill="auto"/>
                </w:tcPr>
                <w:p w14:paraId="34D83298" w14:textId="77777777" w:rsidR="00260CE8" w:rsidRPr="001A5BE8" w:rsidRDefault="00260CE8" w:rsidP="00C8230A">
                  <w:pPr>
                    <w:contextualSpacing/>
                    <w:jc w:val="center"/>
                    <w:rPr>
                      <w:color w:val="FF0000"/>
                      <w:highlight w:val="lightGray"/>
                    </w:rPr>
                  </w:pPr>
                  <w:r w:rsidRPr="001A5BE8">
                    <w:rPr>
                      <w:color w:val="FF0000"/>
                      <w:highlight w:val="lightGray"/>
                    </w:rPr>
                    <w:t>1</w:t>
                  </w:r>
                </w:p>
              </w:tc>
              <w:tc>
                <w:tcPr>
                  <w:tcW w:w="709" w:type="dxa"/>
                  <w:shd w:val="clear" w:color="auto" w:fill="auto"/>
                </w:tcPr>
                <w:p w14:paraId="6519B8B3" w14:textId="77777777" w:rsidR="00260CE8" w:rsidRPr="001A5BE8" w:rsidRDefault="00260CE8" w:rsidP="00C8230A">
                  <w:pPr>
                    <w:contextualSpacing/>
                    <w:jc w:val="center"/>
                    <w:rPr>
                      <w:color w:val="FF0000"/>
                      <w:highlight w:val="lightGray"/>
                    </w:rPr>
                  </w:pPr>
                  <w:r w:rsidRPr="001A5BE8">
                    <w:rPr>
                      <w:color w:val="FF0000"/>
                      <w:highlight w:val="lightGray"/>
                    </w:rPr>
                    <w:t>2</w:t>
                  </w:r>
                </w:p>
              </w:tc>
              <w:tc>
                <w:tcPr>
                  <w:tcW w:w="850" w:type="dxa"/>
                  <w:shd w:val="clear" w:color="auto" w:fill="auto"/>
                </w:tcPr>
                <w:p w14:paraId="26CF8FCF" w14:textId="77777777" w:rsidR="00260CE8" w:rsidRPr="001A5BE8" w:rsidRDefault="00260CE8" w:rsidP="00C8230A">
                  <w:pPr>
                    <w:contextualSpacing/>
                    <w:jc w:val="center"/>
                    <w:rPr>
                      <w:color w:val="FF0000"/>
                      <w:highlight w:val="lightGray"/>
                    </w:rPr>
                  </w:pPr>
                  <w:r w:rsidRPr="001A5BE8">
                    <w:rPr>
                      <w:color w:val="FF0000"/>
                      <w:highlight w:val="lightGray"/>
                    </w:rPr>
                    <w:t>3</w:t>
                  </w:r>
                </w:p>
              </w:tc>
              <w:tc>
                <w:tcPr>
                  <w:tcW w:w="1701" w:type="dxa"/>
                  <w:shd w:val="clear" w:color="auto" w:fill="auto"/>
                </w:tcPr>
                <w:p w14:paraId="03CCB771" w14:textId="77777777" w:rsidR="00260CE8" w:rsidRPr="001A5BE8" w:rsidRDefault="00260CE8" w:rsidP="00C8230A">
                  <w:pPr>
                    <w:contextualSpacing/>
                    <w:jc w:val="center"/>
                    <w:rPr>
                      <w:color w:val="FF0000"/>
                      <w:highlight w:val="lightGray"/>
                    </w:rPr>
                  </w:pPr>
                  <w:r w:rsidRPr="001A5BE8">
                    <w:rPr>
                      <w:color w:val="FF0000"/>
                      <w:highlight w:val="lightGray"/>
                    </w:rPr>
                    <w:t>≥4</w:t>
                  </w:r>
                </w:p>
              </w:tc>
            </w:tr>
            <w:tr w:rsidR="00260CE8" w:rsidRPr="001A5BE8" w14:paraId="66D1B286" w14:textId="77777777" w:rsidTr="00C8230A">
              <w:tc>
                <w:tcPr>
                  <w:tcW w:w="1621" w:type="dxa"/>
                  <w:shd w:val="clear" w:color="auto" w:fill="auto"/>
                </w:tcPr>
                <w:p w14:paraId="0488018B" w14:textId="77777777" w:rsidR="00260CE8" w:rsidRPr="001A5BE8" w:rsidRDefault="00260CE8" w:rsidP="00C8230A">
                  <w:pPr>
                    <w:contextualSpacing/>
                    <w:jc w:val="both"/>
                    <w:rPr>
                      <w:color w:val="FF0000"/>
                      <w:highlight w:val="lightGray"/>
                    </w:rPr>
                  </w:pPr>
                  <w:r w:rsidRPr="001A5BE8">
                    <w:rPr>
                      <w:color w:val="FF0000"/>
                      <w:highlight w:val="lightGray"/>
                    </w:rPr>
                    <w:t>Skiriami balai</w:t>
                  </w:r>
                </w:p>
              </w:tc>
              <w:tc>
                <w:tcPr>
                  <w:tcW w:w="701" w:type="dxa"/>
                  <w:shd w:val="clear" w:color="auto" w:fill="auto"/>
                </w:tcPr>
                <w:p w14:paraId="70AFEDD0" w14:textId="77777777" w:rsidR="00260CE8" w:rsidRPr="001A5BE8" w:rsidRDefault="00260CE8" w:rsidP="00C8230A">
                  <w:pPr>
                    <w:contextualSpacing/>
                    <w:jc w:val="center"/>
                    <w:rPr>
                      <w:color w:val="FF0000"/>
                      <w:highlight w:val="lightGray"/>
                    </w:rPr>
                  </w:pPr>
                  <w:r w:rsidRPr="001A5BE8">
                    <w:rPr>
                      <w:color w:val="FF0000"/>
                      <w:highlight w:val="lightGray"/>
                    </w:rPr>
                    <w:t>1</w:t>
                  </w:r>
                </w:p>
              </w:tc>
              <w:tc>
                <w:tcPr>
                  <w:tcW w:w="709" w:type="dxa"/>
                  <w:shd w:val="clear" w:color="auto" w:fill="auto"/>
                </w:tcPr>
                <w:p w14:paraId="284326DF" w14:textId="77777777" w:rsidR="00260CE8" w:rsidRPr="001A5BE8" w:rsidRDefault="00260CE8" w:rsidP="00C8230A">
                  <w:pPr>
                    <w:contextualSpacing/>
                    <w:jc w:val="center"/>
                    <w:rPr>
                      <w:color w:val="FF0000"/>
                      <w:highlight w:val="lightGray"/>
                    </w:rPr>
                  </w:pPr>
                  <w:r w:rsidRPr="001A5BE8">
                    <w:rPr>
                      <w:color w:val="FF0000"/>
                      <w:highlight w:val="lightGray"/>
                    </w:rPr>
                    <w:t>2</w:t>
                  </w:r>
                </w:p>
              </w:tc>
              <w:tc>
                <w:tcPr>
                  <w:tcW w:w="850" w:type="dxa"/>
                  <w:shd w:val="clear" w:color="auto" w:fill="auto"/>
                </w:tcPr>
                <w:p w14:paraId="3336F87A" w14:textId="77777777" w:rsidR="00260CE8" w:rsidRPr="001A5BE8" w:rsidRDefault="00260CE8" w:rsidP="00C8230A">
                  <w:pPr>
                    <w:contextualSpacing/>
                    <w:jc w:val="center"/>
                    <w:rPr>
                      <w:color w:val="FF0000"/>
                      <w:highlight w:val="lightGray"/>
                    </w:rPr>
                  </w:pPr>
                  <w:r w:rsidRPr="001A5BE8">
                    <w:rPr>
                      <w:color w:val="FF0000"/>
                      <w:highlight w:val="lightGray"/>
                    </w:rPr>
                    <w:t>3</w:t>
                  </w:r>
                </w:p>
              </w:tc>
              <w:tc>
                <w:tcPr>
                  <w:tcW w:w="1701" w:type="dxa"/>
                  <w:shd w:val="clear" w:color="auto" w:fill="auto"/>
                </w:tcPr>
                <w:p w14:paraId="5EE73463" w14:textId="77777777" w:rsidR="00260CE8" w:rsidRPr="001A5BE8" w:rsidRDefault="00260CE8" w:rsidP="00C8230A">
                  <w:pPr>
                    <w:contextualSpacing/>
                    <w:jc w:val="center"/>
                    <w:rPr>
                      <w:color w:val="FF0000"/>
                      <w:highlight w:val="lightGray"/>
                    </w:rPr>
                  </w:pPr>
                  <w:r w:rsidRPr="001A5BE8">
                    <w:rPr>
                      <w:color w:val="FF0000"/>
                      <w:highlight w:val="lightGray"/>
                    </w:rPr>
                    <w:t>4</w:t>
                  </w:r>
                </w:p>
              </w:tc>
            </w:tr>
          </w:tbl>
          <w:p w14:paraId="15BAA27D" w14:textId="77777777" w:rsidR="00260CE8" w:rsidRPr="001A5BE8" w:rsidRDefault="00260CE8" w:rsidP="00C8230A">
            <w:pPr>
              <w:contextualSpacing/>
              <w:jc w:val="both"/>
              <w:rPr>
                <w:color w:val="FF0000"/>
                <w:highlight w:val="lightGray"/>
              </w:rPr>
            </w:pPr>
          </w:p>
          <w:p w14:paraId="33F846CA" w14:textId="77777777" w:rsidR="00260CE8" w:rsidRPr="001A5BE8" w:rsidRDefault="00260CE8" w:rsidP="00C8230A">
            <w:pPr>
              <w:contextualSpacing/>
              <w:jc w:val="both"/>
              <w:rPr>
                <w:color w:val="FF0000"/>
                <w:highlight w:val="lightGray"/>
                <w:u w:val="single"/>
              </w:rPr>
            </w:pPr>
            <w:r w:rsidRPr="001A5BE8">
              <w:rPr>
                <w:color w:val="FF0000"/>
                <w:highlight w:val="lightGray"/>
              </w:rPr>
              <w:t xml:space="preserve">Patirtį įrodyti pateikiama užpildyta neypatingųjų statinių projekto vadovo parengtų projektų lentelė ir </w:t>
            </w:r>
            <w:r w:rsidRPr="001A5BE8">
              <w:rPr>
                <w:color w:val="FF0000"/>
                <w:highlight w:val="lightGray"/>
                <w:u w:val="single"/>
              </w:rPr>
              <w:t>joje nurodytos privalomų su pasiūlymu pateikti dokumentų kopijos (statybos leidimas arba bendrosios ekspertizės aktas)</w:t>
            </w:r>
          </w:p>
          <w:p w14:paraId="56C081C2" w14:textId="77777777" w:rsidR="00260CE8" w:rsidRPr="001A5BE8" w:rsidRDefault="00260CE8" w:rsidP="00C8230A">
            <w:pPr>
              <w:contextualSpacing/>
              <w:jc w:val="both"/>
              <w:rPr>
                <w:color w:val="FF0000"/>
                <w:highlight w:val="lightGray"/>
              </w:rPr>
            </w:pPr>
          </w:p>
          <w:p w14:paraId="323EC92B" w14:textId="77777777" w:rsidR="00260CE8" w:rsidRPr="001A5BE8" w:rsidRDefault="00260CE8" w:rsidP="00C8230A">
            <w:pPr>
              <w:tabs>
                <w:tab w:val="left" w:pos="15484"/>
              </w:tabs>
              <w:jc w:val="both"/>
              <w:rPr>
                <w:color w:val="FF0000"/>
                <w:highlight w:val="lightGray"/>
              </w:rPr>
            </w:pPr>
            <w:r w:rsidRPr="001A5BE8">
              <w:rPr>
                <w:color w:val="FF0000"/>
                <w:highlight w:val="lightGray"/>
              </w:rPr>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2DB83A5C" w14:textId="77777777" w:rsidR="00260CE8" w:rsidRPr="001A5BE8" w:rsidRDefault="00260CE8" w:rsidP="00C8230A">
            <w:pPr>
              <w:tabs>
                <w:tab w:val="left" w:pos="15484"/>
              </w:tabs>
              <w:jc w:val="both"/>
              <w:rPr>
                <w:color w:val="FF0000"/>
                <w:highlight w:val="lightGray"/>
              </w:rPr>
            </w:pPr>
          </w:p>
          <w:p w14:paraId="0FA396B2" w14:textId="77777777" w:rsidR="00260CE8" w:rsidRPr="001A5BE8" w:rsidRDefault="00260CE8" w:rsidP="00C8230A">
            <w:pPr>
              <w:tabs>
                <w:tab w:val="left" w:pos="15484"/>
              </w:tabs>
              <w:jc w:val="both"/>
              <w:rPr>
                <w:color w:val="FF0000"/>
                <w:highlight w:val="lightGray"/>
              </w:rPr>
            </w:pPr>
            <w:r w:rsidRPr="001A5BE8">
              <w:rPr>
                <w:color w:val="FF0000"/>
                <w:highlight w:val="lightGray"/>
              </w:rPr>
              <w:t>Projekto vykdymo priežiūra į projekto parengimo laikotarpį nėra įskaičiuojama.</w:t>
            </w:r>
          </w:p>
        </w:tc>
        <w:tc>
          <w:tcPr>
            <w:tcW w:w="803" w:type="pct"/>
            <w:shd w:val="clear" w:color="auto" w:fill="auto"/>
          </w:tcPr>
          <w:p w14:paraId="11D8D1C8" w14:textId="77777777" w:rsidR="00260CE8" w:rsidRPr="001A5BE8" w:rsidRDefault="00260CE8" w:rsidP="00C8230A">
            <w:pPr>
              <w:contextualSpacing/>
              <w:rPr>
                <w:color w:val="FF0000"/>
                <w:highlight w:val="lightGray"/>
              </w:rPr>
            </w:pPr>
            <w:r w:rsidRPr="001A5BE8">
              <w:rPr>
                <w:color w:val="FF0000"/>
                <w:highlight w:val="lightGray"/>
              </w:rPr>
              <w:t>Y=30</w:t>
            </w:r>
          </w:p>
        </w:tc>
      </w:tr>
    </w:tbl>
    <w:p w14:paraId="30CC11AB" w14:textId="77777777" w:rsidR="00260CE8" w:rsidRDefault="00260CE8" w:rsidP="00260CE8">
      <w:pPr>
        <w:tabs>
          <w:tab w:val="left" w:pos="14490"/>
          <w:tab w:val="left" w:pos="14666"/>
          <w:tab w:val="left" w:pos="15484"/>
        </w:tabs>
        <w:ind w:left="-27" w:right="34" w:firstLine="767"/>
        <w:jc w:val="both"/>
        <w:rPr>
          <w:i/>
        </w:rPr>
      </w:pPr>
    </w:p>
    <w:p w14:paraId="447200D9" w14:textId="46F1440A" w:rsidR="00260CE8" w:rsidRPr="00A73F3F" w:rsidRDefault="00260CE8" w:rsidP="00260CE8">
      <w:pPr>
        <w:tabs>
          <w:tab w:val="left" w:pos="14490"/>
          <w:tab w:val="left" w:pos="14666"/>
          <w:tab w:val="left" w:pos="15484"/>
        </w:tabs>
        <w:ind w:left="-27" w:right="34" w:firstLine="767"/>
        <w:jc w:val="both"/>
        <w:rPr>
          <w:b/>
          <w:bCs/>
          <w:iCs/>
          <w:u w:val="single"/>
        </w:rPr>
      </w:pPr>
      <w:r w:rsidRPr="00A73F3F">
        <w:rPr>
          <w:b/>
          <w:bCs/>
          <w:iCs/>
          <w:u w:val="single"/>
        </w:rPr>
        <w:t>Perkančioji organizacija nepritaria tokiam siūlymui, nes tai yra perteklinis, ribojantis konkurenciją ir pridėtinės vertės neatnešantis.</w:t>
      </w:r>
    </w:p>
    <w:p w14:paraId="64975634" w14:textId="77777777" w:rsidR="00260CE8" w:rsidRPr="00A73F3F" w:rsidRDefault="00260CE8" w:rsidP="00260CE8">
      <w:pPr>
        <w:autoSpaceDE w:val="0"/>
        <w:adjustRightInd w:val="0"/>
        <w:ind w:left="360"/>
        <w:jc w:val="both"/>
        <w:rPr>
          <w:bCs/>
          <w:iCs/>
          <w:color w:val="FF0000"/>
          <w:szCs w:val="24"/>
        </w:rPr>
      </w:pPr>
    </w:p>
    <w:p w14:paraId="1CD2ECC6" w14:textId="77777777" w:rsidR="00260CE8" w:rsidRPr="00260CE8" w:rsidRDefault="00260CE8" w:rsidP="00260CE8">
      <w:r>
        <w:rPr>
          <w:b/>
          <w:bCs/>
        </w:rPr>
        <w:t xml:space="preserve">            </w:t>
      </w:r>
      <w:r w:rsidRPr="00260CE8">
        <w:t xml:space="preserve">Pasiūlyta pirkimo sąlygose iškelti tokius kvalifikacinius reikalavimus: </w:t>
      </w:r>
    </w:p>
    <w:p w14:paraId="62D22046" w14:textId="77777777" w:rsidR="00260CE8" w:rsidRPr="00260CE8" w:rsidRDefault="00260CE8" w:rsidP="00260CE8"/>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5"/>
        <w:gridCol w:w="9378"/>
      </w:tblGrid>
      <w:tr w:rsidR="00260CE8" w:rsidRPr="00832ABB" w14:paraId="50BCE701" w14:textId="77777777" w:rsidTr="00C8230A">
        <w:tc>
          <w:tcPr>
            <w:tcW w:w="1649" w:type="pct"/>
          </w:tcPr>
          <w:p w14:paraId="322D0E0C" w14:textId="77777777" w:rsidR="00260CE8" w:rsidRPr="00832ABB" w:rsidRDefault="00260CE8" w:rsidP="00C8230A">
            <w:pPr>
              <w:jc w:val="both"/>
              <w:outlineLvl w:val="1"/>
              <w:rPr>
                <w:rFonts w:cs="Archivo Light"/>
                <w:b/>
                <w:color w:val="FF0000"/>
                <w:highlight w:val="lightGray"/>
              </w:rPr>
            </w:pPr>
            <w:r w:rsidRPr="00832ABB">
              <w:rPr>
                <w:rFonts w:cs="Archivo Light"/>
                <w:color w:val="FF0000"/>
                <w:highlight w:val="lightGray"/>
              </w:rPr>
              <w:t>1)Vidutinės metinės visos veiklos pajamos per paskutinius 3 finansinius metus arba per laiką nuo tiekėjo įregistravimo dienos (jeigu tiekėjas vykdė veiklą mažiau nei 3 finansinius metus), turi būti ne mažesnės kaip 500000,00 Eur be PVM.</w:t>
            </w:r>
          </w:p>
          <w:p w14:paraId="0580BC6D" w14:textId="77777777" w:rsidR="00260CE8" w:rsidRPr="00832ABB" w:rsidRDefault="00260CE8" w:rsidP="00C8230A">
            <w:pPr>
              <w:spacing w:line="300" w:lineRule="atLeast"/>
              <w:jc w:val="both"/>
              <w:rPr>
                <w:b/>
                <w:i/>
                <w:iCs/>
                <w:color w:val="FF0000"/>
                <w:highlight w:val="lightGray"/>
                <w:u w:val="single"/>
              </w:rPr>
            </w:pPr>
          </w:p>
        </w:tc>
        <w:tc>
          <w:tcPr>
            <w:tcW w:w="3351" w:type="pct"/>
          </w:tcPr>
          <w:p w14:paraId="36C961D0" w14:textId="77777777" w:rsidR="00260CE8" w:rsidRPr="00832ABB" w:rsidRDefault="00260CE8" w:rsidP="00C8230A">
            <w:pPr>
              <w:tabs>
                <w:tab w:val="num" w:pos="720"/>
              </w:tabs>
              <w:jc w:val="both"/>
              <w:rPr>
                <w:rFonts w:cs="Archivo Light"/>
                <w:color w:val="FF0000"/>
                <w:highlight w:val="lightGray"/>
              </w:rPr>
            </w:pPr>
            <w:r w:rsidRPr="00832ABB">
              <w:rPr>
                <w:rFonts w:cs="Archivo Light"/>
                <w:color w:val="FF0000"/>
                <w:highlight w:val="lightGray"/>
              </w:rPr>
              <w:t>Pateikiama:</w:t>
            </w:r>
          </w:p>
          <w:p w14:paraId="66BA3596" w14:textId="77777777" w:rsidR="00260CE8" w:rsidRPr="00832ABB" w:rsidRDefault="00260CE8" w:rsidP="00C8230A">
            <w:pPr>
              <w:tabs>
                <w:tab w:val="num" w:pos="720"/>
              </w:tabs>
              <w:jc w:val="both"/>
              <w:rPr>
                <w:rFonts w:cs="Archivo Light"/>
                <w:color w:val="FF0000"/>
                <w:highlight w:val="lightGray"/>
              </w:rPr>
            </w:pPr>
            <w:r w:rsidRPr="00832ABB">
              <w:rPr>
                <w:rFonts w:cs="Archivo Light"/>
                <w:color w:val="FF0000"/>
                <w:highlight w:val="lightGray"/>
              </w:rPr>
              <w:t xml:space="preserve">Tiekėjo paskutinių 3 finansinių metų </w:t>
            </w:r>
            <w:r w:rsidRPr="00832ABB">
              <w:rPr>
                <w:rFonts w:cs="Archivo Light"/>
                <w:color w:val="FF0000"/>
                <w:spacing w:val="-4"/>
                <w:highlight w:val="lightGray"/>
              </w:rPr>
              <w:t xml:space="preserve">arba </w:t>
            </w:r>
            <w:r w:rsidRPr="00832ABB">
              <w:rPr>
                <w:rFonts w:cs="Archivo Light"/>
                <w:color w:val="FF0000"/>
                <w:highlight w:val="lightGray"/>
              </w:rPr>
              <w:t>laikotarpio nuo tiekėjo įregistravimo dienos (jeigu tiekėjas veiklą vykdė mažiau nei 3 paskutinius finansinius metus)</w:t>
            </w:r>
            <w:r w:rsidRPr="00832ABB">
              <w:rPr>
                <w:rFonts w:cs="Archivo Light"/>
                <w:color w:val="FF0000"/>
                <w:spacing w:val="-4"/>
                <w:highlight w:val="lightGray"/>
              </w:rPr>
              <w:t xml:space="preserve"> </w:t>
            </w:r>
            <w:r w:rsidRPr="00832ABB">
              <w:rPr>
                <w:rFonts w:cs="Archivo Light"/>
                <w:bCs/>
                <w:color w:val="FF0000"/>
                <w:highlight w:val="lightGray"/>
              </w:rPr>
              <w:t xml:space="preserve">finansinių ataskaitų rinkinys su auditoriaus išvada (tais atvejais, kai auditas atliktas) ar jo ištrauka, jeigu šalies, kurioje registruotas tiekėjas, įstatymuose reikalaujama skelbti metinį finansinių ataskaitų rinkinį. </w:t>
            </w:r>
            <w:r w:rsidRPr="00832ABB">
              <w:rPr>
                <w:rFonts w:cs="Archivo Light"/>
                <w:color w:val="FF0000"/>
                <w:highlight w:val="lightGray"/>
              </w:rPr>
              <w:t>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10A6B135" w14:textId="77777777" w:rsidR="00260CE8" w:rsidRPr="00832ABB" w:rsidRDefault="00260CE8" w:rsidP="00C8230A">
            <w:pPr>
              <w:jc w:val="both"/>
              <w:rPr>
                <w:bCs/>
                <w:color w:val="FF0000"/>
                <w:highlight w:val="lightGray"/>
              </w:rPr>
            </w:pPr>
            <w:r w:rsidRPr="00832ABB">
              <w:rPr>
                <w:i/>
                <w:iCs/>
                <w:color w:val="FF0000"/>
                <w:highlight w:val="lightGray"/>
              </w:rPr>
              <w:t>Pateikiami skenuoti arba el. parašu pasirašyti dokumentai.</w:t>
            </w:r>
          </w:p>
          <w:p w14:paraId="65E8FF71" w14:textId="77777777" w:rsidR="00260CE8" w:rsidRPr="00832ABB" w:rsidRDefault="00260CE8" w:rsidP="00C8230A">
            <w:pPr>
              <w:tabs>
                <w:tab w:val="left" w:pos="327"/>
              </w:tabs>
              <w:jc w:val="both"/>
              <w:rPr>
                <w:rFonts w:cs="Archivo Light"/>
                <w:color w:val="FF0000"/>
                <w:highlight w:val="lightGray"/>
                <w:u w:val="single"/>
              </w:rPr>
            </w:pPr>
          </w:p>
          <w:p w14:paraId="369C6CF1" w14:textId="77777777" w:rsidR="00260CE8" w:rsidRPr="00832ABB" w:rsidRDefault="00260CE8" w:rsidP="00C8230A">
            <w:pPr>
              <w:tabs>
                <w:tab w:val="left" w:pos="327"/>
              </w:tabs>
              <w:jc w:val="both"/>
              <w:rPr>
                <w:rFonts w:cs="Archivo Light"/>
                <w:bCs/>
                <w:i/>
                <w:iCs/>
                <w:color w:val="FF0000"/>
                <w:highlight w:val="lightGray"/>
              </w:rPr>
            </w:pPr>
            <w:r w:rsidRPr="00832ABB">
              <w:rPr>
                <w:rFonts w:cs="Archivo Light"/>
                <w:bCs/>
                <w:i/>
                <w:iCs/>
                <w:color w:val="FF0000"/>
                <w:highlight w:val="lightGray"/>
              </w:rPr>
              <w:t>Pastabos:</w:t>
            </w:r>
          </w:p>
          <w:p w14:paraId="2A0C19B1" w14:textId="77777777" w:rsidR="00260CE8" w:rsidRPr="00832ABB" w:rsidRDefault="00260CE8" w:rsidP="00C8230A">
            <w:pPr>
              <w:tabs>
                <w:tab w:val="left" w:pos="327"/>
              </w:tabs>
              <w:jc w:val="both"/>
              <w:rPr>
                <w:rFonts w:cs="Archivo Light"/>
                <w:color w:val="FF0000"/>
                <w:highlight w:val="lightGray"/>
              </w:rPr>
            </w:pPr>
            <w:r w:rsidRPr="00832ABB">
              <w:rPr>
                <w:rFonts w:cs="Archivo Light"/>
                <w:color w:val="FF0000"/>
                <w:highlight w:val="lightGray"/>
              </w:rPr>
              <w:t>1) Jeigu pasiūlymą teikia ūkio subjektų grupė – reikalavimą turi atitikti visi kartu (pajėgumai sumuojami);</w:t>
            </w:r>
          </w:p>
          <w:p w14:paraId="2D42615C" w14:textId="77777777" w:rsidR="00260CE8" w:rsidRPr="00832ABB" w:rsidRDefault="00260CE8" w:rsidP="00C8230A">
            <w:pPr>
              <w:tabs>
                <w:tab w:val="left" w:pos="327"/>
              </w:tabs>
              <w:jc w:val="both"/>
              <w:rPr>
                <w:rFonts w:cs="Archivo Light"/>
                <w:strike/>
                <w:color w:val="FF0000"/>
                <w:highlight w:val="lightGray"/>
              </w:rPr>
            </w:pPr>
            <w:r w:rsidRPr="00832ABB">
              <w:rPr>
                <w:rFonts w:cs="Archivo Light"/>
                <w:color w:val="FF0000"/>
                <w:highlight w:val="lightGray"/>
              </w:rPr>
              <w:t>2) Tiekėjas gali remtis kitų ūkio subjektų pajėgumais: reikalavimą turi atitikti visi kartu (šių ūkio subjektų pajėgumai gali būti sumuojami su tiekėjo pajėgumais).</w:t>
            </w:r>
          </w:p>
          <w:p w14:paraId="669DD9E4" w14:textId="77777777" w:rsidR="00260CE8" w:rsidRPr="00832ABB" w:rsidRDefault="00260CE8" w:rsidP="00C8230A">
            <w:pPr>
              <w:spacing w:line="300" w:lineRule="atLeast"/>
              <w:jc w:val="both"/>
              <w:rPr>
                <w:b/>
                <w:color w:val="FF0000"/>
                <w:highlight w:val="lightGray"/>
              </w:rPr>
            </w:pPr>
            <w:r w:rsidRPr="00832ABB">
              <w:rPr>
                <w:rFonts w:cs="Archivo Light"/>
                <w:color w:val="FF0000"/>
                <w:highlight w:val="lightGray"/>
              </w:rPr>
              <w:t>3) subtiekėjams šis reikalavimas nenustatomas.</w:t>
            </w:r>
          </w:p>
        </w:tc>
      </w:tr>
      <w:tr w:rsidR="00260CE8" w:rsidRPr="00832ABB" w14:paraId="09F18A8B" w14:textId="77777777" w:rsidTr="00C8230A">
        <w:tc>
          <w:tcPr>
            <w:tcW w:w="1649" w:type="pct"/>
          </w:tcPr>
          <w:p w14:paraId="79F6EFC5" w14:textId="77777777" w:rsidR="00260CE8" w:rsidRPr="00832ABB" w:rsidRDefault="00260CE8" w:rsidP="00C8230A">
            <w:pPr>
              <w:autoSpaceDE w:val="0"/>
              <w:autoSpaceDN w:val="0"/>
              <w:adjustRightInd w:val="0"/>
              <w:jc w:val="both"/>
              <w:rPr>
                <w:color w:val="FF0000"/>
                <w:highlight w:val="lightGray"/>
              </w:rPr>
            </w:pPr>
            <w:r w:rsidRPr="00832ABB">
              <w:rPr>
                <w:color w:val="FF0000"/>
                <w:highlight w:val="lightGray"/>
              </w:rPr>
              <w:t xml:space="preserve">2) Tiekėjas per paskutinius 3 (tris) metus arba per laiką nuo tiekėjo įregistravimo dienos (jeigu tiekėjas veiklą vykdė mažiau nei 3 metus) iki pasiūlymo pateikimo termino pabaigos yra </w:t>
            </w:r>
            <w:r w:rsidRPr="00832ABB">
              <w:rPr>
                <w:b/>
                <w:bCs/>
                <w:color w:val="FF0000"/>
                <w:highlight w:val="lightGray"/>
              </w:rPr>
              <w:t>tinkamai įvykdęs</w:t>
            </w:r>
            <w:r w:rsidRPr="00832ABB">
              <w:rPr>
                <w:color w:val="FF0000"/>
                <w:highlight w:val="lightGray"/>
              </w:rPr>
              <w:t xml:space="preserve"> ne mažiau kaip vieną ar kelias ypatingojo statinio (statinių grupė – negyvenamieji ir (ar) gyvenamieji pastatai) projektavimo paslaugų sutartis už ne mažesnę kaip 72.000,00 Eur be PVM.</w:t>
            </w:r>
          </w:p>
          <w:p w14:paraId="115953AD" w14:textId="77777777" w:rsidR="00260CE8" w:rsidRPr="00832ABB" w:rsidRDefault="00260CE8" w:rsidP="00C8230A">
            <w:pPr>
              <w:keepNext/>
              <w:jc w:val="both"/>
              <w:rPr>
                <w:i/>
                <w:color w:val="FF0000"/>
                <w:highlight w:val="lightGray"/>
              </w:rPr>
            </w:pPr>
            <w:r w:rsidRPr="00832ABB">
              <w:rPr>
                <w:i/>
                <w:color w:val="FF0000"/>
                <w:highlight w:val="lightGray"/>
              </w:rPr>
              <w:t>Pastabos:</w:t>
            </w:r>
          </w:p>
          <w:p w14:paraId="2AEBD81C" w14:textId="77777777" w:rsidR="00260CE8" w:rsidRPr="00832ABB" w:rsidRDefault="00260CE8" w:rsidP="00C8230A">
            <w:pPr>
              <w:widowControl w:val="0"/>
              <w:suppressAutoHyphens/>
              <w:jc w:val="both"/>
              <w:rPr>
                <w:i/>
                <w:iCs/>
                <w:color w:val="FF0000"/>
                <w:highlight w:val="lightGray"/>
              </w:rPr>
            </w:pPr>
            <w:r w:rsidRPr="00832ABB">
              <w:rPr>
                <w:i/>
                <w:iCs/>
                <w:color w:val="FF0000"/>
                <w:highlight w:val="lightGray"/>
              </w:rPr>
              <w:t>- Jei tiekėjas pateikia informaciją apie vykdomą(-</w:t>
            </w:r>
            <w:proofErr w:type="spellStart"/>
            <w:r w:rsidRPr="00832ABB">
              <w:rPr>
                <w:i/>
                <w:iCs/>
                <w:color w:val="FF0000"/>
                <w:highlight w:val="lightGray"/>
              </w:rPr>
              <w:t>as</w:t>
            </w:r>
            <w:proofErr w:type="spellEnd"/>
            <w:r w:rsidRPr="00832ABB">
              <w:rPr>
                <w:i/>
                <w:iCs/>
                <w:color w:val="FF0000"/>
                <w:highlight w:val="lightGray"/>
              </w:rPr>
              <w:t>) pirkimo sutartį(-</w:t>
            </w:r>
            <w:proofErr w:type="spellStart"/>
            <w:r w:rsidRPr="00832ABB">
              <w:rPr>
                <w:i/>
                <w:iCs/>
                <w:color w:val="FF0000"/>
                <w:highlight w:val="lightGray"/>
              </w:rPr>
              <w:t>is</w:t>
            </w:r>
            <w:proofErr w:type="spellEnd"/>
            <w:r w:rsidRPr="00832ABB">
              <w:rPr>
                <w:i/>
                <w:iCs/>
                <w:color w:val="FF0000"/>
                <w:highlight w:val="lightGray"/>
              </w:rPr>
              <w:t>), laikoma, kad jo patirtis atitinka keliamą reikalavimą, jei vykdomos(-ų) pirkimo sutarties(-</w:t>
            </w:r>
            <w:proofErr w:type="spellStart"/>
            <w:r w:rsidRPr="00832ABB">
              <w:rPr>
                <w:i/>
                <w:iCs/>
                <w:color w:val="FF0000"/>
                <w:highlight w:val="lightGray"/>
              </w:rPr>
              <w:t>čių</w:t>
            </w:r>
            <w:proofErr w:type="spellEnd"/>
            <w:r w:rsidRPr="00832ABB">
              <w:rPr>
                <w:i/>
                <w:iCs/>
                <w:color w:val="FF0000"/>
                <w:highlight w:val="lightGray"/>
              </w:rPr>
              <w:t>) įvykdyta dalis per pastaruosius 3 (tris) metus iki pasiūlymų pateikimo termino pabaigos yra ne mažesnė kaip 72.000,00 Eur be PVM;</w:t>
            </w:r>
          </w:p>
          <w:p w14:paraId="34CE6FDB" w14:textId="77777777" w:rsidR="00260CE8" w:rsidRPr="00832ABB" w:rsidRDefault="00260CE8" w:rsidP="00C8230A">
            <w:pPr>
              <w:jc w:val="both"/>
              <w:outlineLvl w:val="1"/>
              <w:rPr>
                <w:rFonts w:cs="Archivo Light"/>
                <w:color w:val="FF0000"/>
                <w:highlight w:val="lightGray"/>
              </w:rPr>
            </w:pPr>
            <w:r w:rsidRPr="00832ABB">
              <w:rPr>
                <w:i/>
                <w:iCs/>
                <w:color w:val="FF0000"/>
                <w:highlight w:val="lightGray"/>
              </w:rPr>
              <w:t>- </w:t>
            </w:r>
            <w:r w:rsidRPr="00832ABB">
              <w:rPr>
                <w:i/>
                <w:color w:val="FF0000"/>
                <w:highlight w:val="lightGray"/>
              </w:rPr>
              <w:t>projekto vykdymo priežiūra nėra įskaičiuojama į sutarties  vertę.</w:t>
            </w:r>
          </w:p>
        </w:tc>
        <w:tc>
          <w:tcPr>
            <w:tcW w:w="3351" w:type="pct"/>
          </w:tcPr>
          <w:p w14:paraId="6EA5FB8C" w14:textId="77777777" w:rsidR="00260CE8" w:rsidRPr="00832ABB" w:rsidRDefault="00260CE8" w:rsidP="00C8230A">
            <w:pPr>
              <w:jc w:val="both"/>
              <w:rPr>
                <w:color w:val="FF0000"/>
                <w:highlight w:val="lightGray"/>
              </w:rPr>
            </w:pPr>
            <w:r w:rsidRPr="00832ABB">
              <w:rPr>
                <w:color w:val="FF0000"/>
                <w:highlight w:val="lightGray"/>
              </w:rPr>
              <w:t>Pateikiama:</w:t>
            </w:r>
          </w:p>
          <w:p w14:paraId="70B025A3" w14:textId="77777777" w:rsidR="00260CE8" w:rsidRPr="00832ABB" w:rsidRDefault="00260CE8" w:rsidP="00C8230A">
            <w:pPr>
              <w:jc w:val="both"/>
              <w:rPr>
                <w:color w:val="FF0000"/>
                <w:highlight w:val="lightGray"/>
              </w:rPr>
            </w:pPr>
            <w:r w:rsidRPr="00832ABB">
              <w:rPr>
                <w:bCs/>
                <w:color w:val="FF0000"/>
                <w:highlight w:val="lightGray"/>
              </w:rPr>
              <w:t>1)</w:t>
            </w:r>
            <w:r w:rsidRPr="00832ABB">
              <w:rPr>
                <w:color w:val="FF0000"/>
                <w:highlight w:val="lightGray"/>
              </w:rPr>
              <w:t xml:space="preserve"> Paskutiniųjų 3 (trijų) metų, o jeigu ūkio subjektas įregistruotas ar veiklą pradėjo vėliau, - nuo ūkio subjekto įregistravimo ar veiklos pradžios paslaugų sutarčių sąrašas, užpildan X Priede pateiktą lentelę, kurioje turi būti nurodomas sutarčių objektas (pavadinimas, trumpas suteiktų paslaugų apibūdinimas, įvardinant statinio rūšį pagal naudojimo paskirtį, parengtus dokumentus), įvykdytų sutarčių tikslios galiojimo datos (metai, mėnuo, diena), nurodyti užsakovo identifikavimo duomenys, įvykdytų sutarčių per nurodytą laikotarpį suteiktų paslaugų vertės. </w:t>
            </w:r>
          </w:p>
          <w:p w14:paraId="30A0E11E" w14:textId="77777777" w:rsidR="00260CE8" w:rsidRPr="00832ABB" w:rsidRDefault="00260CE8" w:rsidP="00C8230A">
            <w:pPr>
              <w:jc w:val="both"/>
              <w:rPr>
                <w:color w:val="FF0000"/>
                <w:highlight w:val="lightGray"/>
              </w:rPr>
            </w:pPr>
            <w:r w:rsidRPr="00832ABB">
              <w:rPr>
                <w:color w:val="FF0000"/>
                <w:highlight w:val="lightGray"/>
              </w:rPr>
              <w:t xml:space="preserve">Papildomai įrodymui apie paslaugų suteikimą Tiekėjai pateikia: užsakovų (tiek viešųjų, tiek privačiųjų) pažymas apie tai, </w:t>
            </w:r>
            <w:r w:rsidRPr="00832ABB">
              <w:rPr>
                <w:b/>
                <w:bCs/>
                <w:color w:val="FF0000"/>
                <w:highlight w:val="lightGray"/>
              </w:rPr>
              <w:t>kad paslaugos buvo suteiktos tinkamai.</w:t>
            </w:r>
            <w:r w:rsidRPr="00832ABB">
              <w:rPr>
                <w:color w:val="FF0000"/>
                <w:highlight w:val="lightGray"/>
              </w:rPr>
              <w:t xml:space="preserve"> Pažymose turi būti nurodyta suteiktų paslaugų vertė, data. </w:t>
            </w:r>
          </w:p>
          <w:p w14:paraId="26E8FBF7" w14:textId="77777777" w:rsidR="00260CE8" w:rsidRPr="00832ABB" w:rsidRDefault="00260CE8" w:rsidP="00C8230A">
            <w:pPr>
              <w:jc w:val="both"/>
              <w:rPr>
                <w:color w:val="FF0000"/>
                <w:highlight w:val="lightGray"/>
              </w:rPr>
            </w:pPr>
            <w:r w:rsidRPr="00832ABB">
              <w:rPr>
                <w:color w:val="FF0000"/>
                <w:highlight w:val="lightGray"/>
              </w:rPr>
              <w:t>Jeigu tiekėjas teikia sutartį, kurios užsakovas yra šio pirkimo Perkančioji organizacija, pažymos pateikti nereikalaujama.</w:t>
            </w:r>
          </w:p>
          <w:p w14:paraId="5316F1D2" w14:textId="77777777" w:rsidR="00260CE8" w:rsidRPr="00832ABB" w:rsidRDefault="00260CE8" w:rsidP="00C8230A">
            <w:pPr>
              <w:jc w:val="both"/>
              <w:rPr>
                <w:bCs/>
                <w:color w:val="FF0000"/>
                <w:highlight w:val="lightGray"/>
              </w:rPr>
            </w:pPr>
            <w:r w:rsidRPr="00832ABB">
              <w:rPr>
                <w:i/>
                <w:iCs/>
                <w:color w:val="FF0000"/>
                <w:highlight w:val="lightGray"/>
              </w:rPr>
              <w:t>Pateikiami skenuoti arba el. parašu pasirašyti dokumentai.</w:t>
            </w:r>
          </w:p>
          <w:p w14:paraId="3247DCE2" w14:textId="77777777" w:rsidR="00260CE8" w:rsidRPr="00832ABB" w:rsidRDefault="00260CE8" w:rsidP="00C8230A">
            <w:pPr>
              <w:tabs>
                <w:tab w:val="num" w:pos="720"/>
              </w:tabs>
              <w:jc w:val="both"/>
              <w:rPr>
                <w:rFonts w:cs="Archivo Light"/>
                <w:color w:val="FF0000"/>
                <w:highlight w:val="lightGray"/>
              </w:rPr>
            </w:pPr>
          </w:p>
        </w:tc>
      </w:tr>
      <w:tr w:rsidR="00260CE8" w:rsidRPr="00832ABB" w14:paraId="490740EA" w14:textId="77777777" w:rsidTr="00C8230A">
        <w:tc>
          <w:tcPr>
            <w:tcW w:w="1649" w:type="pct"/>
          </w:tcPr>
          <w:p w14:paraId="125CB211" w14:textId="77777777" w:rsidR="00260CE8" w:rsidRPr="00832ABB" w:rsidRDefault="00260CE8" w:rsidP="00C8230A">
            <w:pPr>
              <w:contextualSpacing/>
              <w:jc w:val="both"/>
              <w:rPr>
                <w:color w:val="FF0000"/>
                <w:highlight w:val="lightGray"/>
              </w:rPr>
            </w:pPr>
            <w:r w:rsidRPr="00832ABB">
              <w:rPr>
                <w:color w:val="FF0000"/>
                <w:highlight w:val="lightGray"/>
              </w:rPr>
              <w:t>3)</w:t>
            </w:r>
            <w:r w:rsidRPr="00832ABB">
              <w:rPr>
                <w:color w:val="FF0000"/>
                <w:highlight w:val="lightGray"/>
              </w:rPr>
              <w:tab/>
              <w:t>Tiekėjo vadovaujančių specialistų ir asmenų, atsakingų už sutarties vykdymą, kvalifikacija.</w:t>
            </w:r>
          </w:p>
          <w:p w14:paraId="0927F92A" w14:textId="77777777" w:rsidR="00260CE8" w:rsidRPr="00832ABB" w:rsidRDefault="00260CE8" w:rsidP="00C8230A">
            <w:pPr>
              <w:contextualSpacing/>
              <w:jc w:val="both"/>
              <w:rPr>
                <w:color w:val="FF0000"/>
                <w:highlight w:val="lightGray"/>
              </w:rPr>
            </w:pPr>
            <w:r w:rsidRPr="00832ABB">
              <w:rPr>
                <w:color w:val="FF0000"/>
                <w:highlight w:val="lightGray"/>
              </w:rPr>
              <w:t>Teikėjas privalo paskirti:</w:t>
            </w:r>
          </w:p>
          <w:p w14:paraId="5D8E8291" w14:textId="77777777" w:rsidR="00260CE8" w:rsidRPr="00832ABB" w:rsidRDefault="00260CE8" w:rsidP="00C8230A">
            <w:pPr>
              <w:contextualSpacing/>
              <w:jc w:val="both"/>
              <w:rPr>
                <w:color w:val="FF0000"/>
                <w:highlight w:val="lightGray"/>
              </w:rPr>
            </w:pPr>
            <w:r w:rsidRPr="00832ABB">
              <w:rPr>
                <w:color w:val="FF0000"/>
                <w:highlight w:val="lightGray"/>
              </w:rPr>
              <w:t xml:space="preserve">a) ne mažiau kaip 1 </w:t>
            </w:r>
            <w:r w:rsidRPr="00832ABB">
              <w:rPr>
                <w:b/>
                <w:bCs/>
                <w:color w:val="FF0000"/>
                <w:highlight w:val="lightGray"/>
              </w:rPr>
              <w:t>statinio projekto vadovą</w:t>
            </w:r>
            <w:r w:rsidRPr="00832ABB">
              <w:rPr>
                <w:color w:val="FF0000"/>
                <w:highlight w:val="lightGray"/>
              </w:rPr>
              <w:t>, kuriam yra suteikta teisė eiti neypatingojo statinio projekto vadovo pareigas.</w:t>
            </w:r>
          </w:p>
          <w:p w14:paraId="3F33EB5D" w14:textId="77777777" w:rsidR="00260CE8" w:rsidRPr="00832ABB" w:rsidRDefault="00260CE8" w:rsidP="00C8230A">
            <w:pPr>
              <w:contextualSpacing/>
              <w:jc w:val="both"/>
              <w:rPr>
                <w:b/>
                <w:bCs/>
                <w:color w:val="FF0000"/>
                <w:highlight w:val="lightGray"/>
              </w:rPr>
            </w:pPr>
            <w:r w:rsidRPr="00832ABB">
              <w:rPr>
                <w:color w:val="FF0000"/>
                <w:highlight w:val="lightGray"/>
              </w:rPr>
              <w:t xml:space="preserve">Statinių grupės: </w:t>
            </w:r>
            <w:r w:rsidRPr="00832ABB">
              <w:rPr>
                <w:b/>
                <w:bCs/>
                <w:color w:val="FF0000"/>
                <w:highlight w:val="lightGray"/>
              </w:rPr>
              <w:t>negyvenamieji pastatai: mokslo ir/arba kultūros paskirties pastatai.</w:t>
            </w:r>
          </w:p>
          <w:p w14:paraId="45D91DD6" w14:textId="77777777" w:rsidR="00260CE8" w:rsidRPr="00832ABB" w:rsidRDefault="00260CE8" w:rsidP="00C8230A">
            <w:pPr>
              <w:contextualSpacing/>
              <w:jc w:val="both"/>
              <w:rPr>
                <w:color w:val="FF0000"/>
                <w:highlight w:val="lightGray"/>
              </w:rPr>
            </w:pPr>
          </w:p>
          <w:p w14:paraId="355A666C" w14:textId="77777777" w:rsidR="00260CE8" w:rsidRPr="00832ABB" w:rsidRDefault="00260CE8" w:rsidP="00C8230A">
            <w:pPr>
              <w:contextualSpacing/>
              <w:jc w:val="both"/>
              <w:rPr>
                <w:color w:val="FF0000"/>
                <w:highlight w:val="lightGray"/>
              </w:rPr>
            </w:pPr>
            <w:r w:rsidRPr="00832ABB">
              <w:rPr>
                <w:color w:val="FF0000"/>
                <w:highlight w:val="lightGray"/>
              </w:rPr>
              <w:t>b) ne mažiau kaip 1 kvalifikuotą statinio projekto vykdymo priežiūros vadovą, kuriam yra suteikta teisė eiti neypatingojo statinio projekto vykdymo priežiūros vadovo pareigas.</w:t>
            </w:r>
          </w:p>
          <w:p w14:paraId="6818023E" w14:textId="77777777" w:rsidR="00260CE8" w:rsidRPr="00832ABB" w:rsidRDefault="00260CE8" w:rsidP="00C8230A">
            <w:pPr>
              <w:contextualSpacing/>
              <w:jc w:val="both"/>
              <w:rPr>
                <w:color w:val="FF0000"/>
                <w:highlight w:val="lightGray"/>
              </w:rPr>
            </w:pPr>
            <w:r w:rsidRPr="00832ABB">
              <w:rPr>
                <w:color w:val="FF0000"/>
                <w:highlight w:val="lightGray"/>
              </w:rPr>
              <w:t xml:space="preserve">Statinių grupės: </w:t>
            </w:r>
            <w:r w:rsidRPr="00832ABB">
              <w:rPr>
                <w:b/>
                <w:bCs/>
                <w:color w:val="FF0000"/>
                <w:highlight w:val="lightGray"/>
              </w:rPr>
              <w:t>negyvenamieji pastatai: mokslo ir/arba kultūros paskirties pastatai.</w:t>
            </w:r>
            <w:r w:rsidRPr="00832ABB">
              <w:rPr>
                <w:color w:val="FF0000"/>
                <w:highlight w:val="lightGray"/>
              </w:rPr>
              <w:t xml:space="preserve"> </w:t>
            </w:r>
          </w:p>
          <w:p w14:paraId="7C1AE986" w14:textId="77777777" w:rsidR="00260CE8" w:rsidRPr="00832ABB" w:rsidRDefault="00260CE8" w:rsidP="00C8230A">
            <w:pPr>
              <w:contextualSpacing/>
              <w:jc w:val="both"/>
              <w:rPr>
                <w:color w:val="FF0000"/>
                <w:highlight w:val="lightGray"/>
              </w:rPr>
            </w:pPr>
          </w:p>
          <w:p w14:paraId="2F7DB430" w14:textId="77777777" w:rsidR="00260CE8" w:rsidRPr="00832ABB" w:rsidRDefault="00260CE8" w:rsidP="00C8230A">
            <w:pPr>
              <w:contextualSpacing/>
              <w:jc w:val="both"/>
              <w:rPr>
                <w:color w:val="FF0000"/>
                <w:highlight w:val="lightGray"/>
              </w:rPr>
            </w:pPr>
            <w:r w:rsidRPr="00832ABB">
              <w:rPr>
                <w:color w:val="FF0000"/>
                <w:highlight w:val="lightGray"/>
              </w:rPr>
              <w:t xml:space="preserve">c) ne mažiau kaip 1  statinio projekto </w:t>
            </w:r>
            <w:r w:rsidRPr="00832ABB">
              <w:rPr>
                <w:b/>
                <w:bCs/>
                <w:color w:val="FF0000"/>
                <w:highlight w:val="lightGray"/>
                <w:u w:val="single"/>
              </w:rPr>
              <w:t>dalies</w:t>
            </w:r>
            <w:r w:rsidRPr="00832ABB">
              <w:rPr>
                <w:color w:val="FF0000"/>
                <w:highlight w:val="lightGray"/>
              </w:rPr>
              <w:t xml:space="preserve"> vadovą, kuriam yra suteikta teisė eiti neypatingojo statinio projekto </w:t>
            </w:r>
            <w:r w:rsidRPr="00832ABB">
              <w:rPr>
                <w:b/>
                <w:bCs/>
                <w:color w:val="FF0000"/>
                <w:highlight w:val="lightGray"/>
              </w:rPr>
              <w:t>dalies</w:t>
            </w:r>
            <w:r w:rsidRPr="00832ABB">
              <w:rPr>
                <w:color w:val="FF0000"/>
                <w:highlight w:val="lightGray"/>
              </w:rPr>
              <w:t xml:space="preserve"> vadovo pareigas.</w:t>
            </w:r>
          </w:p>
          <w:p w14:paraId="04766EAE" w14:textId="77777777" w:rsidR="00260CE8" w:rsidRPr="00832ABB" w:rsidRDefault="00260CE8" w:rsidP="00C8230A">
            <w:pPr>
              <w:contextualSpacing/>
              <w:jc w:val="both"/>
              <w:rPr>
                <w:color w:val="FF0000"/>
                <w:highlight w:val="lightGray"/>
              </w:rPr>
            </w:pPr>
            <w:r w:rsidRPr="00832ABB">
              <w:rPr>
                <w:color w:val="FF0000"/>
                <w:highlight w:val="lightGray"/>
              </w:rPr>
              <w:t>Statinių grupės: negyvenamieji pastatai: mokslo ir/arba kultūros paskirties pastatai.</w:t>
            </w:r>
          </w:p>
          <w:p w14:paraId="4E80C980" w14:textId="77777777" w:rsidR="00260CE8" w:rsidRPr="00832ABB" w:rsidRDefault="00260CE8" w:rsidP="00C8230A">
            <w:pPr>
              <w:contextualSpacing/>
              <w:jc w:val="both"/>
              <w:rPr>
                <w:color w:val="FF0000"/>
                <w:highlight w:val="lightGray"/>
              </w:rPr>
            </w:pPr>
            <w:r w:rsidRPr="00832ABB">
              <w:rPr>
                <w:color w:val="FF0000"/>
                <w:highlight w:val="lightGray"/>
              </w:rPr>
              <w:t>Šioms projekto dalims:</w:t>
            </w:r>
          </w:p>
          <w:p w14:paraId="3DBF077F" w14:textId="77777777" w:rsidR="00260CE8" w:rsidRPr="00832ABB" w:rsidRDefault="00260CE8" w:rsidP="00C8230A">
            <w:pPr>
              <w:contextualSpacing/>
              <w:jc w:val="both"/>
              <w:rPr>
                <w:color w:val="FF0000"/>
                <w:highlight w:val="lightGray"/>
              </w:rPr>
            </w:pPr>
            <w:r w:rsidRPr="00832ABB">
              <w:rPr>
                <w:color w:val="FF0000"/>
                <w:highlight w:val="lightGray"/>
              </w:rPr>
              <w:t xml:space="preserve"> 1) sklypo plano (sklypo sutvarkymo);</w:t>
            </w:r>
          </w:p>
          <w:p w14:paraId="648F5E5D" w14:textId="77777777" w:rsidR="00260CE8" w:rsidRPr="00832ABB" w:rsidRDefault="00260CE8" w:rsidP="00C8230A">
            <w:pPr>
              <w:contextualSpacing/>
              <w:jc w:val="both"/>
              <w:rPr>
                <w:color w:val="FF0000"/>
                <w:highlight w:val="lightGray"/>
              </w:rPr>
            </w:pPr>
            <w:r w:rsidRPr="00832ABB">
              <w:rPr>
                <w:color w:val="FF0000"/>
                <w:highlight w:val="lightGray"/>
              </w:rPr>
              <w:t>2) architektūros;</w:t>
            </w:r>
          </w:p>
          <w:p w14:paraId="6B23FDB5" w14:textId="77777777" w:rsidR="00260CE8" w:rsidRPr="00832ABB" w:rsidRDefault="00260CE8" w:rsidP="00C8230A">
            <w:pPr>
              <w:contextualSpacing/>
              <w:jc w:val="both"/>
              <w:rPr>
                <w:color w:val="FF0000"/>
                <w:highlight w:val="lightGray"/>
              </w:rPr>
            </w:pPr>
            <w:r w:rsidRPr="00832ABB">
              <w:rPr>
                <w:color w:val="FF0000"/>
                <w:highlight w:val="lightGray"/>
              </w:rPr>
              <w:t>3) konstrukcijų;</w:t>
            </w:r>
          </w:p>
          <w:p w14:paraId="5EC9067B" w14:textId="77777777" w:rsidR="00260CE8" w:rsidRPr="00832ABB" w:rsidRDefault="00260CE8" w:rsidP="00C8230A">
            <w:pPr>
              <w:contextualSpacing/>
              <w:jc w:val="both"/>
              <w:rPr>
                <w:color w:val="FF0000"/>
                <w:highlight w:val="lightGray"/>
              </w:rPr>
            </w:pPr>
            <w:r w:rsidRPr="00832ABB">
              <w:rPr>
                <w:color w:val="FF0000"/>
                <w:highlight w:val="lightGray"/>
              </w:rPr>
              <w:t>4) vandentiekio ir nuotekų šalinimo;</w:t>
            </w:r>
          </w:p>
          <w:p w14:paraId="610A9517" w14:textId="77777777" w:rsidR="00260CE8" w:rsidRPr="00832ABB" w:rsidRDefault="00260CE8" w:rsidP="00C8230A">
            <w:pPr>
              <w:contextualSpacing/>
              <w:jc w:val="both"/>
              <w:rPr>
                <w:color w:val="FF0000"/>
                <w:highlight w:val="lightGray"/>
              </w:rPr>
            </w:pPr>
            <w:r w:rsidRPr="00832ABB">
              <w:rPr>
                <w:color w:val="FF0000"/>
                <w:highlight w:val="lightGray"/>
              </w:rPr>
              <w:t>5) šildymo, vėdinimo ir oro kondicionavimo;</w:t>
            </w:r>
          </w:p>
          <w:p w14:paraId="6E068F96" w14:textId="77777777" w:rsidR="00260CE8" w:rsidRPr="00832ABB" w:rsidRDefault="00260CE8" w:rsidP="00C8230A">
            <w:pPr>
              <w:contextualSpacing/>
              <w:jc w:val="both"/>
              <w:rPr>
                <w:color w:val="FF0000"/>
                <w:highlight w:val="lightGray"/>
              </w:rPr>
            </w:pPr>
            <w:r w:rsidRPr="00832ABB">
              <w:rPr>
                <w:color w:val="FF0000"/>
                <w:highlight w:val="lightGray"/>
              </w:rPr>
              <w:t xml:space="preserve">6) elektrotechnikos (iki 10 </w:t>
            </w:r>
            <w:proofErr w:type="spellStart"/>
            <w:r w:rsidRPr="00832ABB">
              <w:rPr>
                <w:color w:val="FF0000"/>
                <w:highlight w:val="lightGray"/>
              </w:rPr>
              <w:t>kV</w:t>
            </w:r>
            <w:proofErr w:type="spellEnd"/>
            <w:r w:rsidRPr="00832ABB">
              <w:rPr>
                <w:color w:val="FF0000"/>
                <w:highlight w:val="lightGray"/>
              </w:rPr>
              <w:t xml:space="preserve"> įtampos);</w:t>
            </w:r>
          </w:p>
          <w:p w14:paraId="0CBF4D7B" w14:textId="77777777" w:rsidR="00260CE8" w:rsidRPr="00832ABB" w:rsidRDefault="00260CE8" w:rsidP="00C8230A">
            <w:pPr>
              <w:contextualSpacing/>
              <w:jc w:val="both"/>
              <w:rPr>
                <w:color w:val="FF0000"/>
                <w:highlight w:val="lightGray"/>
              </w:rPr>
            </w:pPr>
            <w:r w:rsidRPr="00832ABB">
              <w:rPr>
                <w:color w:val="FF0000"/>
                <w:highlight w:val="lightGray"/>
              </w:rPr>
              <w:t>7) elektroninių ryšių (telekomunikacijų);</w:t>
            </w:r>
          </w:p>
          <w:p w14:paraId="220C0F06" w14:textId="77777777" w:rsidR="00260CE8" w:rsidRPr="00832ABB" w:rsidRDefault="00260CE8" w:rsidP="00C8230A">
            <w:pPr>
              <w:contextualSpacing/>
              <w:jc w:val="both"/>
              <w:rPr>
                <w:color w:val="FF0000"/>
                <w:highlight w:val="lightGray"/>
              </w:rPr>
            </w:pPr>
            <w:r w:rsidRPr="00832ABB">
              <w:rPr>
                <w:color w:val="FF0000"/>
                <w:highlight w:val="lightGray"/>
              </w:rPr>
              <w:t>8) apsauginės signalizacijos;</w:t>
            </w:r>
          </w:p>
          <w:p w14:paraId="43A91A84" w14:textId="77777777" w:rsidR="00260CE8" w:rsidRPr="00832ABB" w:rsidRDefault="00260CE8" w:rsidP="00C8230A">
            <w:pPr>
              <w:contextualSpacing/>
              <w:jc w:val="both"/>
              <w:rPr>
                <w:color w:val="FF0000"/>
                <w:highlight w:val="lightGray"/>
              </w:rPr>
            </w:pPr>
            <w:r w:rsidRPr="00832ABB">
              <w:rPr>
                <w:color w:val="FF0000"/>
                <w:highlight w:val="lightGray"/>
              </w:rPr>
              <w:t>9) gaisro aptikimo ir signalizavimo;</w:t>
            </w:r>
          </w:p>
          <w:p w14:paraId="496B22C7" w14:textId="77777777" w:rsidR="00260CE8" w:rsidRPr="00832ABB" w:rsidRDefault="00260CE8" w:rsidP="00C8230A">
            <w:pPr>
              <w:contextualSpacing/>
              <w:jc w:val="both"/>
              <w:rPr>
                <w:color w:val="FF0000"/>
                <w:highlight w:val="lightGray"/>
              </w:rPr>
            </w:pPr>
            <w:r w:rsidRPr="00832ABB">
              <w:rPr>
                <w:color w:val="FF0000"/>
                <w:highlight w:val="lightGray"/>
              </w:rPr>
              <w:t>10) procesų valdymo ir automatizacijos;</w:t>
            </w:r>
          </w:p>
          <w:p w14:paraId="2E220A8E" w14:textId="77777777" w:rsidR="00260CE8" w:rsidRPr="00832ABB" w:rsidRDefault="00260CE8" w:rsidP="00C8230A">
            <w:pPr>
              <w:contextualSpacing/>
              <w:jc w:val="both"/>
              <w:rPr>
                <w:color w:val="FF0000"/>
                <w:highlight w:val="lightGray"/>
              </w:rPr>
            </w:pPr>
            <w:r w:rsidRPr="00832ABB">
              <w:rPr>
                <w:color w:val="FF0000"/>
                <w:highlight w:val="lightGray"/>
              </w:rPr>
              <w:t>11) šilumos gamybos (iki 20 MW galios)  ir tiekimo</w:t>
            </w:r>
          </w:p>
          <w:p w14:paraId="6AFBB064" w14:textId="77777777" w:rsidR="00260CE8" w:rsidRPr="00832ABB" w:rsidRDefault="00260CE8" w:rsidP="00C8230A">
            <w:pPr>
              <w:contextualSpacing/>
              <w:jc w:val="both"/>
              <w:rPr>
                <w:color w:val="FF0000"/>
                <w:highlight w:val="lightGray"/>
              </w:rPr>
            </w:pPr>
            <w:r w:rsidRPr="00832ABB">
              <w:rPr>
                <w:color w:val="FF0000"/>
                <w:highlight w:val="lightGray"/>
              </w:rPr>
              <w:t>12) gaisrinės saugos;</w:t>
            </w:r>
          </w:p>
          <w:p w14:paraId="54AADF1E" w14:textId="77777777" w:rsidR="00260CE8" w:rsidRPr="00832ABB" w:rsidRDefault="00260CE8" w:rsidP="00C8230A">
            <w:pPr>
              <w:contextualSpacing/>
              <w:jc w:val="both"/>
              <w:rPr>
                <w:color w:val="FF0000"/>
                <w:highlight w:val="lightGray"/>
              </w:rPr>
            </w:pPr>
            <w:r w:rsidRPr="00832ABB">
              <w:rPr>
                <w:color w:val="FF0000"/>
                <w:highlight w:val="lightGray"/>
              </w:rPr>
              <w:t>13) pasirengimo statybai ir statybos darbų organizavimo</w:t>
            </w:r>
          </w:p>
          <w:p w14:paraId="3A3E663A" w14:textId="77777777" w:rsidR="00260CE8" w:rsidRPr="00832ABB" w:rsidRDefault="00260CE8" w:rsidP="00C8230A">
            <w:pPr>
              <w:contextualSpacing/>
              <w:jc w:val="both"/>
              <w:rPr>
                <w:color w:val="FF0000"/>
                <w:highlight w:val="lightGray"/>
              </w:rPr>
            </w:pPr>
            <w:r w:rsidRPr="00832ABB">
              <w:rPr>
                <w:color w:val="FF0000"/>
                <w:highlight w:val="lightGray"/>
              </w:rPr>
              <w:t>14) statybos skaičiuojamosios kainos nustatymo.</w:t>
            </w:r>
          </w:p>
          <w:p w14:paraId="06E4A13B" w14:textId="77777777" w:rsidR="00260CE8" w:rsidRPr="00832ABB" w:rsidRDefault="00260CE8" w:rsidP="00C8230A">
            <w:pPr>
              <w:rPr>
                <w:color w:val="FF0000"/>
                <w:sz w:val="20"/>
                <w:highlight w:val="lightGray"/>
              </w:rPr>
            </w:pPr>
          </w:p>
          <w:p w14:paraId="0C0A05F7" w14:textId="77777777" w:rsidR="00260CE8" w:rsidRPr="00832ABB" w:rsidRDefault="00260CE8" w:rsidP="00C8230A">
            <w:pPr>
              <w:contextualSpacing/>
              <w:jc w:val="both"/>
              <w:rPr>
                <w:color w:val="FF0000"/>
                <w:highlight w:val="lightGray"/>
              </w:rPr>
            </w:pPr>
          </w:p>
          <w:p w14:paraId="77938AAD" w14:textId="77777777" w:rsidR="00260CE8" w:rsidRPr="00832ABB" w:rsidRDefault="00260CE8" w:rsidP="00C8230A">
            <w:pPr>
              <w:contextualSpacing/>
              <w:jc w:val="both"/>
              <w:rPr>
                <w:color w:val="FF0000"/>
                <w:highlight w:val="lightGray"/>
              </w:rPr>
            </w:pPr>
            <w:r w:rsidRPr="00832ABB">
              <w:rPr>
                <w:color w:val="FF0000"/>
                <w:highlight w:val="lightGray"/>
              </w:rPr>
              <w:t>Pastabos:</w:t>
            </w:r>
          </w:p>
          <w:p w14:paraId="723C06A8" w14:textId="77777777" w:rsidR="00260CE8" w:rsidRPr="00832ABB" w:rsidRDefault="00260CE8" w:rsidP="00C8230A">
            <w:pPr>
              <w:contextualSpacing/>
              <w:jc w:val="both"/>
              <w:rPr>
                <w:i/>
                <w:iCs/>
                <w:color w:val="FF0000"/>
                <w:highlight w:val="lightGray"/>
              </w:rPr>
            </w:pPr>
            <w:r w:rsidRPr="00832ABB">
              <w:rPr>
                <w:color w:val="FF0000"/>
                <w:highlight w:val="lightGray"/>
              </w:rPr>
              <w:t>-</w:t>
            </w:r>
            <w:r w:rsidRPr="00832ABB">
              <w:rPr>
                <w:color w:val="FF0000"/>
                <w:highlight w:val="lightGray"/>
              </w:rPr>
              <w:tab/>
            </w:r>
            <w:r w:rsidRPr="00832ABB">
              <w:rPr>
                <w:i/>
                <w:iCs/>
                <w:color w:val="FF0000"/>
                <w:highlight w:val="lightGray"/>
              </w:rPr>
              <w:t>Vienas specialistas gali būti pasitelkiamas į kelias pozicijas, jeigu jo kvalifikacija atitinka toms pozicijoms keliamus reikalavimus.</w:t>
            </w:r>
          </w:p>
          <w:p w14:paraId="03D845F5" w14:textId="77777777" w:rsidR="00260CE8" w:rsidRPr="00832ABB" w:rsidRDefault="00260CE8" w:rsidP="00C8230A">
            <w:pPr>
              <w:contextualSpacing/>
              <w:jc w:val="both"/>
              <w:rPr>
                <w:i/>
                <w:iCs/>
                <w:color w:val="FF0000"/>
                <w:highlight w:val="lightGray"/>
              </w:rPr>
            </w:pPr>
            <w:r w:rsidRPr="00832ABB">
              <w:rPr>
                <w:i/>
                <w:iCs/>
                <w:color w:val="FF0000"/>
                <w:highlight w:val="lightGray"/>
              </w:rPr>
              <w:t xml:space="preserve"> arba keli specialistai gali būti pasitelkiami į vieną poziciją, jeigu jų kvalifikacija atitinka tai pozicijai keliamus reikalavimus.</w:t>
            </w:r>
          </w:p>
          <w:p w14:paraId="1B008346" w14:textId="77777777" w:rsidR="00260CE8" w:rsidRPr="00832ABB" w:rsidRDefault="00260CE8" w:rsidP="00C8230A">
            <w:pPr>
              <w:contextualSpacing/>
              <w:jc w:val="both"/>
              <w:rPr>
                <w:color w:val="FF0000"/>
                <w:highlight w:val="lightGray"/>
              </w:rPr>
            </w:pPr>
            <w:r w:rsidRPr="00832ABB">
              <w:rPr>
                <w:i/>
                <w:color w:val="FF0000"/>
                <w:highlight w:val="lightGray"/>
              </w:rPr>
              <w:t>- jeigu tiekėjas pateikia kvalifikacijos atestatą patvirtinantį suteiktą teisę eiti  tam tikras reikalaujamas pareigas ypatingojo statinio kategorijos  statiniuose, toks dokumentas yra priimtinas ir laikoma, kad jis atitinka pirkimo sąlygų reikalavimus.</w:t>
            </w:r>
          </w:p>
          <w:p w14:paraId="7DB8E1E7" w14:textId="77777777" w:rsidR="00260CE8" w:rsidRPr="00832ABB" w:rsidRDefault="00260CE8" w:rsidP="00C8230A">
            <w:pPr>
              <w:autoSpaceDE w:val="0"/>
              <w:autoSpaceDN w:val="0"/>
              <w:adjustRightInd w:val="0"/>
              <w:jc w:val="both"/>
              <w:rPr>
                <w:color w:val="FF0000"/>
                <w:highlight w:val="lightGray"/>
              </w:rPr>
            </w:pPr>
          </w:p>
        </w:tc>
        <w:tc>
          <w:tcPr>
            <w:tcW w:w="3351" w:type="pct"/>
          </w:tcPr>
          <w:p w14:paraId="38BF5414" w14:textId="77777777" w:rsidR="00260CE8" w:rsidRPr="00832ABB" w:rsidRDefault="00260CE8" w:rsidP="00C8230A">
            <w:pPr>
              <w:ind w:firstLine="128"/>
              <w:jc w:val="both"/>
              <w:rPr>
                <w:color w:val="FF0000"/>
                <w:highlight w:val="lightGray"/>
              </w:rPr>
            </w:pPr>
            <w:r w:rsidRPr="00832ABB">
              <w:rPr>
                <w:color w:val="FF0000"/>
                <w:highlight w:val="lightGray"/>
                <w:u w:val="single"/>
              </w:rPr>
              <w:t>Pateikiama</w:t>
            </w:r>
            <w:r w:rsidRPr="00832ABB">
              <w:rPr>
                <w:color w:val="FF0000"/>
                <w:highlight w:val="lightGray"/>
              </w:rPr>
              <w:t>:</w:t>
            </w:r>
          </w:p>
          <w:p w14:paraId="1F09522B" w14:textId="77777777" w:rsidR="00260CE8" w:rsidRPr="00832ABB" w:rsidRDefault="00260CE8" w:rsidP="00C8230A">
            <w:pPr>
              <w:jc w:val="both"/>
              <w:rPr>
                <w:color w:val="FF0000"/>
                <w:highlight w:val="lightGray"/>
              </w:rPr>
            </w:pPr>
            <w:r w:rsidRPr="00832ABB">
              <w:rPr>
                <w:color w:val="FF0000"/>
                <w:highlight w:val="lightGray"/>
              </w:rPr>
              <w:t>- už sutarties vykdymą atsakingų specialistų sąrašas (konkurso sąlygų ... priedas),  kuriame nurodyta:</w:t>
            </w:r>
          </w:p>
          <w:p w14:paraId="43A1F95D" w14:textId="77777777" w:rsidR="00260CE8" w:rsidRPr="00832ABB" w:rsidRDefault="00260CE8" w:rsidP="00C8230A">
            <w:pPr>
              <w:jc w:val="both"/>
              <w:rPr>
                <w:color w:val="FF0000"/>
                <w:highlight w:val="lightGray"/>
              </w:rPr>
            </w:pPr>
            <w:r w:rsidRPr="00832ABB">
              <w:rPr>
                <w:color w:val="FF0000"/>
                <w:highlight w:val="lightGray"/>
              </w:rPr>
              <w:t>- siūlomo specialisto vardas ir pavardė, pareigos įgyvendinant sutartį;</w:t>
            </w:r>
          </w:p>
          <w:p w14:paraId="37E83209" w14:textId="77777777" w:rsidR="00260CE8" w:rsidRPr="00832ABB" w:rsidRDefault="00260CE8" w:rsidP="00C8230A">
            <w:pPr>
              <w:jc w:val="both"/>
              <w:rPr>
                <w:color w:val="FF0000"/>
                <w:highlight w:val="lightGray"/>
              </w:rPr>
            </w:pPr>
            <w:r w:rsidRPr="00832ABB">
              <w:rPr>
                <w:color w:val="FF0000"/>
                <w:highlight w:val="lightGray"/>
              </w:rPr>
              <w:t>- tiekėjo, pas kurį dirba specialistas / planuojama įdarbinti ar planuoja dirbti kitais pagrindais, pavadinimas;</w:t>
            </w:r>
          </w:p>
          <w:p w14:paraId="61D46786" w14:textId="77777777" w:rsidR="00260CE8" w:rsidRPr="00832ABB" w:rsidRDefault="00260CE8" w:rsidP="00C8230A">
            <w:pPr>
              <w:jc w:val="both"/>
              <w:rPr>
                <w:color w:val="FF0000"/>
                <w:highlight w:val="lightGray"/>
              </w:rPr>
            </w:pPr>
            <w:r w:rsidRPr="00832ABB">
              <w:rPr>
                <w:color w:val="FF0000"/>
                <w:highlight w:val="lightGray"/>
              </w:rPr>
              <w:t>- specialisto ryšio su tiekėju forma (įdarbintas, pasirašyta preliminari sutartis, ketinimų protokolas ar pan.);</w:t>
            </w:r>
          </w:p>
          <w:p w14:paraId="2C945ADE" w14:textId="77777777" w:rsidR="00260CE8" w:rsidRPr="00832ABB" w:rsidRDefault="00260CE8" w:rsidP="00C8230A">
            <w:pPr>
              <w:jc w:val="both"/>
              <w:rPr>
                <w:color w:val="FF0000"/>
                <w:highlight w:val="lightGray"/>
              </w:rPr>
            </w:pPr>
            <w:r w:rsidRPr="00832ABB">
              <w:rPr>
                <w:color w:val="FF0000"/>
                <w:highlight w:val="lightGray"/>
              </w:rPr>
              <w:t>- kvalifikaciją patvirtinančio dokumento numeris, išdavimo data, išdavusios įstaigos pavadinimas ir vadovo atestatų kopijos; Perkančioji organizacija naudodamasi VšĮ Statybos sektoriaus vystymo agentūros  www.ssva.lt duomenų arba Lietuvos architektų rūmų registrais patikrins atitiktį nustatytam reikalavimui.</w:t>
            </w:r>
          </w:p>
          <w:p w14:paraId="526ED2A9" w14:textId="77777777" w:rsidR="00260CE8" w:rsidRPr="00832ABB" w:rsidRDefault="00260CE8" w:rsidP="00C8230A">
            <w:pPr>
              <w:ind w:firstLine="128"/>
              <w:jc w:val="both"/>
              <w:rPr>
                <w:rFonts w:eastAsia="Calibri"/>
                <w:i/>
                <w:iCs/>
                <w:color w:val="FF0000"/>
                <w:highlight w:val="lightGray"/>
              </w:rPr>
            </w:pPr>
            <w:r w:rsidRPr="00832ABB">
              <w:rPr>
                <w:color w:val="FF0000"/>
                <w:highlight w:val="lightGray"/>
              </w:rPr>
              <w:t>- darbo arba kitos sutarties išrašas ar išrašas iš Sodros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0947956" w14:textId="77777777" w:rsidR="00260CE8" w:rsidRPr="00832ABB" w:rsidRDefault="00260CE8" w:rsidP="00C8230A">
            <w:pPr>
              <w:ind w:firstLine="128"/>
              <w:jc w:val="both"/>
              <w:rPr>
                <w:rFonts w:eastAsia="Calibri"/>
                <w:i/>
                <w:iCs/>
                <w:color w:val="FF0000"/>
                <w:highlight w:val="lightGray"/>
                <w:u w:val="single"/>
              </w:rPr>
            </w:pPr>
            <w:r w:rsidRPr="00832ABB">
              <w:rPr>
                <w:rFonts w:eastAsia="Calibri"/>
                <w:i/>
                <w:iCs/>
                <w:color w:val="FF0000"/>
                <w:highlight w:val="lightGray"/>
              </w:rPr>
              <w:t>Jei pasitelkiamas specialistas (</w:t>
            </w:r>
            <w:proofErr w:type="spellStart"/>
            <w:r w:rsidRPr="00832ABB">
              <w:rPr>
                <w:rFonts w:eastAsia="Calibri"/>
                <w:i/>
                <w:iCs/>
                <w:color w:val="FF0000"/>
                <w:highlight w:val="lightGray"/>
              </w:rPr>
              <w:t>kvazisubtiekėjas</w:t>
            </w:r>
            <w:proofErr w:type="spellEnd"/>
            <w:r w:rsidRPr="00832ABB">
              <w:rPr>
                <w:rFonts w:eastAsia="Calibri"/>
                <w:i/>
                <w:iCs/>
                <w:color w:val="FF0000"/>
                <w:highlight w:val="lightGray"/>
              </w:rPr>
              <w:t xml:space="preserve">) nėra tiekėjo ar ūkio  subjekto, kurio pajėgumais tiekėjas remiasi, darbuotojas, tačiau jį ketinama įdarbinti, </w:t>
            </w:r>
            <w:r w:rsidRPr="00832ABB">
              <w:rPr>
                <w:rFonts w:eastAsia="Calibri"/>
                <w:i/>
                <w:iCs/>
                <w:color w:val="FF0000"/>
                <w:highlight w:val="lightGray"/>
                <w:u w:val="single"/>
              </w:rPr>
              <w:t xml:space="preserve">su pasiūlymu </w:t>
            </w:r>
            <w:r w:rsidRPr="00832ABB">
              <w:rPr>
                <w:i/>
                <w:iCs/>
                <w:color w:val="FF0000"/>
                <w:highlight w:val="lightGray"/>
                <w:u w:val="single"/>
              </w:rPr>
              <w:t>turi būti pateikti dokumentai, įrodantys, kad laimėjimo</w:t>
            </w:r>
            <w:r w:rsidRPr="00832ABB">
              <w:rPr>
                <w:b/>
                <w:bCs/>
                <w:i/>
                <w:iCs/>
                <w:color w:val="FF0000"/>
                <w:highlight w:val="lightGray"/>
                <w:u w:val="single"/>
              </w:rPr>
              <w:t xml:space="preserve"> </w:t>
            </w:r>
            <w:r w:rsidRPr="00832ABB">
              <w:rPr>
                <w:i/>
                <w:iCs/>
                <w:color w:val="FF0000"/>
                <w:highlight w:val="lightGray"/>
                <w:u w:val="single"/>
              </w:rPr>
              <w:t>atveju jis bus įdarbintas</w:t>
            </w:r>
            <w:r w:rsidRPr="00832ABB">
              <w:rPr>
                <w:rFonts w:eastAsia="Calibri"/>
                <w:i/>
                <w:iCs/>
                <w:color w:val="FF0000"/>
                <w:highlight w:val="lightGray"/>
                <w:u w:val="single"/>
              </w:rPr>
              <w:t xml:space="preserve"> (ketinimų protokolai, sutikimai).</w:t>
            </w:r>
          </w:p>
          <w:p w14:paraId="5AFF86D9" w14:textId="77777777" w:rsidR="00260CE8" w:rsidRPr="00832ABB" w:rsidRDefault="00260CE8" w:rsidP="00C8230A">
            <w:pPr>
              <w:ind w:firstLine="128"/>
              <w:jc w:val="both"/>
              <w:rPr>
                <w:rFonts w:eastAsia="Calibri"/>
                <w:i/>
                <w:iCs/>
                <w:color w:val="FF0000"/>
                <w:highlight w:val="lightGray"/>
                <w:u w:val="single"/>
              </w:rPr>
            </w:pPr>
          </w:p>
          <w:p w14:paraId="17E50BED" w14:textId="77777777" w:rsidR="00260CE8" w:rsidRPr="00832ABB" w:rsidRDefault="00260CE8" w:rsidP="00C8230A">
            <w:pPr>
              <w:jc w:val="both"/>
              <w:rPr>
                <w:color w:val="FF0000"/>
                <w:highlight w:val="lightGray"/>
              </w:rPr>
            </w:pPr>
            <w:r w:rsidRPr="00832ABB">
              <w:rPr>
                <w:rFonts w:eastAsia="Calibri"/>
                <w:i/>
                <w:iCs/>
                <w:color w:val="FF0000"/>
                <w:highlight w:val="lightGray"/>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3652253A" w14:textId="77777777" w:rsidR="00260CE8" w:rsidRPr="00832ABB" w:rsidRDefault="00260CE8" w:rsidP="00260CE8">
      <w:pPr>
        <w:rPr>
          <w:color w:val="FF0000"/>
        </w:rPr>
      </w:pPr>
    </w:p>
    <w:p w14:paraId="086B0235" w14:textId="77777777" w:rsidR="00260CE8" w:rsidRPr="00112A22" w:rsidRDefault="00260CE8" w:rsidP="00260CE8">
      <w:pPr>
        <w:autoSpaceDE w:val="0"/>
        <w:adjustRightInd w:val="0"/>
        <w:jc w:val="both"/>
        <w:rPr>
          <w:b/>
          <w:color w:val="000000"/>
          <w:szCs w:val="24"/>
          <w:u w:val="single"/>
        </w:rPr>
      </w:pPr>
      <w:r>
        <w:rPr>
          <w:bCs/>
          <w:color w:val="000000"/>
          <w:szCs w:val="24"/>
        </w:rPr>
        <w:t xml:space="preserve">       </w:t>
      </w:r>
      <w:r w:rsidRPr="00112A22">
        <w:rPr>
          <w:b/>
          <w:color w:val="000000"/>
          <w:szCs w:val="24"/>
          <w:u w:val="single"/>
        </w:rPr>
        <w:t>Perkančioji organizacija nesusiaurins rinkos konsultacijai pateiktų savo planuojamų į pirkimo sąlygas įrašyti kvalifikacinių reikalavimų</w:t>
      </w:r>
      <w:r>
        <w:rPr>
          <w:b/>
          <w:color w:val="000000"/>
          <w:szCs w:val="24"/>
          <w:u w:val="single"/>
        </w:rPr>
        <w:t>, neapribos su užaukštintais kvalifikaciniais reikalavimais tiekėjų dalyvavimą konkurse</w:t>
      </w:r>
      <w:r w:rsidRPr="00112A22">
        <w:rPr>
          <w:b/>
          <w:color w:val="000000"/>
          <w:szCs w:val="24"/>
          <w:u w:val="single"/>
        </w:rPr>
        <w:t xml:space="preserve"> ir pasiūlytiems rinkos konsultacijai kvalifikaciniams reikalavimams nepritaria. </w:t>
      </w:r>
    </w:p>
    <w:p w14:paraId="0C406075" w14:textId="77777777" w:rsidR="00260CE8" w:rsidRDefault="00260CE8" w:rsidP="00260CE8">
      <w:pPr>
        <w:autoSpaceDE w:val="0"/>
        <w:adjustRightInd w:val="0"/>
        <w:jc w:val="both"/>
        <w:rPr>
          <w:bCs/>
          <w:color w:val="000000"/>
          <w:szCs w:val="24"/>
        </w:rPr>
      </w:pPr>
      <w:r>
        <w:rPr>
          <w:bCs/>
          <w:color w:val="000000"/>
          <w:szCs w:val="24"/>
        </w:rPr>
        <w:t xml:space="preserve">       TDP rengimas nėra rangos darbai, kuomet būtų svarbi įgyvendintos sutarties vertė. Projektų rengimui svarbiau tinkamai parengtas projektas, jam atlikta profesionali ekspertizė ir /ar išduotas statybą leidžiantis vykdyti dokumentas. </w:t>
      </w:r>
    </w:p>
    <w:p w14:paraId="1CC11AA2" w14:textId="77777777" w:rsidR="00260CE8" w:rsidRDefault="00260CE8" w:rsidP="00260CE8">
      <w:pPr>
        <w:autoSpaceDE w:val="0"/>
        <w:adjustRightInd w:val="0"/>
        <w:jc w:val="both"/>
        <w:rPr>
          <w:bCs/>
          <w:color w:val="000000"/>
          <w:szCs w:val="24"/>
        </w:rPr>
      </w:pPr>
      <w:r>
        <w:rPr>
          <w:bCs/>
          <w:color w:val="000000"/>
          <w:szCs w:val="24"/>
        </w:rPr>
        <w:t xml:space="preserve">       Tiekėjas, teikdamas pasiūlymą konkursui pagal perkančiosios organizacijos pateiktą TU, įsivertina pats, kokiam architektui pavesti vykdyti sutartinius įsipareigojimus, atsižvelgus į TU nurodytas projekto dalis.</w:t>
      </w:r>
    </w:p>
    <w:p w14:paraId="57055AE4" w14:textId="77777777" w:rsidR="00F03292" w:rsidRDefault="00F03292"/>
    <w:sectPr w:rsidR="00F03292" w:rsidSect="00260CE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chivo Light">
    <w:altName w:val="Calibri"/>
    <w:charset w:val="BA"/>
    <w:family w:val="auto"/>
    <w:pitch w:val="variable"/>
    <w:sig w:usb0="A00000FF" w:usb1="500020EB" w:usb2="00000008"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305EC"/>
    <w:multiLevelType w:val="hybridMultilevel"/>
    <w:tmpl w:val="E352816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612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E8"/>
    <w:rsid w:val="00260CE8"/>
    <w:rsid w:val="00E37969"/>
    <w:rsid w:val="00F03292"/>
    <w:rsid w:val="00FE2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CB18"/>
  <w15:chartTrackingRefBased/>
  <w15:docId w15:val="{76314E43-9178-4CB5-BC89-08BFF212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CE8"/>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260C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60C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60CE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60CE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60CE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60CE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0CE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60CE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0CE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0C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60C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60C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60CE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60CE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60C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0C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60C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0C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60CE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0C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0C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0C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0C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0CE8"/>
    <w:rPr>
      <w:i/>
      <w:iCs/>
      <w:color w:val="404040" w:themeColor="text1" w:themeTint="BF"/>
    </w:rPr>
  </w:style>
  <w:style w:type="paragraph" w:styleId="Sraopastraipa">
    <w:name w:val="List Paragraph"/>
    <w:basedOn w:val="prastasis"/>
    <w:uiPriority w:val="34"/>
    <w:qFormat/>
    <w:rsid w:val="00260CE8"/>
    <w:pPr>
      <w:ind w:left="720"/>
      <w:contextualSpacing/>
    </w:pPr>
  </w:style>
  <w:style w:type="character" w:styleId="Rykuspabraukimas">
    <w:name w:val="Intense Emphasis"/>
    <w:basedOn w:val="Numatytasispastraiposriftas"/>
    <w:uiPriority w:val="21"/>
    <w:qFormat/>
    <w:rsid w:val="00260CE8"/>
    <w:rPr>
      <w:i/>
      <w:iCs/>
      <w:color w:val="2F5496" w:themeColor="accent1" w:themeShade="BF"/>
    </w:rPr>
  </w:style>
  <w:style w:type="paragraph" w:styleId="Iskirtacitata">
    <w:name w:val="Intense Quote"/>
    <w:basedOn w:val="prastasis"/>
    <w:next w:val="prastasis"/>
    <w:link w:val="IskirtacitataDiagrama"/>
    <w:uiPriority w:val="30"/>
    <w:qFormat/>
    <w:rsid w:val="00260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60CE8"/>
    <w:rPr>
      <w:i/>
      <w:iCs/>
      <w:color w:val="2F5496" w:themeColor="accent1" w:themeShade="BF"/>
    </w:rPr>
  </w:style>
  <w:style w:type="character" w:styleId="Rykinuoroda">
    <w:name w:val="Intense Reference"/>
    <w:basedOn w:val="Numatytasispastraiposriftas"/>
    <w:uiPriority w:val="32"/>
    <w:qFormat/>
    <w:rsid w:val="00260CE8"/>
    <w:rPr>
      <w:b/>
      <w:bCs/>
      <w:smallCaps/>
      <w:color w:val="2F5496" w:themeColor="accent1" w:themeShade="BF"/>
      <w:spacing w:val="5"/>
    </w:rPr>
  </w:style>
  <w:style w:type="character" w:customStyle="1" w:styleId="normaltextrun">
    <w:name w:val="normaltextrun"/>
    <w:basedOn w:val="Numatytasispastraiposriftas"/>
    <w:rsid w:val="00260CE8"/>
  </w:style>
  <w:style w:type="paragraph" w:customStyle="1" w:styleId="paragraph">
    <w:name w:val="paragraph"/>
    <w:basedOn w:val="prastasis"/>
    <w:rsid w:val="00260CE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7787</Words>
  <Characters>4439</Characters>
  <Application>Microsoft Office Word</Application>
  <DocSecurity>0</DocSecurity>
  <Lines>36</Lines>
  <Paragraphs>24</Paragraphs>
  <ScaleCrop>false</ScaleCrop>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1</cp:revision>
  <dcterms:created xsi:type="dcterms:W3CDTF">2025-02-06T12:35:00Z</dcterms:created>
  <dcterms:modified xsi:type="dcterms:W3CDTF">2025-02-06T12:36:00Z</dcterms:modified>
</cp:coreProperties>
</file>