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00F4F" w14:textId="18A1E67F" w:rsidR="009E607A" w:rsidRDefault="004F5F5A" w:rsidP="00DB485A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DB485A">
        <w:rPr>
          <w:rFonts w:ascii="Times New Roman" w:hAnsi="Times New Roman" w:cs="Times New Roman"/>
          <w:b/>
          <w:bCs/>
          <w:sz w:val="28"/>
        </w:rPr>
        <w:t>KOKYBĖS KRITERIJAI IR JŲ VERTINIMAS</w:t>
      </w:r>
      <w:r w:rsidR="007076ED">
        <w:rPr>
          <w:rFonts w:ascii="Times New Roman" w:hAnsi="Times New Roman" w:cs="Times New Roman"/>
          <w:b/>
          <w:bCs/>
          <w:sz w:val="28"/>
        </w:rPr>
        <w:t xml:space="preserve"> (projektas)</w:t>
      </w:r>
    </w:p>
    <w:p w14:paraId="4CA228D1" w14:textId="77777777" w:rsidR="00DA1C9B" w:rsidRPr="00F67948" w:rsidRDefault="00DA1C9B" w:rsidP="00DA1C9B">
      <w:pPr>
        <w:spacing w:after="0" w:line="276" w:lineRule="auto"/>
        <w:ind w:right="-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948">
        <w:rPr>
          <w:rFonts w:ascii="Times New Roman" w:eastAsia="Times New Roman" w:hAnsi="Times New Roman" w:cs="Times New Roman"/>
          <w:bCs/>
          <w:position w:val="-1"/>
          <w:sz w:val="24"/>
          <w:szCs w:val="24"/>
          <w:lang w:val="pt-BR"/>
        </w:rPr>
        <w:t xml:space="preserve">1. </w:t>
      </w:r>
      <w:r w:rsidRPr="00F67948">
        <w:rPr>
          <w:rFonts w:ascii="Times New Roman" w:hAnsi="Times New Roman" w:cs="Times New Roman"/>
          <w:sz w:val="24"/>
          <w:szCs w:val="24"/>
        </w:rPr>
        <w:t>Ekonomiškai naudingiausias pasiūlymas išrenkamas pagal kainos ir kokybės (pasirinktos kokybės vertinimo charakteristikos įvertinamos kiekybiškai) santykį.</w:t>
      </w:r>
    </w:p>
    <w:p w14:paraId="0404AEE6" w14:textId="77777777" w:rsidR="00DA1C9B" w:rsidRPr="00F67948" w:rsidRDefault="00DA1C9B" w:rsidP="00DA1C9B">
      <w:pPr>
        <w:tabs>
          <w:tab w:val="left" w:pos="851"/>
          <w:tab w:val="left" w:pos="170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7948">
        <w:rPr>
          <w:rFonts w:ascii="Times New Roman" w:hAnsi="Times New Roman" w:cs="Times New Roman"/>
          <w:sz w:val="24"/>
          <w:szCs w:val="24"/>
        </w:rPr>
        <w:t xml:space="preserve">2. Pasiūlymo vertinimo kriterijai nurodyti 1 lentelėje. </w:t>
      </w:r>
    </w:p>
    <w:p w14:paraId="42B66048" w14:textId="77777777" w:rsidR="00DA1C9B" w:rsidRPr="00F67948" w:rsidRDefault="00DA1C9B" w:rsidP="00DA1C9B">
      <w:pPr>
        <w:spacing w:after="0" w:line="276" w:lineRule="auto"/>
        <w:ind w:right="-53" w:firstLine="567"/>
        <w:jc w:val="both"/>
        <w:rPr>
          <w:rFonts w:ascii="Times New Roman" w:eastAsia="Times New Roman" w:hAnsi="Times New Roman" w:cs="Times New Roman"/>
          <w:bCs/>
          <w:position w:val="-1"/>
          <w:sz w:val="24"/>
          <w:szCs w:val="24"/>
          <w:lang w:val="pt-BR"/>
        </w:rPr>
      </w:pPr>
      <w:r w:rsidRPr="00F67948">
        <w:rPr>
          <w:rFonts w:ascii="Times New Roman" w:eastAsia="Times New Roman" w:hAnsi="Times New Roman" w:cs="Times New Roman"/>
          <w:bCs/>
          <w:position w:val="-1"/>
          <w:sz w:val="24"/>
          <w:szCs w:val="24"/>
          <w:lang w:val="pt-BR"/>
        </w:rPr>
        <w:t>3. Ekonomiškai naudingiausiu bus pripažįstamas pasiūlymas, surinkęs daugiausiai balų.</w:t>
      </w:r>
    </w:p>
    <w:p w14:paraId="699882DE" w14:textId="77777777" w:rsidR="00DA1C9B" w:rsidRPr="00F67948" w:rsidRDefault="00DA1C9B" w:rsidP="00DA1C9B">
      <w:pPr>
        <w:spacing w:after="0" w:line="276" w:lineRule="auto"/>
        <w:ind w:right="-5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position w:val="-1"/>
          <w:sz w:val="24"/>
          <w:szCs w:val="24"/>
          <w:lang w:val="pt-BR"/>
        </w:rPr>
        <w:t>4</w:t>
      </w:r>
      <w:r w:rsidRPr="00F67948">
        <w:rPr>
          <w:rFonts w:ascii="Times New Roman" w:eastAsia="Times New Roman" w:hAnsi="Times New Roman" w:cs="Times New Roman"/>
          <w:bCs/>
          <w:position w:val="-1"/>
          <w:sz w:val="24"/>
          <w:szCs w:val="24"/>
          <w:lang w:val="pt-BR"/>
        </w:rPr>
        <w:t xml:space="preserve">. </w:t>
      </w:r>
      <w:r w:rsidRPr="00F67948">
        <w:rPr>
          <w:rFonts w:ascii="Times New Roman" w:hAnsi="Times New Roman" w:cs="Times New Roman"/>
          <w:sz w:val="24"/>
          <w:szCs w:val="24"/>
        </w:rPr>
        <w:t>Tais atvejais, kai kelių tiekėjų pasiūlymų ekonominis naudingumas yra vienodas, nustatant pasiūlymų eilę, pirmesnis į šią eilę įrašomas tiekėjas, kurio pasiūlymas pateiktas anksčiausiai.</w:t>
      </w:r>
    </w:p>
    <w:p w14:paraId="1AE18140" w14:textId="77777777" w:rsidR="00DA1C9B" w:rsidRPr="00CD4863" w:rsidRDefault="00DA1C9B" w:rsidP="00DA1C9B">
      <w:pPr>
        <w:tabs>
          <w:tab w:val="left" w:pos="851"/>
          <w:tab w:val="left" w:pos="993"/>
          <w:tab w:val="left" w:pos="1701"/>
        </w:tabs>
        <w:spacing w:after="0" w:line="276" w:lineRule="auto"/>
        <w:ind w:right="-53" w:firstLine="567"/>
        <w:jc w:val="both"/>
        <w:rPr>
          <w:rFonts w:ascii="Times New Roman" w:eastAsia="Times New Roman" w:hAnsi="Times New Roman" w:cs="Times New Roman"/>
          <w:bCs/>
          <w:position w:val="-1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CD4863">
        <w:rPr>
          <w:rFonts w:ascii="Times New Roman" w:eastAsia="Calibri" w:hAnsi="Times New Roman" w:cs="Times New Roman"/>
          <w:sz w:val="24"/>
          <w:szCs w:val="24"/>
        </w:rPr>
        <w:t xml:space="preserve">Jeigu pirkimui pasiūlymą pateikia tik vienas tiekėjas, kokybės balų skaičiavimas nebus atliekamas, o tiekėjo pasiūlymas bus pripažintas laimėjusiu, jeigu atitiks visus kitus reikalavimus ir atlikus vertinimą bus pripažintas priimtinu (nėra tiekėjo pašalinimo pagrindų, atitinka kvalifikacijos reikalavimus, kaina nėra per didelė ir t. t.). </w:t>
      </w:r>
    </w:p>
    <w:p w14:paraId="58283EBA" w14:textId="77777777" w:rsidR="00DA1C9B" w:rsidRPr="005B308F" w:rsidRDefault="00DA1C9B" w:rsidP="00DA1C9B">
      <w:pPr>
        <w:spacing w:after="0" w:line="276" w:lineRule="auto"/>
        <w:ind w:right="-5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AFB548B" w14:textId="77777777" w:rsidR="00DA1C9B" w:rsidRPr="0051172B" w:rsidRDefault="00DA1C9B" w:rsidP="00DA1C9B">
      <w:pPr>
        <w:spacing w:after="100" w:afterAutospacing="1" w:line="240" w:lineRule="exact"/>
        <w:ind w:right="-53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51172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1 lentelė</w:t>
      </w:r>
    </w:p>
    <w:tbl>
      <w:tblPr>
        <w:tblW w:w="98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5040"/>
        <w:gridCol w:w="1844"/>
        <w:gridCol w:w="2229"/>
      </w:tblGrid>
      <w:tr w:rsidR="00DA1C9B" w:rsidRPr="00B42CF1" w14:paraId="04C3907B" w14:textId="77777777" w:rsidTr="00E86141">
        <w:trPr>
          <w:cantSplit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6E70C59" w14:textId="77777777" w:rsidR="00DA1C9B" w:rsidRPr="00DB485A" w:rsidRDefault="00DA1C9B" w:rsidP="00E86141">
            <w:pPr>
              <w:spacing w:after="0"/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Vertinimo kriterijus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8D1807B" w14:textId="77777777" w:rsidR="00DA1C9B" w:rsidRPr="00DB485A" w:rsidRDefault="00DA1C9B" w:rsidP="00E861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Maksimalus suteikiamas balų skaičius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83AD9D4" w14:textId="77777777" w:rsidR="00DA1C9B" w:rsidRPr="00DB485A" w:rsidRDefault="00DA1C9B" w:rsidP="00E86141">
            <w:pPr>
              <w:spacing w:after="0"/>
              <w:ind w:hanging="4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Lyginamasis kriterijaus svoris ekonominio naudingumo įvertinime</w:t>
            </w:r>
          </w:p>
        </w:tc>
      </w:tr>
      <w:tr w:rsidR="00DA1C9B" w:rsidRPr="00B42CF1" w14:paraId="3C28AE3A" w14:textId="77777777" w:rsidTr="00E86141">
        <w:trPr>
          <w:cantSplit/>
        </w:trPr>
        <w:tc>
          <w:tcPr>
            <w:tcW w:w="7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78E7" w14:textId="77777777" w:rsidR="00DA1C9B" w:rsidRPr="00DB485A" w:rsidRDefault="00DA1C9B" w:rsidP="00E8614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5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1. PIRMAS KRITERIJUS – </w:t>
            </w:r>
            <w:r w:rsidRPr="00DB485A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Kaina (C)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244D14EE" w14:textId="77777777" w:rsidR="00DA1C9B" w:rsidRPr="00DB485A" w:rsidRDefault="00DA1C9B" w:rsidP="00E86141">
            <w:pPr>
              <w:spacing w:after="0"/>
              <w:ind w:hanging="4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X=60</w:t>
            </w:r>
          </w:p>
        </w:tc>
      </w:tr>
      <w:tr w:rsidR="00DA1C9B" w:rsidRPr="00B42CF1" w14:paraId="172F469E" w14:textId="77777777" w:rsidTr="00E86141">
        <w:trPr>
          <w:cantSplit/>
        </w:trPr>
        <w:tc>
          <w:tcPr>
            <w:tcW w:w="7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0B0A5" w14:textId="77777777" w:rsidR="00DA1C9B" w:rsidRPr="00DB485A" w:rsidRDefault="00DA1C9B" w:rsidP="00E861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5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 ANTRAS KRITERIJUS –</w:t>
            </w:r>
            <w:r w:rsidRPr="00DB485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Kokybė (T)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875B862" w14:textId="77777777" w:rsidR="00DA1C9B" w:rsidRPr="00DB485A" w:rsidRDefault="00DA1C9B" w:rsidP="00E861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Y=40</w:t>
            </w:r>
          </w:p>
        </w:tc>
      </w:tr>
      <w:tr w:rsidR="00DA1C9B" w:rsidRPr="00B42CF1" w14:paraId="4C94961D" w14:textId="77777777" w:rsidTr="00E86141">
        <w:trPr>
          <w:cantSplit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4EC06" w14:textId="77777777" w:rsidR="00DA1C9B" w:rsidRPr="00DB485A" w:rsidRDefault="00DA1C9B" w:rsidP="00E861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B485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66BD" w14:textId="77777777" w:rsidR="00DA1C9B" w:rsidRPr="00DB485A" w:rsidRDefault="00DA1C9B" w:rsidP="00E86141">
            <w:pPr>
              <w:tabs>
                <w:tab w:val="center" w:pos="1276"/>
                <w:tab w:val="center" w:pos="1560"/>
                <w:tab w:val="center" w:pos="1843"/>
                <w:tab w:val="center" w:pos="1985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7C12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Papildomi specialistai ir jų kvalifikacija (T1)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4237" w14:textId="77777777" w:rsidR="00DA1C9B" w:rsidRPr="00DB485A" w:rsidRDefault="00DA1C9B" w:rsidP="00E861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5A">
              <w:rPr>
                <w:rFonts w:ascii="Times New Roman" w:hAnsi="Times New Roman" w:cs="Times New Roman"/>
                <w:sz w:val="24"/>
                <w:szCs w:val="24"/>
              </w:rPr>
              <w:t>Maks. 20 balų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7EA24DA" w14:textId="77777777" w:rsidR="00DA1C9B" w:rsidRPr="00DB485A" w:rsidRDefault="00DA1C9B" w:rsidP="00E861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</w:t>
            </w:r>
            <w:r w:rsidRPr="00DB485A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 w:rsidRPr="00DB48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=20</w:t>
            </w:r>
          </w:p>
        </w:tc>
      </w:tr>
      <w:tr w:rsidR="00DA1C9B" w:rsidRPr="00B42CF1" w14:paraId="0566E0EC" w14:textId="77777777" w:rsidTr="00E86141">
        <w:trPr>
          <w:cantSplit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A4FB" w14:textId="77777777" w:rsidR="00DA1C9B" w:rsidRPr="00DB485A" w:rsidRDefault="00DA1C9B" w:rsidP="00E861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B485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3835" w14:textId="77777777" w:rsidR="00DA1C9B" w:rsidRPr="00DB485A" w:rsidRDefault="00DA1C9B" w:rsidP="00E86141">
            <w:pPr>
              <w:tabs>
                <w:tab w:val="center" w:pos="1276"/>
                <w:tab w:val="center" w:pos="1560"/>
                <w:tab w:val="center" w:pos="1843"/>
                <w:tab w:val="center" w:pos="1985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Tiekėjo Duomenų centre naudojama elektros energija yra pagaminta iš atsinaujinančių energijos šaltinių (T2).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0904" w14:textId="77777777" w:rsidR="00DA1C9B" w:rsidRPr="00DB485A" w:rsidRDefault="00DA1C9B" w:rsidP="00E861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5A">
              <w:rPr>
                <w:rFonts w:ascii="Times New Roman" w:hAnsi="Times New Roman" w:cs="Times New Roman"/>
                <w:sz w:val="24"/>
                <w:szCs w:val="24"/>
              </w:rPr>
              <w:t>Maks. 10 balų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A5CCE65" w14:textId="77777777" w:rsidR="00DA1C9B" w:rsidRPr="00DB485A" w:rsidRDefault="00DA1C9B" w:rsidP="00E861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</w:t>
            </w:r>
            <w:r w:rsidRPr="00DB485A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DB48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=10</w:t>
            </w:r>
          </w:p>
        </w:tc>
      </w:tr>
      <w:tr w:rsidR="00DA1C9B" w:rsidRPr="00B42CF1" w14:paraId="4D4AEAF2" w14:textId="77777777" w:rsidTr="00E86141">
        <w:trPr>
          <w:cantSplit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F643F" w14:textId="77777777" w:rsidR="00DA1C9B" w:rsidRPr="00DB485A" w:rsidRDefault="00DA1C9B" w:rsidP="00E861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B485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5ACA9" w14:textId="77777777" w:rsidR="00DA1C9B" w:rsidRPr="00DB485A" w:rsidRDefault="00DA1C9B" w:rsidP="00E86141">
            <w:pPr>
              <w:tabs>
                <w:tab w:val="center" w:pos="1276"/>
                <w:tab w:val="center" w:pos="1560"/>
                <w:tab w:val="center" w:pos="1843"/>
                <w:tab w:val="center" w:pos="1985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85A">
              <w:rPr>
                <w:rFonts w:ascii="Times New Roman" w:hAnsi="Times New Roman" w:cs="Times New Roman"/>
                <w:bCs/>
                <w:sz w:val="24"/>
                <w:szCs w:val="24"/>
              </w:rPr>
              <w:t>Tiekėjo siūlomas</w:t>
            </w:r>
            <w:r w:rsidRPr="00DB4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485A">
              <w:rPr>
                <w:rFonts w:ascii="Times New Roman" w:hAnsi="Times New Roman" w:cs="Times New Roman"/>
                <w:bCs/>
                <w:sz w:val="24"/>
                <w:szCs w:val="24"/>
              </w:rPr>
              <w:t>fizinių tarnybinių stočių, skirtų tarnybinių stočių virtualizavimo platformai, procesorių našumas</w:t>
            </w:r>
            <w:r w:rsidRPr="00DB48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(T3).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BF31" w14:textId="77777777" w:rsidR="00DA1C9B" w:rsidRPr="00DB485A" w:rsidRDefault="00DA1C9B" w:rsidP="00E861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5A">
              <w:rPr>
                <w:rFonts w:ascii="Times New Roman" w:hAnsi="Times New Roman" w:cs="Times New Roman"/>
                <w:sz w:val="24"/>
                <w:szCs w:val="24"/>
              </w:rPr>
              <w:t>Maks. 10 balų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59C6E94" w14:textId="77777777" w:rsidR="00DA1C9B" w:rsidRPr="00DB485A" w:rsidRDefault="00DA1C9B" w:rsidP="00E861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</w:t>
            </w:r>
            <w:r w:rsidRPr="00DB485A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DB48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=10</w:t>
            </w:r>
          </w:p>
        </w:tc>
      </w:tr>
    </w:tbl>
    <w:p w14:paraId="4E24352F" w14:textId="77777777" w:rsidR="00DA1C9B" w:rsidRDefault="00DA1C9B" w:rsidP="00DA1C9B">
      <w:pPr>
        <w:spacing w:after="0" w:line="240" w:lineRule="exact"/>
        <w:ind w:right="-53"/>
        <w:jc w:val="right"/>
        <w:rPr>
          <w:rFonts w:ascii="Times New Roman" w:eastAsia="Times New Roman" w:hAnsi="Times New Roman" w:cs="Times New Roman"/>
          <w:b/>
          <w:position w:val="-1"/>
          <w:sz w:val="24"/>
          <w:szCs w:val="24"/>
        </w:rPr>
      </w:pPr>
    </w:p>
    <w:p w14:paraId="5E191BCC" w14:textId="77777777" w:rsidR="00DA1C9B" w:rsidRPr="005B308F" w:rsidRDefault="00DA1C9B" w:rsidP="00DA1C9B">
      <w:pPr>
        <w:spacing w:after="0" w:line="240" w:lineRule="exact"/>
        <w:ind w:right="-53"/>
        <w:jc w:val="right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pt-BR"/>
        </w:rPr>
      </w:pPr>
    </w:p>
    <w:p w14:paraId="044C4525" w14:textId="77777777" w:rsidR="00DA1C9B" w:rsidRPr="00450917" w:rsidRDefault="00DA1C9B" w:rsidP="00DA1C9B">
      <w:pPr>
        <w:tabs>
          <w:tab w:val="left" w:pos="851"/>
        </w:tabs>
        <w:spacing w:before="240" w:after="0" w:line="276" w:lineRule="auto"/>
        <w:ind w:firstLine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50917">
        <w:rPr>
          <w:rFonts w:ascii="Times New Roman" w:hAnsi="Times New Roman" w:cs="Times New Roman"/>
          <w:b/>
          <w:bCs/>
          <w:sz w:val="24"/>
          <w:szCs w:val="24"/>
        </w:rPr>
        <w:t>. Ekonominio naudingumo balų apskaičiavimo tvarka:</w:t>
      </w:r>
    </w:p>
    <w:p w14:paraId="7D053C5C" w14:textId="77777777" w:rsidR="00DA1C9B" w:rsidRPr="005B308F" w:rsidRDefault="00DA1C9B" w:rsidP="00DA1C9B">
      <w:pPr>
        <w:tabs>
          <w:tab w:val="left" w:pos="851"/>
        </w:tabs>
        <w:spacing w:before="24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B308F">
        <w:rPr>
          <w:rFonts w:ascii="Times New Roman" w:hAnsi="Times New Roman" w:cs="Times New Roman"/>
          <w:sz w:val="24"/>
          <w:szCs w:val="24"/>
        </w:rPr>
        <w:t>.1. Ekonominis naudingumas (S) apskaičiuojamas sudedant t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5B308F">
        <w:rPr>
          <w:rFonts w:ascii="Times New Roman" w:hAnsi="Times New Roman" w:cs="Times New Roman"/>
          <w:sz w:val="24"/>
          <w:szCs w:val="24"/>
        </w:rPr>
        <w:t xml:space="preserve">kėjo pasiūlymo kainos kriterijaus (C) ir kriterijaus „Paslaugų kokybė“ (T) vertinimo balus. </w:t>
      </w:r>
    </w:p>
    <w:p w14:paraId="4CE97DCC" w14:textId="77777777" w:rsidR="00DA1C9B" w:rsidRDefault="00DA1C9B" w:rsidP="00DA1C9B">
      <w:pPr>
        <w:tabs>
          <w:tab w:val="left" w:pos="851"/>
        </w:tabs>
        <w:spacing w:before="240" w:after="0" w:line="276" w:lineRule="auto"/>
        <w:ind w:firstLine="567"/>
        <w:contextualSpacing/>
        <w:jc w:val="center"/>
        <w:rPr>
          <w:rFonts w:ascii="Cambria Math" w:hAnsi="Cambria Math" w:cs="Cambria Math"/>
          <w:b/>
          <w:bCs/>
          <w:sz w:val="24"/>
          <w:szCs w:val="24"/>
        </w:rPr>
      </w:pPr>
    </w:p>
    <w:p w14:paraId="348BD600" w14:textId="77777777" w:rsidR="00DA1C9B" w:rsidRDefault="00DA1C9B" w:rsidP="00DA1C9B">
      <w:pPr>
        <w:tabs>
          <w:tab w:val="left" w:pos="851"/>
        </w:tabs>
        <w:spacing w:before="240" w:after="0" w:line="276" w:lineRule="auto"/>
        <w:ind w:firstLine="567"/>
        <w:contextualSpacing/>
        <w:jc w:val="center"/>
        <w:rPr>
          <w:rFonts w:ascii="Cambria Math" w:hAnsi="Cambria Math" w:cs="Cambria Math"/>
          <w:b/>
          <w:bCs/>
          <w:sz w:val="24"/>
          <w:szCs w:val="24"/>
        </w:rPr>
      </w:pPr>
      <w:r w:rsidRPr="00150857">
        <w:rPr>
          <w:rFonts w:ascii="Cambria Math" w:hAnsi="Cambria Math" w:cs="Cambria Math"/>
          <w:b/>
          <w:bCs/>
          <w:sz w:val="24"/>
          <w:szCs w:val="24"/>
        </w:rPr>
        <w:t>𝑆</w:t>
      </w:r>
      <w:r w:rsidRPr="00150857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 w:rsidRPr="00150857">
        <w:rPr>
          <w:rFonts w:ascii="Cambria Math" w:hAnsi="Cambria Math" w:cs="Cambria Math"/>
          <w:b/>
          <w:bCs/>
          <w:sz w:val="24"/>
          <w:szCs w:val="24"/>
        </w:rPr>
        <w:t>𝐶</w:t>
      </w:r>
      <w:r w:rsidRPr="00150857">
        <w:rPr>
          <w:rFonts w:ascii="Times New Roman" w:hAnsi="Times New Roman" w:cs="Times New Roman"/>
          <w:b/>
          <w:bCs/>
          <w:sz w:val="24"/>
          <w:szCs w:val="24"/>
        </w:rPr>
        <w:t xml:space="preserve"> + </w:t>
      </w:r>
      <w:r w:rsidRPr="00150857">
        <w:rPr>
          <w:rFonts w:ascii="Cambria Math" w:hAnsi="Cambria Math" w:cs="Cambria Math"/>
          <w:b/>
          <w:bCs/>
          <w:sz w:val="24"/>
          <w:szCs w:val="24"/>
        </w:rPr>
        <w:t>𝑇</w:t>
      </w:r>
    </w:p>
    <w:p w14:paraId="739D7E23" w14:textId="77777777" w:rsidR="00DA1C9B" w:rsidRPr="00150857" w:rsidRDefault="00DA1C9B" w:rsidP="00DA1C9B">
      <w:pPr>
        <w:tabs>
          <w:tab w:val="left" w:pos="851"/>
        </w:tabs>
        <w:spacing w:before="240" w:after="0" w:line="276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FCF122" w14:textId="77777777" w:rsidR="00DA1C9B" w:rsidRPr="00450917" w:rsidRDefault="00DA1C9B" w:rsidP="00DA1C9B">
      <w:pPr>
        <w:shd w:val="clear" w:color="auto" w:fill="FFFFFF" w:themeFill="background1"/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50917">
        <w:rPr>
          <w:rFonts w:ascii="Times New Roman" w:hAnsi="Times New Roman" w:cs="Times New Roman"/>
          <w:sz w:val="24"/>
          <w:szCs w:val="24"/>
        </w:rPr>
        <w:t>.2. Pasiūlymo kriterijaus (C) balas apskaičiuojamas mažiausios pasiūlytos kainos (</w:t>
      </w:r>
      <w:proofErr w:type="spellStart"/>
      <w:r w:rsidRPr="00450917">
        <w:rPr>
          <w:rFonts w:ascii="Times New Roman" w:hAnsi="Times New Roman" w:cs="Times New Roman"/>
          <w:sz w:val="24"/>
          <w:szCs w:val="24"/>
        </w:rPr>
        <w:t>Cmin</w:t>
      </w:r>
      <w:proofErr w:type="spellEnd"/>
      <w:r w:rsidRPr="00450917">
        <w:rPr>
          <w:rFonts w:ascii="Times New Roman" w:hAnsi="Times New Roman" w:cs="Times New Roman"/>
          <w:sz w:val="24"/>
          <w:szCs w:val="24"/>
        </w:rPr>
        <w:t xml:space="preserve">) ir vertinamame pasiūlyme </w:t>
      </w:r>
      <w:r w:rsidRPr="0045091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nurodytos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</w:t>
      </w:r>
      <w:r w:rsidRPr="0045091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asiūlymo kainos Eur be PVM</w:t>
      </w:r>
      <w:r w:rsidRPr="0045091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50917">
        <w:rPr>
          <w:rFonts w:ascii="Times New Roman" w:hAnsi="Times New Roman" w:cs="Times New Roman"/>
          <w:sz w:val="24"/>
          <w:szCs w:val="24"/>
        </w:rPr>
        <w:t>Cp</w:t>
      </w:r>
      <w:proofErr w:type="spellEnd"/>
      <w:r w:rsidRPr="00450917">
        <w:rPr>
          <w:rFonts w:ascii="Times New Roman" w:hAnsi="Times New Roman" w:cs="Times New Roman"/>
          <w:sz w:val="24"/>
          <w:szCs w:val="24"/>
        </w:rPr>
        <w:t>) santykį padauginant iš kainos kriterijaus lyginamojo svorio (X):</w:t>
      </w:r>
    </w:p>
    <w:p w14:paraId="31BB9F43" w14:textId="77777777" w:rsidR="00DA1C9B" w:rsidRPr="00450917" w:rsidRDefault="00DA1C9B" w:rsidP="00DA1C9B">
      <w:pPr>
        <w:tabs>
          <w:tab w:val="left" w:pos="851"/>
        </w:tabs>
        <w:spacing w:before="24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D99533" w14:textId="77777777" w:rsidR="00DA1C9B" w:rsidRDefault="00DA1C9B" w:rsidP="00DA1C9B">
      <w:pPr>
        <w:tabs>
          <w:tab w:val="left" w:pos="851"/>
        </w:tabs>
        <w:spacing w:before="240" w:after="0" w:line="276" w:lineRule="auto"/>
        <w:ind w:firstLine="567"/>
        <w:contextualSpacing/>
        <w:jc w:val="center"/>
        <w:rPr>
          <w:rFonts w:ascii="Cambria Math" w:hAnsi="Cambria Math" w:cs="Cambria Math"/>
          <w:b/>
          <w:bCs/>
          <w:sz w:val="24"/>
          <w:szCs w:val="24"/>
        </w:rPr>
      </w:pPr>
      <w:r w:rsidRPr="00150857">
        <w:rPr>
          <w:rFonts w:ascii="Cambria Math" w:hAnsi="Cambria Math" w:cs="Cambria Math"/>
          <w:b/>
          <w:bCs/>
          <w:sz w:val="24"/>
          <w:szCs w:val="24"/>
        </w:rPr>
        <w:t>𝐶</w:t>
      </w:r>
      <w:r w:rsidRPr="00150857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150857">
        <w:rPr>
          <w:rFonts w:ascii="Cambria Math" w:hAnsi="Cambria Math" w:cs="Cambria Math"/>
          <w:b/>
          <w:bCs/>
          <w:sz w:val="24"/>
          <w:szCs w:val="24"/>
        </w:rPr>
        <w:t>𝐶𝑚𝑖𝑛</w:t>
      </w:r>
      <w:r w:rsidRPr="00150857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Pr="00150857">
        <w:rPr>
          <w:rFonts w:ascii="Cambria Math" w:hAnsi="Cambria Math" w:cs="Cambria Math"/>
          <w:b/>
          <w:bCs/>
          <w:sz w:val="24"/>
          <w:szCs w:val="24"/>
        </w:rPr>
        <w:t>𝐶𝑝</w:t>
      </w:r>
      <w:r>
        <w:rPr>
          <w:rFonts w:ascii="Cambria Math" w:hAnsi="Cambria Math" w:cs="Cambria Math"/>
          <w:b/>
          <w:bCs/>
          <w:sz w:val="24"/>
          <w:szCs w:val="24"/>
        </w:rPr>
        <w:t>)</w:t>
      </w:r>
      <w:r w:rsidRPr="00150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0857">
        <w:rPr>
          <w:rFonts w:ascii="Cambria Math" w:hAnsi="Cambria Math" w:cs="Cambria Math"/>
          <w:b/>
          <w:bCs/>
          <w:sz w:val="24"/>
          <w:szCs w:val="24"/>
        </w:rPr>
        <w:t>∗</w:t>
      </w:r>
      <w:r w:rsidRPr="00150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0857">
        <w:rPr>
          <w:rFonts w:ascii="Cambria Math" w:hAnsi="Cambria Math" w:cs="Cambria Math"/>
          <w:b/>
          <w:bCs/>
          <w:sz w:val="24"/>
          <w:szCs w:val="24"/>
        </w:rPr>
        <w:t>𝑋</w:t>
      </w:r>
    </w:p>
    <w:p w14:paraId="073D806D" w14:textId="77777777" w:rsidR="00DA1C9B" w:rsidRPr="00150857" w:rsidRDefault="00DA1C9B" w:rsidP="00DA1C9B">
      <w:pPr>
        <w:tabs>
          <w:tab w:val="left" w:pos="851"/>
        </w:tabs>
        <w:spacing w:before="240" w:after="0" w:line="276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4803B" w14:textId="77777777" w:rsidR="00DA1C9B" w:rsidRDefault="00DA1C9B" w:rsidP="00DA1C9B">
      <w:pPr>
        <w:tabs>
          <w:tab w:val="left" w:pos="851"/>
        </w:tabs>
        <w:spacing w:before="24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B308F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5B308F">
        <w:rPr>
          <w:rFonts w:ascii="Times New Roman" w:hAnsi="Times New Roman" w:cs="Times New Roman"/>
          <w:sz w:val="24"/>
          <w:szCs w:val="24"/>
        </w:rPr>
        <w:t>okybės kriterijaus (T) balai apskaičiuojami sudedant atskirų kokybės kriterijų (</w:t>
      </w:r>
      <w:proofErr w:type="spellStart"/>
      <w:r w:rsidRPr="005B308F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5B308F">
        <w:rPr>
          <w:rFonts w:ascii="Times New Roman" w:hAnsi="Times New Roman" w:cs="Times New Roman"/>
          <w:sz w:val="24"/>
          <w:szCs w:val="24"/>
        </w:rPr>
        <w:t xml:space="preserve">) balus: </w:t>
      </w:r>
    </w:p>
    <w:p w14:paraId="59683ED5" w14:textId="77777777" w:rsidR="00DA1C9B" w:rsidRPr="005B308F" w:rsidRDefault="00DA1C9B" w:rsidP="00DA1C9B">
      <w:pPr>
        <w:tabs>
          <w:tab w:val="left" w:pos="851"/>
        </w:tabs>
        <w:spacing w:before="24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3F64B2" w14:textId="77777777" w:rsidR="00DA1C9B" w:rsidRDefault="00DA1C9B" w:rsidP="00DA1C9B">
      <w:pPr>
        <w:tabs>
          <w:tab w:val="left" w:pos="851"/>
        </w:tabs>
        <w:spacing w:before="240" w:after="0" w:line="276" w:lineRule="auto"/>
        <w:ind w:firstLine="567"/>
        <w:contextualSpacing/>
        <w:jc w:val="center"/>
        <w:rPr>
          <w:rFonts w:ascii="Cambria Math" w:hAnsi="Cambria Math" w:cs="Cambria Math"/>
          <w:b/>
          <w:bCs/>
          <w:sz w:val="24"/>
          <w:szCs w:val="24"/>
        </w:rPr>
      </w:pPr>
      <w:r w:rsidRPr="00150857">
        <w:rPr>
          <w:rFonts w:ascii="Cambria Math" w:hAnsi="Cambria Math" w:cs="Cambria Math"/>
          <w:b/>
          <w:bCs/>
          <w:sz w:val="24"/>
          <w:szCs w:val="24"/>
        </w:rPr>
        <w:t>𝑇</w:t>
      </w:r>
      <w:r w:rsidRPr="00150857">
        <w:rPr>
          <w:rFonts w:ascii="Times New Roman" w:hAnsi="Times New Roman" w:cs="Times New Roman"/>
          <w:b/>
          <w:bCs/>
          <w:sz w:val="24"/>
          <w:szCs w:val="24"/>
        </w:rPr>
        <w:t xml:space="preserve"> = ∑</w:t>
      </w:r>
      <w:r w:rsidRPr="00150857">
        <w:rPr>
          <w:rFonts w:ascii="Cambria Math" w:hAnsi="Cambria Math" w:cs="Cambria Math"/>
          <w:b/>
          <w:bCs/>
          <w:sz w:val="24"/>
          <w:szCs w:val="24"/>
        </w:rPr>
        <w:t>𝑇𝑖</w:t>
      </w:r>
    </w:p>
    <w:p w14:paraId="0E06C90C" w14:textId="77777777" w:rsidR="00DA1C9B" w:rsidRPr="00B51761" w:rsidRDefault="00DA1C9B" w:rsidP="00DA1C9B">
      <w:pPr>
        <w:tabs>
          <w:tab w:val="left" w:pos="851"/>
        </w:tabs>
        <w:spacing w:before="240" w:after="0" w:line="276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B96AB" w14:textId="77777777" w:rsidR="00DA1C9B" w:rsidRDefault="00DA1C9B" w:rsidP="00DA1C9B">
      <w:pPr>
        <w:tabs>
          <w:tab w:val="left" w:pos="851"/>
        </w:tabs>
        <w:spacing w:before="240"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B51761">
        <w:rPr>
          <w:rFonts w:ascii="Times New Roman" w:hAnsi="Times New Roman" w:cs="Times New Roman"/>
          <w:sz w:val="24"/>
          <w:szCs w:val="24"/>
        </w:rPr>
        <w:t xml:space="preserve">.4. </w:t>
      </w:r>
      <w:r w:rsidRPr="00B51761">
        <w:rPr>
          <w:rFonts w:ascii="Times New Roman" w:eastAsia="Calibri" w:hAnsi="Times New Roman" w:cs="Times New Roman"/>
          <w:sz w:val="24"/>
          <w:szCs w:val="24"/>
        </w:rPr>
        <w:t xml:space="preserve">Vertinant kokybės kriterijus </w:t>
      </w:r>
      <w:r w:rsidRPr="00F35928">
        <w:rPr>
          <w:rFonts w:ascii="Times New Roman" w:hAnsi="Times New Roman" w:cs="Times New Roman"/>
          <w:sz w:val="24"/>
          <w:szCs w:val="24"/>
        </w:rPr>
        <w:t>T1</w:t>
      </w:r>
      <w:r w:rsidRPr="00D45268">
        <w:rPr>
          <w:rFonts w:ascii="Times New Roman" w:hAnsi="Times New Roman" w:cs="Times New Roman"/>
          <w:sz w:val="24"/>
          <w:szCs w:val="24"/>
        </w:rPr>
        <w:t>,</w:t>
      </w:r>
      <w:r w:rsidRPr="00B51761">
        <w:rPr>
          <w:rFonts w:ascii="Times New Roman" w:hAnsi="Times New Roman" w:cs="Times New Roman"/>
          <w:sz w:val="24"/>
          <w:szCs w:val="24"/>
        </w:rPr>
        <w:t xml:space="preserve"> T2, T3</w:t>
      </w:r>
      <w:r w:rsidRPr="00B51761">
        <w:rPr>
          <w:rFonts w:ascii="Times New Roman" w:eastAsia="Calibri" w:hAnsi="Times New Roman" w:cs="Times New Roman"/>
          <w:sz w:val="24"/>
          <w:szCs w:val="24"/>
        </w:rPr>
        <w:t xml:space="preserve">, taikomas tiesioginis balų suteikimas pagal šio priedo 2, 3 ir 4 lentelėse nustatytą tvarką. </w:t>
      </w:r>
    </w:p>
    <w:p w14:paraId="15AFF8A3" w14:textId="77777777" w:rsidR="00DA1C9B" w:rsidRPr="00B51761" w:rsidRDefault="00DA1C9B" w:rsidP="00DA1C9B">
      <w:pPr>
        <w:tabs>
          <w:tab w:val="left" w:pos="851"/>
        </w:tabs>
        <w:spacing w:before="240"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E248E1" w14:textId="77777777" w:rsidR="00DA1C9B" w:rsidRPr="00B9288F" w:rsidRDefault="00DA1C9B" w:rsidP="00DA1C9B">
      <w:pPr>
        <w:spacing w:after="0" w:line="257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9288F">
        <w:rPr>
          <w:rFonts w:ascii="Times New Roman" w:hAnsi="Times New Roman" w:cs="Times New Roman"/>
          <w:sz w:val="24"/>
          <w:szCs w:val="24"/>
        </w:rPr>
        <w:t xml:space="preserve">. Papildomi specialistai ir jų kvalifikacija </w:t>
      </w:r>
      <w:r w:rsidRPr="00B9288F">
        <w:rPr>
          <w:rFonts w:ascii="Times New Roman" w:hAnsi="Times New Roman" w:cs="Times New Roman"/>
          <w:b/>
          <w:bCs/>
          <w:sz w:val="24"/>
          <w:szCs w:val="24"/>
        </w:rPr>
        <w:t>(T1).</w:t>
      </w:r>
    </w:p>
    <w:p w14:paraId="76129409" w14:textId="77777777" w:rsidR="00DA1C9B" w:rsidRPr="00036B76" w:rsidRDefault="00DA1C9B" w:rsidP="00DA1C9B">
      <w:pPr>
        <w:spacing w:line="257" w:lineRule="auto"/>
        <w:ind w:firstLine="567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9288F">
        <w:rPr>
          <w:rFonts w:ascii="Times New Roman" w:hAnsi="Times New Roman" w:cs="Times New Roman"/>
          <w:bCs/>
          <w:i/>
          <w:iCs/>
          <w:sz w:val="24"/>
          <w:szCs w:val="24"/>
        </w:rPr>
        <w:t>2 lentelė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8075"/>
        <w:gridCol w:w="1701"/>
      </w:tblGrid>
      <w:tr w:rsidR="00DA1C9B" w:rsidRPr="005B308F" w14:paraId="60494A8C" w14:textId="77777777" w:rsidTr="00E86141">
        <w:tc>
          <w:tcPr>
            <w:tcW w:w="8075" w:type="dxa"/>
            <w:vAlign w:val="center"/>
          </w:tcPr>
          <w:p w14:paraId="41C6153B" w14:textId="77777777" w:rsidR="00DA1C9B" w:rsidRPr="005B308F" w:rsidRDefault="00DA1C9B" w:rsidP="00E8614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1701" w:type="dxa"/>
          </w:tcPr>
          <w:p w14:paraId="67294AED" w14:textId="77777777" w:rsidR="00DA1C9B" w:rsidRPr="005B308F" w:rsidRDefault="00DA1C9B" w:rsidP="00E8614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08F">
              <w:rPr>
                <w:rFonts w:ascii="Times New Roman" w:hAnsi="Times New Roman" w:cs="Times New Roman"/>
                <w:b/>
                <w:sz w:val="24"/>
                <w:szCs w:val="24"/>
              </w:rPr>
              <w:t>Skiriami</w:t>
            </w:r>
          </w:p>
          <w:p w14:paraId="362C65C7" w14:textId="77777777" w:rsidR="00DA1C9B" w:rsidRPr="005B308F" w:rsidRDefault="00DA1C9B" w:rsidP="00E8614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5B308F">
              <w:rPr>
                <w:rFonts w:ascii="Times New Roman" w:hAnsi="Times New Roman" w:cs="Times New Roman"/>
                <w:b/>
                <w:sz w:val="24"/>
                <w:szCs w:val="24"/>
              </w:rPr>
              <w:t>alai</w:t>
            </w:r>
          </w:p>
        </w:tc>
      </w:tr>
      <w:tr w:rsidR="00DA1C9B" w14:paraId="3176EB0E" w14:textId="77777777" w:rsidTr="00E86141">
        <w:trPr>
          <w:trHeight w:val="300"/>
        </w:trPr>
        <w:tc>
          <w:tcPr>
            <w:tcW w:w="8075" w:type="dxa"/>
          </w:tcPr>
          <w:p w14:paraId="76BDD318" w14:textId="77777777" w:rsidR="00DA1C9B" w:rsidRPr="003A405A" w:rsidRDefault="00DA1C9B" w:rsidP="00E861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A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Tiekėjas gauna 0 balų, jeigu </w:t>
            </w:r>
            <w:r w:rsidRPr="003A405A">
              <w:rPr>
                <w:rFonts w:ascii="Times New Roman" w:eastAsia="Calibri" w:hAnsi="Times New Roman" w:cs="Times New Roman"/>
                <w:sz w:val="24"/>
                <w:szCs w:val="24"/>
              </w:rPr>
              <w:t>pasiūlym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3A4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formos 2.1 lentelėje </w:t>
            </w:r>
            <w:r w:rsidRPr="003A4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nepateikia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informacijos apie </w:t>
            </w:r>
            <w:r w:rsidRPr="003A405A">
              <w:rPr>
                <w:rFonts w:ascii="Times New Roman" w:eastAsia="Calibri" w:hAnsi="Times New Roman" w:cs="Times New Roman"/>
                <w:sz w:val="24"/>
                <w:szCs w:val="24"/>
              </w:rPr>
              <w:t>papildom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r w:rsidRPr="003A4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specialist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</w:p>
        </w:tc>
        <w:tc>
          <w:tcPr>
            <w:tcW w:w="1701" w:type="dxa"/>
          </w:tcPr>
          <w:p w14:paraId="6B5831AF" w14:textId="77777777" w:rsidR="00DA1C9B" w:rsidRDefault="00DA1C9B" w:rsidP="00E861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891C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balų</w:t>
            </w:r>
          </w:p>
        </w:tc>
      </w:tr>
      <w:tr w:rsidR="00DA1C9B" w14:paraId="5ECB545A" w14:textId="77777777" w:rsidTr="00E86141">
        <w:trPr>
          <w:trHeight w:val="300"/>
        </w:trPr>
        <w:tc>
          <w:tcPr>
            <w:tcW w:w="8075" w:type="dxa"/>
          </w:tcPr>
          <w:p w14:paraId="3A2441E4" w14:textId="77777777" w:rsidR="00DA1C9B" w:rsidRPr="003A405A" w:rsidRDefault="00DA1C9B" w:rsidP="00E861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A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Tiekėjas gauna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balus</w:t>
            </w:r>
            <w:r w:rsidRPr="00797A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jeigu </w:t>
            </w:r>
            <w:r w:rsidRPr="003A405A">
              <w:rPr>
                <w:rFonts w:ascii="Times New Roman" w:eastAsia="Calibri" w:hAnsi="Times New Roman" w:cs="Times New Roman"/>
                <w:sz w:val="24"/>
                <w:szCs w:val="24"/>
              </w:rPr>
              <w:t>pasiūlym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3A4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formos 2.1 lentelėje </w:t>
            </w:r>
            <w:r w:rsidRPr="003A4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pateikia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informaciją apie p</w:t>
            </w:r>
            <w:r w:rsidRPr="003A405A">
              <w:rPr>
                <w:rFonts w:ascii="Times New Roman" w:eastAsia="Times New Roman" w:hAnsi="Times New Roman" w:cs="Times New Roman"/>
                <w:sz w:val="24"/>
                <w:szCs w:val="24"/>
              </w:rPr>
              <w:t>apildom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ą</w:t>
            </w:r>
            <w:r w:rsidRPr="003A4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Windows </w:t>
            </w:r>
            <w:r w:rsidRPr="00966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operacinių sistemų </w:t>
            </w:r>
            <w:r w:rsidRPr="003A405A">
              <w:rPr>
                <w:rFonts w:ascii="Times New Roman" w:eastAsia="Times New Roman" w:hAnsi="Times New Roman" w:cs="Times New Roman"/>
                <w:sz w:val="24"/>
                <w:szCs w:val="24"/>
              </w:rPr>
              <w:t>specialist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ą</w:t>
            </w:r>
            <w:r w:rsidRPr="003A4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kuris turi </w:t>
            </w:r>
            <w:r w:rsidRPr="003A4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Microsoft </w:t>
            </w:r>
            <w:proofErr w:type="spellStart"/>
            <w:r w:rsidRPr="003A4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Certified</w:t>
            </w:r>
            <w:proofErr w:type="spellEnd"/>
            <w:r w:rsidRPr="003A4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Solutions </w:t>
            </w:r>
            <w:proofErr w:type="spellStart"/>
            <w:r w:rsidRPr="003A4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Expert</w:t>
            </w:r>
            <w:proofErr w:type="spellEnd"/>
            <w:r w:rsidRPr="003A4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galiojantį sertifikatą arba kitą kvalifikaciją įrodantį lygiavertį dokumentą (lygiaverčio dokumento lygiavertiškumą turi įrodyti tiekėjas)</w:t>
            </w:r>
          </w:p>
        </w:tc>
        <w:tc>
          <w:tcPr>
            <w:tcW w:w="1701" w:type="dxa"/>
          </w:tcPr>
          <w:p w14:paraId="1C009E73" w14:textId="77777777" w:rsidR="00DA1C9B" w:rsidRDefault="00DA1C9B" w:rsidP="00E861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891C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balai</w:t>
            </w:r>
          </w:p>
        </w:tc>
      </w:tr>
      <w:tr w:rsidR="00DA1C9B" w:rsidRPr="005B308F" w14:paraId="33BFEB70" w14:textId="77777777" w:rsidTr="00E86141">
        <w:tc>
          <w:tcPr>
            <w:tcW w:w="8075" w:type="dxa"/>
          </w:tcPr>
          <w:p w14:paraId="396FF1D6" w14:textId="77777777" w:rsidR="00DA1C9B" w:rsidRPr="003A405A" w:rsidRDefault="00DA1C9B" w:rsidP="00E861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A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Tiekėjas gauna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balus</w:t>
            </w:r>
            <w:r w:rsidRPr="00797A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jeigu </w:t>
            </w:r>
            <w:r w:rsidRPr="003A405A">
              <w:rPr>
                <w:rFonts w:ascii="Times New Roman" w:eastAsia="Calibri" w:hAnsi="Times New Roman" w:cs="Times New Roman"/>
                <w:sz w:val="24"/>
                <w:szCs w:val="24"/>
              </w:rPr>
              <w:t>pasiūlym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3A4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formos 2.1 lentelėje </w:t>
            </w:r>
            <w:r w:rsidRPr="003A4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pateikia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informaciją apie p</w:t>
            </w:r>
            <w:r w:rsidRPr="003A405A">
              <w:rPr>
                <w:rFonts w:ascii="Times New Roman" w:eastAsia="Times New Roman" w:hAnsi="Times New Roman" w:cs="Times New Roman"/>
                <w:sz w:val="24"/>
                <w:szCs w:val="24"/>
              </w:rPr>
              <w:t>apildom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ą</w:t>
            </w:r>
            <w:r w:rsidRPr="003A4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405A">
              <w:rPr>
                <w:rFonts w:ascii="Times New Roman" w:hAnsi="Times New Roman" w:cs="Times New Roman"/>
                <w:sz w:val="24"/>
                <w:szCs w:val="24"/>
              </w:rPr>
              <w:t xml:space="preserve">Linux </w:t>
            </w:r>
            <w:r w:rsidRPr="009669A7">
              <w:rPr>
                <w:rFonts w:ascii="Times New Roman" w:hAnsi="Times New Roman" w:cs="Times New Roman"/>
                <w:sz w:val="24"/>
                <w:szCs w:val="24"/>
              </w:rPr>
              <w:t xml:space="preserve">operacinių sistemų </w:t>
            </w:r>
            <w:r w:rsidRPr="003A405A">
              <w:rPr>
                <w:rFonts w:ascii="Times New Roman" w:hAnsi="Times New Roman" w:cs="Times New Roman"/>
                <w:sz w:val="24"/>
                <w:szCs w:val="24"/>
              </w:rPr>
              <w:t>specialist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3A405A">
              <w:rPr>
                <w:rFonts w:ascii="Times New Roman" w:hAnsi="Times New Roman" w:cs="Times New Roman"/>
                <w:sz w:val="24"/>
                <w:szCs w:val="24"/>
              </w:rPr>
              <w:t xml:space="preserve">, kuris turi </w:t>
            </w:r>
            <w:r w:rsidRPr="003A4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RedHat </w:t>
            </w:r>
            <w:proofErr w:type="spellStart"/>
            <w:r w:rsidRPr="003A4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Certified</w:t>
            </w:r>
            <w:proofErr w:type="spellEnd"/>
            <w:r w:rsidRPr="003A4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Professional</w:t>
            </w:r>
            <w:r w:rsidRPr="003A4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galiojantį sertifikatą arba kitą kvalifikaciją įrodantį lygiavertį dokumentą (lygiaverčio dokumento lygiavertiškumą turi įrodyti tiekėjas)</w:t>
            </w:r>
          </w:p>
        </w:tc>
        <w:tc>
          <w:tcPr>
            <w:tcW w:w="1701" w:type="dxa"/>
          </w:tcPr>
          <w:p w14:paraId="169D8339" w14:textId="77777777" w:rsidR="00DA1C9B" w:rsidRPr="005B308F" w:rsidRDefault="00DA1C9B" w:rsidP="00E861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891C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balai</w:t>
            </w:r>
          </w:p>
        </w:tc>
      </w:tr>
      <w:tr w:rsidR="00DA1C9B" w:rsidRPr="005B308F" w14:paraId="74BF29BD" w14:textId="77777777" w:rsidTr="00E86141">
        <w:tc>
          <w:tcPr>
            <w:tcW w:w="8075" w:type="dxa"/>
          </w:tcPr>
          <w:p w14:paraId="64B7F756" w14:textId="77777777" w:rsidR="00DA1C9B" w:rsidRPr="003A405A" w:rsidRDefault="00DA1C9B" w:rsidP="00E8614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Tiekėjas gauna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balų</w:t>
            </w:r>
            <w:r w:rsidRPr="00797A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jeigu </w:t>
            </w:r>
            <w:r w:rsidRPr="003A405A">
              <w:rPr>
                <w:rFonts w:ascii="Times New Roman" w:eastAsia="Calibri" w:hAnsi="Times New Roman" w:cs="Times New Roman"/>
                <w:sz w:val="24"/>
                <w:szCs w:val="24"/>
              </w:rPr>
              <w:t>pasiūlym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3A4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formos 2.1 lentelėje </w:t>
            </w:r>
            <w:r w:rsidRPr="003A4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pateikia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informaciją apie p</w:t>
            </w:r>
            <w:r w:rsidRPr="003A405A">
              <w:rPr>
                <w:rFonts w:ascii="Times New Roman" w:eastAsia="Times New Roman" w:hAnsi="Times New Roman" w:cs="Times New Roman"/>
                <w:sz w:val="24"/>
                <w:szCs w:val="24"/>
              </w:rPr>
              <w:t>apildom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ą</w:t>
            </w:r>
            <w:r w:rsidRPr="003A4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3A405A">
              <w:rPr>
                <w:rFonts w:ascii="Times New Roman" w:hAnsi="Times New Roman" w:cs="Times New Roman"/>
                <w:sz w:val="24"/>
                <w:szCs w:val="24"/>
              </w:rPr>
              <w:t>besų kompiuterijos kaštų valdymo specialist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3A40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kuris turi</w:t>
            </w:r>
            <w:r w:rsidRPr="003A4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FinOps</w:t>
            </w:r>
            <w:proofErr w:type="spellEnd"/>
            <w:r w:rsidRPr="00120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0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Certified</w:t>
            </w:r>
            <w:proofErr w:type="spellEnd"/>
            <w:r w:rsidRPr="00120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0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Practitioner</w:t>
            </w:r>
            <w:proofErr w:type="spellEnd"/>
            <w:r w:rsidRPr="003A4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05A">
              <w:rPr>
                <w:rFonts w:ascii="Times New Roman" w:eastAsia="Times New Roman" w:hAnsi="Times New Roman" w:cs="Times New Roman"/>
                <w:sz w:val="24"/>
                <w:szCs w:val="24"/>
              </w:rPr>
              <w:t>galiojantį sertifikatą arba kitą kvalifikaciją įrodantį lygiavertį dokumentą (lygiaverčio dokumento lygiavertiškumą turi įrodyti tiekėjas)</w:t>
            </w:r>
          </w:p>
        </w:tc>
        <w:tc>
          <w:tcPr>
            <w:tcW w:w="1701" w:type="dxa"/>
          </w:tcPr>
          <w:p w14:paraId="00987B4F" w14:textId="77777777" w:rsidR="00DA1C9B" w:rsidRPr="005B308F" w:rsidRDefault="00DA1C9B" w:rsidP="00E861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891C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balų</w:t>
            </w:r>
          </w:p>
        </w:tc>
      </w:tr>
    </w:tbl>
    <w:p w14:paraId="64B11FA9" w14:textId="77777777" w:rsidR="00DA1C9B" w:rsidRPr="00B51761" w:rsidRDefault="00DA1C9B" w:rsidP="00DA1C9B">
      <w:pPr>
        <w:spacing w:line="257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A188044" w14:textId="77777777" w:rsidR="00DA1C9B" w:rsidRDefault="00DA1C9B" w:rsidP="00DA1C9B">
      <w:pPr>
        <w:spacing w:after="0" w:line="257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</w:t>
      </w:r>
      <w:r w:rsidRPr="008B62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62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Tiekėjo Duomenų centre naudojama elektros energija yra pagaminta iš atsinaujinančių energijos šaltinių</w:t>
      </w:r>
      <w:r w:rsidRPr="008B62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6201">
        <w:rPr>
          <w:rFonts w:ascii="Times New Roman" w:hAnsi="Times New Roman" w:cs="Times New Roman"/>
          <w:b/>
          <w:sz w:val="24"/>
          <w:szCs w:val="24"/>
        </w:rPr>
        <w:t>(T2).</w:t>
      </w:r>
    </w:p>
    <w:p w14:paraId="18FDA3CC" w14:textId="77777777" w:rsidR="00DA1C9B" w:rsidRPr="00036B76" w:rsidRDefault="00DA1C9B" w:rsidP="00DA1C9B">
      <w:pPr>
        <w:spacing w:line="257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36B76">
        <w:rPr>
          <w:rFonts w:ascii="Times New Roman" w:hAnsi="Times New Roman" w:cs="Times New Roman"/>
          <w:bCs/>
          <w:i/>
          <w:iCs/>
          <w:sz w:val="24"/>
          <w:szCs w:val="24"/>
        </w:rPr>
        <w:t>3 lentelė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8075"/>
        <w:gridCol w:w="1701"/>
      </w:tblGrid>
      <w:tr w:rsidR="00DA1C9B" w:rsidRPr="005B308F" w14:paraId="62ABDA87" w14:textId="77777777" w:rsidTr="00E86141">
        <w:tc>
          <w:tcPr>
            <w:tcW w:w="8075" w:type="dxa"/>
            <w:vAlign w:val="center"/>
          </w:tcPr>
          <w:p w14:paraId="55817C96" w14:textId="77777777" w:rsidR="00DA1C9B" w:rsidRPr="005B308F" w:rsidRDefault="00DA1C9B" w:rsidP="00E8614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1701" w:type="dxa"/>
          </w:tcPr>
          <w:p w14:paraId="6395582A" w14:textId="77777777" w:rsidR="00DA1C9B" w:rsidRPr="005B308F" w:rsidRDefault="00DA1C9B" w:rsidP="00E8614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08F">
              <w:rPr>
                <w:rFonts w:ascii="Times New Roman" w:hAnsi="Times New Roman" w:cs="Times New Roman"/>
                <w:b/>
                <w:sz w:val="24"/>
                <w:szCs w:val="24"/>
              </w:rPr>
              <w:t>Skiriami</w:t>
            </w:r>
          </w:p>
          <w:p w14:paraId="73641CA5" w14:textId="77777777" w:rsidR="00DA1C9B" w:rsidRPr="005B308F" w:rsidRDefault="00DA1C9B" w:rsidP="00E8614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5B308F">
              <w:rPr>
                <w:rFonts w:ascii="Times New Roman" w:hAnsi="Times New Roman" w:cs="Times New Roman"/>
                <w:b/>
                <w:sz w:val="24"/>
                <w:szCs w:val="24"/>
              </w:rPr>
              <w:t>alai</w:t>
            </w:r>
          </w:p>
        </w:tc>
      </w:tr>
      <w:tr w:rsidR="00DA1C9B" w:rsidRPr="005B308F" w14:paraId="7CA0130A" w14:textId="77777777" w:rsidTr="00E86141">
        <w:tc>
          <w:tcPr>
            <w:tcW w:w="8075" w:type="dxa"/>
          </w:tcPr>
          <w:p w14:paraId="75EB5F28" w14:textId="77777777" w:rsidR="00DA1C9B" w:rsidRPr="00797ADE" w:rsidRDefault="00DA1C9B" w:rsidP="00E86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7A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Tiekėjas gauna 0 balų, jeigu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kartu su pasiūlymu (</w:t>
            </w:r>
            <w:r w:rsidRPr="003A405A">
              <w:rPr>
                <w:rFonts w:ascii="Times New Roman" w:eastAsia="Calibri" w:hAnsi="Times New Roman" w:cs="Times New Roman"/>
                <w:sz w:val="24"/>
                <w:szCs w:val="24"/>
              </w:rPr>
              <w:t>pasiūlym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3A4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formos 2.2 lentelė) </w:t>
            </w:r>
            <w:r w:rsidRPr="00797A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nepateikia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informacijos </w:t>
            </w:r>
            <w:r w:rsidRPr="00797ADE">
              <w:rPr>
                <w:rFonts w:ascii="Times New Roman" w:eastAsia="Calibri" w:hAnsi="Times New Roman" w:cs="Times New Roman"/>
                <w:sz w:val="24"/>
                <w:szCs w:val="24"/>
              </w:rPr>
              <w:t>arba neįrodo, kad tiekėjo duomenų centre naudojama elektros energija gaunama iš atsinaujinančių energijos šaltinių (žalioji) ir tokios energijos naudojama ne mažiau kaip 50%.</w:t>
            </w:r>
          </w:p>
        </w:tc>
        <w:tc>
          <w:tcPr>
            <w:tcW w:w="1701" w:type="dxa"/>
          </w:tcPr>
          <w:p w14:paraId="61AE73DF" w14:textId="77777777" w:rsidR="00DA1C9B" w:rsidRPr="005B308F" w:rsidRDefault="00DA1C9B" w:rsidP="00E86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balų</w:t>
            </w:r>
          </w:p>
        </w:tc>
      </w:tr>
      <w:tr w:rsidR="00DA1C9B" w:rsidRPr="005B308F" w14:paraId="07E19A12" w14:textId="77777777" w:rsidTr="00E86141">
        <w:tc>
          <w:tcPr>
            <w:tcW w:w="8075" w:type="dxa"/>
          </w:tcPr>
          <w:p w14:paraId="24076F74" w14:textId="77777777" w:rsidR="00DA1C9B" w:rsidRPr="00797ADE" w:rsidRDefault="00DA1C9B" w:rsidP="00E86141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A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Tiekėjas gauna 10 balų, jeigu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kartu su pasiūlymu (</w:t>
            </w:r>
            <w:r w:rsidRPr="003A405A">
              <w:rPr>
                <w:rFonts w:ascii="Times New Roman" w:eastAsia="Calibri" w:hAnsi="Times New Roman" w:cs="Times New Roman"/>
                <w:sz w:val="24"/>
                <w:szCs w:val="24"/>
              </w:rPr>
              <w:t>pasiūlym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3A4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formos 2.2 lentelė) </w:t>
            </w:r>
            <w:r w:rsidRPr="00797A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pateikia </w:t>
            </w:r>
            <w:r w:rsidRPr="00797A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galiojančios sutarties su elektros energijos iš atsinaujinančių energijos išteklių tiekėju kopiją arba kitą lygiavertį </w:t>
            </w:r>
            <w:r w:rsidRPr="00797ADE">
              <w:rPr>
                <w:rFonts w:ascii="Times New Roman" w:eastAsia="Calibri" w:hAnsi="Times New Roman" w:cs="Times New Roman"/>
                <w:sz w:val="24"/>
                <w:szCs w:val="24"/>
              </w:rPr>
              <w:t>sertifikatą, dokumentą (-</w:t>
            </w:r>
            <w:proofErr w:type="spellStart"/>
            <w:r w:rsidRPr="00797ADE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proofErr w:type="spellEnd"/>
            <w:r w:rsidRPr="00797ADE">
              <w:rPr>
                <w:rFonts w:ascii="Times New Roman" w:eastAsia="Calibri" w:hAnsi="Times New Roman" w:cs="Times New Roman"/>
                <w:sz w:val="24"/>
                <w:szCs w:val="24"/>
              </w:rPr>
              <w:t>), įrodanti, kad tiekėjo duomenų centre naudojama elektros energija gaunama iš atsinaujinančių energijos šaltinių (žalioji)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</w:t>
            </w:r>
            <w:r w:rsidRPr="00797ADE">
              <w:rPr>
                <w:rFonts w:ascii="Times New Roman" w:eastAsia="Calibri" w:hAnsi="Times New Roman" w:cs="Times New Roman"/>
                <w:sz w:val="24"/>
                <w:szCs w:val="24"/>
              </w:rPr>
              <w:t>tokios energijos naudojama ne mažiau kaip 50%.</w:t>
            </w:r>
          </w:p>
        </w:tc>
        <w:tc>
          <w:tcPr>
            <w:tcW w:w="1701" w:type="dxa"/>
          </w:tcPr>
          <w:p w14:paraId="4C4B82B1" w14:textId="77777777" w:rsidR="00DA1C9B" w:rsidRPr="005B308F" w:rsidRDefault="00DA1C9B" w:rsidP="00E86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08F">
              <w:rPr>
                <w:rFonts w:ascii="Times New Roman" w:hAnsi="Times New Roman" w:cs="Times New Roman"/>
                <w:b/>
                <w:sz w:val="24"/>
                <w:szCs w:val="24"/>
              </w:rPr>
              <w:t>10 balų</w:t>
            </w:r>
          </w:p>
        </w:tc>
      </w:tr>
    </w:tbl>
    <w:p w14:paraId="74E048E0" w14:textId="77777777" w:rsidR="00DA1C9B" w:rsidRDefault="00DA1C9B" w:rsidP="00DA1C9B">
      <w:pPr>
        <w:spacing w:line="257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58BD3F" w14:textId="77777777" w:rsidR="00DA1C9B" w:rsidRDefault="00DA1C9B" w:rsidP="00DA1C9B">
      <w:pPr>
        <w:spacing w:after="0" w:line="257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DB4548">
        <w:rPr>
          <w:rFonts w:ascii="Times New Roman" w:hAnsi="Times New Roman" w:cs="Times New Roman"/>
          <w:bCs/>
          <w:sz w:val="24"/>
          <w:szCs w:val="24"/>
        </w:rPr>
        <w:t>.  Tiekėjo siūlomas</w:t>
      </w:r>
      <w:r w:rsidRPr="00DB45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4548">
        <w:rPr>
          <w:rFonts w:ascii="Times New Roman" w:hAnsi="Times New Roman" w:cs="Times New Roman"/>
          <w:bCs/>
          <w:sz w:val="24"/>
          <w:szCs w:val="24"/>
        </w:rPr>
        <w:t>fizinių tarnybinių stočių, skirtų tarnybinių stočių virtualizavimo platformai, procesorių našumas</w:t>
      </w:r>
      <w:r w:rsidRPr="00DB4548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DB4548">
        <w:rPr>
          <w:rFonts w:ascii="Times New Roman" w:hAnsi="Times New Roman" w:cs="Times New Roman"/>
          <w:b/>
          <w:bCs/>
          <w:sz w:val="24"/>
          <w:szCs w:val="24"/>
        </w:rPr>
        <w:t>(T3).</w:t>
      </w:r>
    </w:p>
    <w:p w14:paraId="76610E19" w14:textId="77777777" w:rsidR="00DA1C9B" w:rsidRPr="00A55DE3" w:rsidRDefault="00DA1C9B" w:rsidP="00DA1C9B">
      <w:pPr>
        <w:spacing w:line="257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A55DE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4 lentelė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8075"/>
        <w:gridCol w:w="1701"/>
      </w:tblGrid>
      <w:tr w:rsidR="00DA1C9B" w:rsidRPr="005B308F" w14:paraId="0580155F" w14:textId="77777777" w:rsidTr="00E86141">
        <w:tc>
          <w:tcPr>
            <w:tcW w:w="8075" w:type="dxa"/>
            <w:vAlign w:val="center"/>
          </w:tcPr>
          <w:p w14:paraId="0466CAB9" w14:textId="77777777" w:rsidR="00DA1C9B" w:rsidRPr="005B308F" w:rsidRDefault="00DA1C9B" w:rsidP="00E8614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1701" w:type="dxa"/>
          </w:tcPr>
          <w:p w14:paraId="767BD593" w14:textId="77777777" w:rsidR="00DA1C9B" w:rsidRPr="005B308F" w:rsidRDefault="00DA1C9B" w:rsidP="00E8614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08F">
              <w:rPr>
                <w:rFonts w:ascii="Times New Roman" w:hAnsi="Times New Roman" w:cs="Times New Roman"/>
                <w:b/>
                <w:sz w:val="24"/>
                <w:szCs w:val="24"/>
              </w:rPr>
              <w:t>Skiriami</w:t>
            </w:r>
          </w:p>
          <w:p w14:paraId="07BD555A" w14:textId="77777777" w:rsidR="00DA1C9B" w:rsidRPr="005B308F" w:rsidRDefault="00DA1C9B" w:rsidP="00E8614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5B308F">
              <w:rPr>
                <w:rFonts w:ascii="Times New Roman" w:hAnsi="Times New Roman" w:cs="Times New Roman"/>
                <w:b/>
                <w:sz w:val="24"/>
                <w:szCs w:val="24"/>
              </w:rPr>
              <w:t>alai</w:t>
            </w:r>
          </w:p>
        </w:tc>
      </w:tr>
      <w:tr w:rsidR="00DA1C9B" w:rsidRPr="005B308F" w14:paraId="2FCECD93" w14:textId="77777777" w:rsidTr="00E86141">
        <w:tc>
          <w:tcPr>
            <w:tcW w:w="8075" w:type="dxa"/>
          </w:tcPr>
          <w:p w14:paraId="1DC08F6B" w14:textId="77777777" w:rsidR="00DA1C9B" w:rsidRPr="005B308F" w:rsidRDefault="00DA1C9B" w:rsidP="00E86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7A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Tiekėjas gauna 0 balų, jeigu </w:t>
            </w:r>
            <w:r w:rsidRPr="003A405A">
              <w:rPr>
                <w:rFonts w:ascii="Times New Roman" w:eastAsia="Calibri" w:hAnsi="Times New Roman" w:cs="Times New Roman"/>
                <w:sz w:val="24"/>
                <w:szCs w:val="24"/>
              </w:rPr>
              <w:t>pasiūlym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3A4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formos 2.3 lentelėje nenurodo </w:t>
            </w:r>
            <w:r w:rsidRPr="00DB4548">
              <w:rPr>
                <w:rFonts w:ascii="Times New Roman" w:hAnsi="Times New Roman" w:cs="Times New Roman"/>
                <w:bCs/>
                <w:sz w:val="24"/>
                <w:szCs w:val="24"/>
              </w:rPr>
              <w:t>siūlom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DB4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4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fizinių tarnybinių stočių, skirtų tarnybinių stočių virtualizavimo platformai, </w:t>
            </w:r>
            <w:r w:rsidRPr="00DB45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procesorių našum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o, arba nurodo, kad f</w:t>
            </w:r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izinių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arnybinių stočių, skirtų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arnybinių stočių virtualizavimo platformai, procesorių našumas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yra </w:t>
            </w:r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>ne mažiau negu:</w:t>
            </w:r>
          </w:p>
          <w:p w14:paraId="7F4AAE4B" w14:textId="77777777" w:rsidR="00DA1C9B" w:rsidRPr="005B308F" w:rsidRDefault="00DA1C9B" w:rsidP="00E8614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SPEC2017_int_rate_base, skaičiuojant per CPU branduolį (SPEC2017_int_rate_base / # </w:t>
            </w:r>
            <w:proofErr w:type="spellStart"/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>Cores</w:t>
            </w:r>
            <w:proofErr w:type="spellEnd"/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>) ne mažiau 9,5;</w:t>
            </w:r>
          </w:p>
          <w:p w14:paraId="6F0D7CD0" w14:textId="77777777" w:rsidR="00DA1C9B" w:rsidRPr="005B308F" w:rsidRDefault="00DA1C9B" w:rsidP="00E8614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SPEC2017_fp_rate_base, skaičiuojant per CPU branduolį (SPEC2017_fp_rate_base / # </w:t>
            </w:r>
            <w:proofErr w:type="spellStart"/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>Cores</w:t>
            </w:r>
            <w:proofErr w:type="spellEnd"/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>) ne mažiau 11,0.</w:t>
            </w:r>
          </w:p>
        </w:tc>
        <w:tc>
          <w:tcPr>
            <w:tcW w:w="1701" w:type="dxa"/>
          </w:tcPr>
          <w:p w14:paraId="737A2448" w14:textId="77777777" w:rsidR="00DA1C9B" w:rsidRPr="005B308F" w:rsidRDefault="00DA1C9B" w:rsidP="00E86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0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 balų</w:t>
            </w:r>
          </w:p>
        </w:tc>
      </w:tr>
      <w:tr w:rsidR="00DA1C9B" w:rsidRPr="005B308F" w14:paraId="36D9AC81" w14:textId="77777777" w:rsidTr="00E86141">
        <w:tc>
          <w:tcPr>
            <w:tcW w:w="8075" w:type="dxa"/>
          </w:tcPr>
          <w:p w14:paraId="2BB15E24" w14:textId="77777777" w:rsidR="00DA1C9B" w:rsidRPr="005B308F" w:rsidRDefault="00DA1C9B" w:rsidP="00E86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7A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Tiekėjas gauna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balus</w:t>
            </w:r>
            <w:r w:rsidRPr="00797A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jeigu </w:t>
            </w:r>
            <w:r w:rsidRPr="003A405A">
              <w:rPr>
                <w:rFonts w:ascii="Times New Roman" w:eastAsia="Calibri" w:hAnsi="Times New Roman" w:cs="Times New Roman"/>
                <w:sz w:val="24"/>
                <w:szCs w:val="24"/>
              </w:rPr>
              <w:t>pasiūlym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3A4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formos 2.3 lentelėje nurodo, kad siūlomo f</w:t>
            </w:r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izinių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arnybinių stočių, skirtų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arnybinių stočių virtualizavimo platformai, procesorių našumas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yra </w:t>
            </w:r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>ne mažiau negu:</w:t>
            </w:r>
          </w:p>
          <w:p w14:paraId="4E754778" w14:textId="77777777" w:rsidR="00DA1C9B" w:rsidRPr="005B308F" w:rsidRDefault="00DA1C9B" w:rsidP="00E8614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SPEC2017_int_rate_base, skaičiuojant per CPU branduolį (SPEC2017_int_rate_base / # </w:t>
            </w:r>
            <w:proofErr w:type="spellStart"/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>Cores</w:t>
            </w:r>
            <w:proofErr w:type="spellEnd"/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>) ne mažiau 10,5;</w:t>
            </w:r>
          </w:p>
          <w:p w14:paraId="0443AFDF" w14:textId="77777777" w:rsidR="00DA1C9B" w:rsidRPr="005B308F" w:rsidRDefault="00DA1C9B" w:rsidP="00E8614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SPEC2017_fp_rate_base, skaičiuojant per CPU branduolį (SPEC2017_fp_rate_base / # </w:t>
            </w:r>
            <w:proofErr w:type="spellStart"/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>Cores</w:t>
            </w:r>
            <w:proofErr w:type="spellEnd"/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>) ne mažiau 13,0.</w:t>
            </w:r>
          </w:p>
        </w:tc>
        <w:tc>
          <w:tcPr>
            <w:tcW w:w="1701" w:type="dxa"/>
          </w:tcPr>
          <w:p w14:paraId="33BEB95B" w14:textId="77777777" w:rsidR="00DA1C9B" w:rsidRPr="005B308F" w:rsidRDefault="00DA1C9B" w:rsidP="00E861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72F6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balai</w:t>
            </w:r>
          </w:p>
        </w:tc>
      </w:tr>
      <w:tr w:rsidR="00DA1C9B" w:rsidRPr="005B308F" w14:paraId="771BBDBE" w14:textId="77777777" w:rsidTr="00E86141">
        <w:tc>
          <w:tcPr>
            <w:tcW w:w="8075" w:type="dxa"/>
          </w:tcPr>
          <w:p w14:paraId="57BB9F89" w14:textId="77777777" w:rsidR="00DA1C9B" w:rsidRPr="005B308F" w:rsidRDefault="00DA1C9B" w:rsidP="00E86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7A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Tiekėjas gauna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balų</w:t>
            </w:r>
            <w:r w:rsidRPr="00797A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jeigu </w:t>
            </w:r>
            <w:r w:rsidRPr="003A405A">
              <w:rPr>
                <w:rFonts w:ascii="Times New Roman" w:eastAsia="Calibri" w:hAnsi="Times New Roman" w:cs="Times New Roman"/>
                <w:sz w:val="24"/>
                <w:szCs w:val="24"/>
              </w:rPr>
              <w:t>pasiūlym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3A4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formos 2.3 lentelėje nurodo, kad siūlomo f</w:t>
            </w:r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izinių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arnybinių stočių, skirtų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arnybinių stočių virtualizavimo platformai, procesorių našumas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yra </w:t>
            </w:r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>ne mažiau negu:</w:t>
            </w:r>
          </w:p>
          <w:p w14:paraId="53E44055" w14:textId="77777777" w:rsidR="00DA1C9B" w:rsidRPr="005B308F" w:rsidRDefault="00DA1C9B" w:rsidP="00E8614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SPEC2017_int_rate_base, skaičiuojant per CPU branduolį (SPEC2017_int_rate_base / # </w:t>
            </w:r>
            <w:proofErr w:type="spellStart"/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>Cores</w:t>
            </w:r>
            <w:proofErr w:type="spellEnd"/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>) ne mažiau 11,0;</w:t>
            </w:r>
          </w:p>
          <w:p w14:paraId="7684D67D" w14:textId="77777777" w:rsidR="00DA1C9B" w:rsidRPr="005B308F" w:rsidRDefault="00DA1C9B" w:rsidP="00E8614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SPEC2017_fp_rate_base, skaičiuojant per CPU branduolį (SPEC2017_fp_rate_base / # </w:t>
            </w:r>
            <w:proofErr w:type="spellStart"/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>Cores</w:t>
            </w:r>
            <w:proofErr w:type="spellEnd"/>
            <w:r w:rsidRPr="005B308F">
              <w:rPr>
                <w:rFonts w:ascii="Times New Roman" w:hAnsi="Times New Roman" w:cs="Times New Roman"/>
                <w:bCs/>
                <w:sz w:val="24"/>
                <w:szCs w:val="24"/>
              </w:rPr>
              <w:t>) ne mažiau 13,50.</w:t>
            </w:r>
          </w:p>
        </w:tc>
        <w:tc>
          <w:tcPr>
            <w:tcW w:w="1701" w:type="dxa"/>
          </w:tcPr>
          <w:p w14:paraId="612582E7" w14:textId="77777777" w:rsidR="00DA1C9B" w:rsidRPr="005B308F" w:rsidRDefault="00DA1C9B" w:rsidP="00E861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72F6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balų</w:t>
            </w:r>
          </w:p>
        </w:tc>
      </w:tr>
    </w:tbl>
    <w:p w14:paraId="7E4B1C74" w14:textId="77777777" w:rsidR="00DA1C9B" w:rsidRDefault="00DA1C9B" w:rsidP="00DA1C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8F86DA" w14:textId="77777777" w:rsidR="00DA1C9B" w:rsidRPr="005B308F" w:rsidRDefault="00DA1C9B" w:rsidP="00DA1C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DA1C9B" w:rsidRPr="005B308F" w:rsidSect="009E607A">
      <w:headerReference w:type="default" r:id="rId11"/>
      <w:footerReference w:type="default" r:id="rId12"/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59458" w14:textId="77777777" w:rsidR="0029766F" w:rsidRDefault="0029766F" w:rsidP="00705365">
      <w:pPr>
        <w:spacing w:after="0" w:line="240" w:lineRule="auto"/>
      </w:pPr>
      <w:r>
        <w:separator/>
      </w:r>
    </w:p>
  </w:endnote>
  <w:endnote w:type="continuationSeparator" w:id="0">
    <w:p w14:paraId="3B26200E" w14:textId="77777777" w:rsidR="0029766F" w:rsidRDefault="0029766F" w:rsidP="00705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39527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A6E7BBD" w14:textId="4F2AEF97" w:rsidR="00B51761" w:rsidRPr="00B51761" w:rsidRDefault="00B51761">
        <w:pPr>
          <w:pStyle w:val="Porat"/>
          <w:jc w:val="center"/>
          <w:rPr>
            <w:rFonts w:ascii="Times New Roman" w:hAnsi="Times New Roman" w:cs="Times New Roman"/>
          </w:rPr>
        </w:pPr>
        <w:r w:rsidRPr="00B51761">
          <w:rPr>
            <w:rFonts w:ascii="Times New Roman" w:hAnsi="Times New Roman" w:cs="Times New Roman"/>
          </w:rPr>
          <w:fldChar w:fldCharType="begin"/>
        </w:r>
        <w:r w:rsidRPr="00B51761">
          <w:rPr>
            <w:rFonts w:ascii="Times New Roman" w:hAnsi="Times New Roman" w:cs="Times New Roman"/>
          </w:rPr>
          <w:instrText>PAGE   \* MERGEFORMAT</w:instrText>
        </w:r>
        <w:r w:rsidRPr="00B51761">
          <w:rPr>
            <w:rFonts w:ascii="Times New Roman" w:hAnsi="Times New Roman" w:cs="Times New Roman"/>
          </w:rPr>
          <w:fldChar w:fldCharType="separate"/>
        </w:r>
        <w:r w:rsidRPr="00B51761">
          <w:rPr>
            <w:rFonts w:ascii="Times New Roman" w:hAnsi="Times New Roman" w:cs="Times New Roman"/>
          </w:rPr>
          <w:t>2</w:t>
        </w:r>
        <w:r w:rsidRPr="00B51761">
          <w:rPr>
            <w:rFonts w:ascii="Times New Roman" w:hAnsi="Times New Roman" w:cs="Times New Roman"/>
          </w:rPr>
          <w:fldChar w:fldCharType="end"/>
        </w:r>
      </w:p>
    </w:sdtContent>
  </w:sdt>
  <w:p w14:paraId="2A358638" w14:textId="77777777" w:rsidR="00B51761" w:rsidRDefault="00B5176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A381A" w14:textId="77777777" w:rsidR="0029766F" w:rsidRDefault="0029766F" w:rsidP="00705365">
      <w:pPr>
        <w:spacing w:after="0" w:line="240" w:lineRule="auto"/>
      </w:pPr>
      <w:r>
        <w:separator/>
      </w:r>
    </w:p>
  </w:footnote>
  <w:footnote w:type="continuationSeparator" w:id="0">
    <w:p w14:paraId="3BEB33F4" w14:textId="77777777" w:rsidR="0029766F" w:rsidRDefault="0029766F" w:rsidP="00705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900DA" w14:textId="780F4817" w:rsidR="00705365" w:rsidRPr="007076ED" w:rsidRDefault="007076ED" w:rsidP="007076ED">
    <w:pPr>
      <w:pStyle w:val="Antrats"/>
      <w:jc w:val="right"/>
      <w:rPr>
        <w:rFonts w:ascii="Times New Roman" w:hAnsi="Times New Roman" w:cs="Times New Roman"/>
      </w:rPr>
    </w:pPr>
    <w:r w:rsidRPr="007076ED">
      <w:rPr>
        <w:rFonts w:ascii="Times New Roman" w:hAnsi="Times New Roman" w:cs="Times New Roman"/>
      </w:rPr>
      <w:t>4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10A"/>
    <w:multiLevelType w:val="hybridMultilevel"/>
    <w:tmpl w:val="7400C4C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AA5D8B"/>
    <w:multiLevelType w:val="multilevel"/>
    <w:tmpl w:val="A86844D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374B7D"/>
    <w:multiLevelType w:val="hybridMultilevel"/>
    <w:tmpl w:val="B040F760"/>
    <w:lvl w:ilvl="0" w:tplc="D9342484">
      <w:start w:val="1"/>
      <w:numFmt w:val="decimal"/>
      <w:lvlText w:val="%1."/>
      <w:lvlJc w:val="left"/>
      <w:pPr>
        <w:ind w:left="6570" w:hanging="360"/>
      </w:pPr>
      <w:rPr>
        <w:rFonts w:hint="default"/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97772"/>
    <w:multiLevelType w:val="hybridMultilevel"/>
    <w:tmpl w:val="497A2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E1663"/>
    <w:multiLevelType w:val="multilevel"/>
    <w:tmpl w:val="5E86994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F35A58"/>
    <w:multiLevelType w:val="hybridMultilevel"/>
    <w:tmpl w:val="F1BC3AAC"/>
    <w:lvl w:ilvl="0" w:tplc="43E2C6B6">
      <w:start w:val="6"/>
      <w:numFmt w:val="decimal"/>
      <w:lvlText w:val="%1."/>
      <w:lvlJc w:val="left"/>
      <w:pPr>
        <w:ind w:left="1212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num w:numId="1" w16cid:durableId="471336678">
    <w:abstractNumId w:val="0"/>
  </w:num>
  <w:num w:numId="2" w16cid:durableId="1820927078">
    <w:abstractNumId w:val="3"/>
  </w:num>
  <w:num w:numId="3" w16cid:durableId="1251885278">
    <w:abstractNumId w:val="2"/>
  </w:num>
  <w:num w:numId="4" w16cid:durableId="182525296">
    <w:abstractNumId w:val="1"/>
  </w:num>
  <w:num w:numId="5" w16cid:durableId="1631130168">
    <w:abstractNumId w:val="4"/>
  </w:num>
  <w:num w:numId="6" w16cid:durableId="1577939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7A"/>
    <w:rsid w:val="00036B76"/>
    <w:rsid w:val="00036ED4"/>
    <w:rsid w:val="00047B27"/>
    <w:rsid w:val="00063E50"/>
    <w:rsid w:val="00074E1C"/>
    <w:rsid w:val="000F4BED"/>
    <w:rsid w:val="000F65EF"/>
    <w:rsid w:val="0012022D"/>
    <w:rsid w:val="00150857"/>
    <w:rsid w:val="00156E7E"/>
    <w:rsid w:val="00173B7E"/>
    <w:rsid w:val="0017612B"/>
    <w:rsid w:val="00182FE6"/>
    <w:rsid w:val="00185DEF"/>
    <w:rsid w:val="001A4658"/>
    <w:rsid w:val="002379BB"/>
    <w:rsid w:val="0024439C"/>
    <w:rsid w:val="002740F2"/>
    <w:rsid w:val="002922C9"/>
    <w:rsid w:val="0029766F"/>
    <w:rsid w:val="002C041D"/>
    <w:rsid w:val="002E73A5"/>
    <w:rsid w:val="003406D9"/>
    <w:rsid w:val="00347291"/>
    <w:rsid w:val="00351F8B"/>
    <w:rsid w:val="003726A3"/>
    <w:rsid w:val="003A405A"/>
    <w:rsid w:val="003D53D0"/>
    <w:rsid w:val="003F65A6"/>
    <w:rsid w:val="00405FDE"/>
    <w:rsid w:val="00414EB0"/>
    <w:rsid w:val="004172E4"/>
    <w:rsid w:val="00441A9F"/>
    <w:rsid w:val="00450917"/>
    <w:rsid w:val="004C3833"/>
    <w:rsid w:val="004F5F5A"/>
    <w:rsid w:val="004F72DC"/>
    <w:rsid w:val="00551A96"/>
    <w:rsid w:val="00583074"/>
    <w:rsid w:val="005A6191"/>
    <w:rsid w:val="005B308F"/>
    <w:rsid w:val="005C037F"/>
    <w:rsid w:val="005C5CCD"/>
    <w:rsid w:val="00603445"/>
    <w:rsid w:val="00625678"/>
    <w:rsid w:val="00660017"/>
    <w:rsid w:val="00705365"/>
    <w:rsid w:val="007076ED"/>
    <w:rsid w:val="00722C85"/>
    <w:rsid w:val="00763603"/>
    <w:rsid w:val="007816BE"/>
    <w:rsid w:val="00797ADE"/>
    <w:rsid w:val="007B6E34"/>
    <w:rsid w:val="007C1221"/>
    <w:rsid w:val="007C62C7"/>
    <w:rsid w:val="007D0D9D"/>
    <w:rsid w:val="008005FE"/>
    <w:rsid w:val="0085043E"/>
    <w:rsid w:val="00852945"/>
    <w:rsid w:val="00876458"/>
    <w:rsid w:val="0088182D"/>
    <w:rsid w:val="008B6201"/>
    <w:rsid w:val="008E20F9"/>
    <w:rsid w:val="008E644F"/>
    <w:rsid w:val="009669A7"/>
    <w:rsid w:val="009B2341"/>
    <w:rsid w:val="009B4F78"/>
    <w:rsid w:val="009C0044"/>
    <w:rsid w:val="009E0938"/>
    <w:rsid w:val="009E607A"/>
    <w:rsid w:val="00A10965"/>
    <w:rsid w:val="00A12C62"/>
    <w:rsid w:val="00A149F6"/>
    <w:rsid w:val="00A306A5"/>
    <w:rsid w:val="00A55DE3"/>
    <w:rsid w:val="00A66EA3"/>
    <w:rsid w:val="00A7308E"/>
    <w:rsid w:val="00A7581E"/>
    <w:rsid w:val="00AA7EAA"/>
    <w:rsid w:val="00AC432D"/>
    <w:rsid w:val="00AC49DB"/>
    <w:rsid w:val="00B40DDB"/>
    <w:rsid w:val="00B51761"/>
    <w:rsid w:val="00B9288F"/>
    <w:rsid w:val="00BB7DDE"/>
    <w:rsid w:val="00C03C78"/>
    <w:rsid w:val="00C23FF3"/>
    <w:rsid w:val="00C56C1E"/>
    <w:rsid w:val="00C6605C"/>
    <w:rsid w:val="00C74D5E"/>
    <w:rsid w:val="00C8018C"/>
    <w:rsid w:val="00CB1C4C"/>
    <w:rsid w:val="00CD5BAF"/>
    <w:rsid w:val="00CD714C"/>
    <w:rsid w:val="00CE3823"/>
    <w:rsid w:val="00CF74C7"/>
    <w:rsid w:val="00D12AB0"/>
    <w:rsid w:val="00D43CCE"/>
    <w:rsid w:val="00D45268"/>
    <w:rsid w:val="00D95710"/>
    <w:rsid w:val="00DA1C9B"/>
    <w:rsid w:val="00DA4B48"/>
    <w:rsid w:val="00DB4548"/>
    <w:rsid w:val="00DB485A"/>
    <w:rsid w:val="00DB67C7"/>
    <w:rsid w:val="00E026F9"/>
    <w:rsid w:val="00E379F1"/>
    <w:rsid w:val="00E550A7"/>
    <w:rsid w:val="00E7321F"/>
    <w:rsid w:val="00E93782"/>
    <w:rsid w:val="00ED3506"/>
    <w:rsid w:val="00EE199D"/>
    <w:rsid w:val="00EF0895"/>
    <w:rsid w:val="00F01688"/>
    <w:rsid w:val="00F34820"/>
    <w:rsid w:val="00F35928"/>
    <w:rsid w:val="00F55E90"/>
    <w:rsid w:val="00F67948"/>
    <w:rsid w:val="00F75C65"/>
    <w:rsid w:val="00F92093"/>
    <w:rsid w:val="02CC22C0"/>
    <w:rsid w:val="077339FD"/>
    <w:rsid w:val="0D2A3720"/>
    <w:rsid w:val="0D4CEC2F"/>
    <w:rsid w:val="0EEFD25E"/>
    <w:rsid w:val="104DD3B3"/>
    <w:rsid w:val="170719B6"/>
    <w:rsid w:val="17F8FD1B"/>
    <w:rsid w:val="1891CFB9"/>
    <w:rsid w:val="1CCFD46C"/>
    <w:rsid w:val="215D759E"/>
    <w:rsid w:val="24F2DBFA"/>
    <w:rsid w:val="26C646C4"/>
    <w:rsid w:val="2B403288"/>
    <w:rsid w:val="2EA2373B"/>
    <w:rsid w:val="30E2E0C3"/>
    <w:rsid w:val="33D3EC8A"/>
    <w:rsid w:val="3A6B9BDD"/>
    <w:rsid w:val="3AA24D35"/>
    <w:rsid w:val="4A34CAD0"/>
    <w:rsid w:val="4AC590D3"/>
    <w:rsid w:val="4F8408D0"/>
    <w:rsid w:val="512A1E68"/>
    <w:rsid w:val="57C2F2EB"/>
    <w:rsid w:val="5EEA476C"/>
    <w:rsid w:val="618221E2"/>
    <w:rsid w:val="65BF537E"/>
    <w:rsid w:val="672F6DDE"/>
    <w:rsid w:val="677FDF9E"/>
    <w:rsid w:val="698246FD"/>
    <w:rsid w:val="741F6A2D"/>
    <w:rsid w:val="7AF99AA7"/>
    <w:rsid w:val="7BBB5746"/>
    <w:rsid w:val="7E05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DA31"/>
  <w15:chartTrackingRefBased/>
  <w15:docId w15:val="{0B01CA5E-1E6B-43BD-A81B-32E67F66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607A"/>
    <w:rPr>
      <w:kern w:val="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6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6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6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6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6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6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6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6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6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6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6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6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607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607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607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607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607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607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6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6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6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6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6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607A"/>
    <w:rPr>
      <w:i/>
      <w:iCs/>
      <w:color w:val="404040" w:themeColor="text1" w:themeTint="BF"/>
    </w:rPr>
  </w:style>
  <w:style w:type="paragraph" w:styleId="Sraopastraipa">
    <w:name w:val="List Paragraph"/>
    <w:aliases w:val="List Paragraph Red,Numbering,ERP-List Paragraph,List Paragraph1,List Paragraph11,Bullet EY,List Paragraph2,List Paragraph21,Lentele,lp1,Bullet 1,Use Case List Paragraph,Normal1,NRD_Numbering,NRD_antraste_2,Bullet points,Buletai,punktai"/>
    <w:basedOn w:val="prastasis"/>
    <w:link w:val="SraopastraipaDiagrama"/>
    <w:uiPriority w:val="34"/>
    <w:qFormat/>
    <w:rsid w:val="009E607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E607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6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607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E607A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E607A"/>
    <w:pPr>
      <w:spacing w:after="0" w:line="240" w:lineRule="auto"/>
    </w:pPr>
    <w:rPr>
      <w:rFonts w:ascii="Calibri" w:hAnsi="Calibri" w:cstheme="minorHAnsi"/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C03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C037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C037F"/>
    <w:rPr>
      <w:kern w:val="0"/>
      <w:sz w:val="20"/>
      <w:szCs w:val="20"/>
      <w:lang w:val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C03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C037F"/>
    <w:rPr>
      <w:b/>
      <w:bCs/>
      <w:kern w:val="0"/>
      <w:sz w:val="20"/>
      <w:szCs w:val="20"/>
      <w:lang w:val="lt-LT"/>
      <w14:ligatures w14:val="none"/>
    </w:rPr>
  </w:style>
  <w:style w:type="character" w:customStyle="1" w:styleId="SraopastraipaDiagrama">
    <w:name w:val="Sąrašo pastraipa Diagrama"/>
    <w:aliases w:val="List Paragraph Red Diagrama,Numbering Diagrama,ERP-List Paragraph Diagrama,List Paragraph1 Diagrama,List Paragraph11 Diagrama,Bullet EY Diagrama,List Paragraph2 Diagrama,List Paragraph21 Diagrama,Lentele Diagrama,lp1 Diagrama"/>
    <w:link w:val="Sraopastraipa"/>
    <w:uiPriority w:val="34"/>
    <w:qFormat/>
    <w:locked/>
    <w:rsid w:val="003F65A6"/>
    <w:rPr>
      <w:kern w:val="0"/>
      <w:lang w:val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705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05365"/>
    <w:rPr>
      <w:kern w:val="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05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05365"/>
    <w:rPr>
      <w:kern w:val="0"/>
      <w:lang w:val="lt-LT"/>
      <w14:ligatures w14:val="none"/>
    </w:rPr>
  </w:style>
  <w:style w:type="paragraph" w:styleId="Pataisymai">
    <w:name w:val="Revision"/>
    <w:hidden/>
    <w:uiPriority w:val="99"/>
    <w:semiHidden/>
    <w:rsid w:val="002740F2"/>
    <w:pPr>
      <w:spacing w:after="0" w:line="240" w:lineRule="auto"/>
    </w:pPr>
    <w:rPr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7" ma:contentTypeDescription="Kurkite naują dokumentą." ma:contentTypeScope="" ma:versionID="d8a2bf34473274eec90b4b098eca0d39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4dc8b5a5585890b1800c718b8e0c5ef7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FF254C-C5C6-4806-9146-9E522BD595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AC4E2-5528-494B-ACF7-88D6BFC4BE19}">
  <ds:schemaRefs>
    <ds:schemaRef ds:uri="http://schemas.microsoft.com/office/2006/metadata/properties"/>
    <ds:schemaRef ds:uri="http://schemas.microsoft.com/office/infopath/2007/PartnerControls"/>
    <ds:schemaRef ds:uri="8fa2b46d-e0e5-4105-8197-5a0c810b9da7"/>
    <ds:schemaRef ds:uri="7ed14601-a767-49df-87ac-319a5ad53ef2"/>
  </ds:schemaRefs>
</ds:datastoreItem>
</file>

<file path=customXml/itemProps3.xml><?xml version="1.0" encoding="utf-8"?>
<ds:datastoreItem xmlns:ds="http://schemas.openxmlformats.org/officeDocument/2006/customXml" ds:itemID="{76F0262A-957D-4314-9274-CAC8B111E4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5396EB-34B3-4E91-83DD-5500627DA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3710</Words>
  <Characters>2116</Characters>
  <Application>Microsoft Office Word</Application>
  <DocSecurity>0</DocSecurity>
  <Lines>17</Lines>
  <Paragraphs>11</Paragraphs>
  <ScaleCrop>false</ScaleCrop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Ulkė</dc:creator>
  <cp:keywords/>
  <dc:description/>
  <cp:lastModifiedBy>Svetlana Starinskaja</cp:lastModifiedBy>
  <cp:revision>103</cp:revision>
  <dcterms:created xsi:type="dcterms:W3CDTF">2024-07-04T11:09:00Z</dcterms:created>
  <dcterms:modified xsi:type="dcterms:W3CDTF">2025-02-06T13:46:00Z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MediaServiceImageTags">
    <vt:lpwstr/>
  </property>
</Properties>
</file>