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Pr>
          <w:rFonts w:ascii="Times New Roman" w:eastAsia="Times New Roman" w:hAnsi="Times New Roman" w:cs="Times New Roman"/>
          <w:bCs/>
          <w:sz w:val="18"/>
          <w:szCs w:val="18"/>
          <w:lang w:val="en-US"/>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7E029DBB" w14:textId="565AA07A" w:rsidR="00114721" w:rsidRPr="00BF37F2" w:rsidRDefault="00003618" w:rsidP="00BF37F2">
      <w:pPr>
        <w:spacing w:after="0" w:line="240" w:lineRule="auto"/>
        <w:jc w:val="center"/>
        <w:rPr>
          <w:rFonts w:ascii="Times New Roman" w:eastAsia="Calibri" w:hAnsi="Times New Roman" w:cs="Times New Roman"/>
          <w:b/>
          <w:sz w:val="24"/>
          <w:szCs w:val="24"/>
        </w:rPr>
      </w:pPr>
      <w:r w:rsidRPr="00003618">
        <w:rPr>
          <w:rFonts w:ascii="Times New Roman" w:eastAsia="Times New Roman" w:hAnsi="Times New Roman" w:cs="Times New Roman"/>
          <w:b/>
          <w:sz w:val="24"/>
          <w:szCs w:val="24"/>
          <w:lang w:eastAsia="ar-SA"/>
        </w:rPr>
        <w:t xml:space="preserve">NENUTRŪKSTAMOJO MAITINIMO ŠALTINIŲ </w:t>
      </w:r>
      <w:r w:rsidR="00AA0126"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22BAEA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BF37F2">
              <w:rPr>
                <w:b w:val="0"/>
                <w:bCs w:val="0"/>
                <w:webHidden/>
              </w:rPr>
              <w:t>9</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24845A4A"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10</w:t>
            </w:r>
          </w:hyperlink>
        </w:p>
        <w:p w14:paraId="16E0AC80" w14:textId="033A258C"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BF37F2">
            <w:rPr>
              <w:b w:val="0"/>
              <w:bCs w:val="0"/>
            </w:rPr>
            <w:t>3</w:t>
          </w:r>
        </w:p>
        <w:p w14:paraId="44465B6E" w14:textId="05674BD6"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5A2E55E3" w14:textId="15D0415B"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3EA1D7E1" w14:textId="1C38E47B"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334B63">
            <w:rPr>
              <w:b w:val="0"/>
              <w:bCs w:val="0"/>
            </w:rPr>
            <w:t>5</w:t>
          </w:r>
        </w:p>
        <w:p w14:paraId="61E3BA96" w14:textId="08805F74"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5</w:t>
          </w:r>
        </w:p>
        <w:p w14:paraId="42B38ABF" w14:textId="421D600D"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5745AAAD" w14:textId="59F76AC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26B1A131" w14:textId="33538C5E"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8</w:t>
          </w:r>
        </w:p>
        <w:p w14:paraId="07819DB6" w14:textId="6076511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9</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53B8738A"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20</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77777777"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Sutarties projektas - prekių pirkimo-pardavimo specialiosios sutarties sąlygos</w:t>
      </w:r>
      <w:r>
        <w:rPr>
          <w:szCs w:val="24"/>
        </w:rPr>
        <w:t>;</w:t>
      </w:r>
    </w:p>
    <w:p w14:paraId="3B26ACD0" w14:textId="77777777"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bendrosios</w:t>
      </w:r>
      <w:r w:rsidRPr="004B12B1">
        <w:rPr>
          <w:szCs w:val="24"/>
        </w:rPr>
        <w:t xml:space="preserve"> 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61E3D0AF"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003618" w:rsidRPr="00003618">
        <w:rPr>
          <w:szCs w:val="24"/>
          <w:lang w:eastAsia="ar-SA"/>
        </w:rPr>
        <w:t xml:space="preserve">Nenutrūkstamojo maitinimo šaltinių </w:t>
      </w:r>
      <w:r w:rsidR="00145D3A" w:rsidRPr="00145D3A">
        <w:rPr>
          <w:szCs w:val="24"/>
          <w:lang w:eastAsia="ar-SA"/>
        </w:rPr>
        <w:t>pirkim</w:t>
      </w:r>
      <w:r w:rsidR="00145D3A">
        <w:rPr>
          <w:szCs w:val="24"/>
          <w:lang w:eastAsia="ar-SA"/>
        </w:rPr>
        <w:t xml:space="preserve">ą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4A1F7C">
        <w:rPr>
          <w:szCs w:val="24"/>
        </w:rPr>
        <w:t>Prekės</w:t>
      </w:r>
      <w:r w:rsidR="00FE4FB7" w:rsidRPr="00217401">
        <w:rPr>
          <w:szCs w:val="24"/>
        </w:rPr>
        <w:t xml:space="preserve"> </w:t>
      </w:r>
      <w:r w:rsidRPr="00217401">
        <w:rPr>
          <w:szCs w:val="24"/>
        </w:rPr>
        <w:t>koda</w:t>
      </w:r>
      <w:r w:rsidR="00003618">
        <w:rPr>
          <w:szCs w:val="24"/>
        </w:rPr>
        <w:t>i</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r w:rsidR="00003618" w:rsidRPr="00003618">
        <w:rPr>
          <w:szCs w:val="24"/>
          <w:lang w:eastAsia="ar-SA"/>
        </w:rPr>
        <w:t>31400000-0; 31154000-0</w:t>
      </w:r>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5BA37AB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5B2162FB" w:rsidR="00392ED8" w:rsidRPr="0092266F" w:rsidRDefault="00392ED8" w:rsidP="00F1125F">
      <w:pPr>
        <w:pStyle w:val="ListParagraph"/>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Viešųjų pirkimų skyriaus vyriausioji specialistė </w:t>
      </w:r>
      <w:r w:rsidR="004A1F7C" w:rsidRPr="0092266F">
        <w:rPr>
          <w:szCs w:val="24"/>
        </w:rPr>
        <w:t xml:space="preserve">Ilona Stankevič, </w:t>
      </w:r>
      <w:r w:rsidR="004A1F7C">
        <w:rPr>
          <w:szCs w:val="24"/>
        </w:rPr>
        <w:t>mob</w:t>
      </w:r>
      <w:r w:rsidR="004A1F7C" w:rsidRPr="0092266F">
        <w:rPr>
          <w:szCs w:val="24"/>
        </w:rPr>
        <w:t xml:space="preserve">. </w:t>
      </w:r>
      <w:r w:rsidR="004A1F7C">
        <w:rPr>
          <w:szCs w:val="24"/>
        </w:rPr>
        <w:t>+</w:t>
      </w:r>
      <w:r w:rsidR="004A1F7C">
        <w:rPr>
          <w:szCs w:val="24"/>
          <w:lang w:val="en-US"/>
        </w:rPr>
        <w:t>370</w:t>
      </w:r>
      <w:r w:rsidR="004A1F7C" w:rsidRPr="0092266F">
        <w:rPr>
          <w:szCs w:val="24"/>
        </w:rPr>
        <w:t> 658 59910</w:t>
      </w:r>
      <w:r w:rsidR="004A1F7C">
        <w:rPr>
          <w:szCs w:val="24"/>
        </w:rPr>
        <w:t xml:space="preserve">, </w:t>
      </w:r>
      <w:r w:rsidR="004A1F7C" w:rsidRPr="0092266F">
        <w:rPr>
          <w:szCs w:val="24"/>
        </w:rPr>
        <w:t xml:space="preserve">el. p. </w:t>
      </w:r>
      <w:hyperlink r:id="rId13" w:history="1">
        <w:r w:rsidR="004A1F7C" w:rsidRPr="0092266F">
          <w:rPr>
            <w:rStyle w:val="Hyperlink"/>
            <w:szCs w:val="24"/>
          </w:rPr>
          <w:t>ilona.stankevic@vert.lt</w:t>
        </w:r>
      </w:hyperlink>
      <w:r w:rsidR="004A1F7C" w:rsidRPr="0092266F">
        <w:rPr>
          <w:szCs w:val="24"/>
        </w:rPr>
        <w:t xml:space="preserve">, </w:t>
      </w:r>
      <w:r w:rsidR="00DB1FAF" w:rsidRPr="0092266F">
        <w:rPr>
          <w:szCs w:val="24"/>
        </w:rPr>
        <w:t xml:space="preserve">Viešųjų pirkimų skyriaus vedėja Raimonda Žukauskaitė, mob. </w:t>
      </w:r>
      <w:r w:rsidR="004A1F7C">
        <w:rPr>
          <w:color w:val="000000"/>
          <w:szCs w:val="24"/>
          <w:shd w:val="clear" w:color="auto" w:fill="FFFFFF"/>
        </w:rPr>
        <w:t>+370</w:t>
      </w:r>
      <w:r w:rsidR="00DB1FAF" w:rsidRPr="0092266F">
        <w:rPr>
          <w:color w:val="000000"/>
          <w:szCs w:val="24"/>
          <w:shd w:val="clear" w:color="auto" w:fill="FFFFFF"/>
        </w:rPr>
        <w:t xml:space="preserve"> 615 79380, el. p. </w:t>
      </w:r>
      <w:hyperlink r:id="rId14" w:history="1">
        <w:r w:rsidR="00DB1FAF" w:rsidRPr="0092266F">
          <w:rPr>
            <w:rStyle w:val="Hyperlink"/>
            <w:szCs w:val="24"/>
            <w:shd w:val="clear" w:color="auto" w:fill="FFFFFF"/>
          </w:rPr>
          <w:t>raimonda.zukauskaite@vert.lt</w:t>
        </w:r>
      </w:hyperlink>
      <w:r w:rsidR="0092266F">
        <w:rPr>
          <w:rStyle w:val="Hyperlink"/>
          <w:color w:val="auto"/>
          <w:szCs w:val="24"/>
          <w:u w:val="none"/>
          <w:shd w:val="clear" w:color="auto" w:fill="FFFFFF"/>
        </w:rPr>
        <w:t xml:space="preserve"> ir</w:t>
      </w:r>
      <w:r w:rsidR="00DB1FAF" w:rsidRPr="0092266F">
        <w:rPr>
          <w:rStyle w:val="Hyperlink"/>
          <w:color w:val="auto"/>
          <w:szCs w:val="24"/>
          <w:u w:val="none"/>
          <w:shd w:val="clear" w:color="auto" w:fill="FFFFFF"/>
        </w:rPr>
        <w:t xml:space="preserve"> </w:t>
      </w:r>
      <w:r w:rsidR="00074EB0" w:rsidRPr="0092266F">
        <w:rPr>
          <w:szCs w:val="24"/>
        </w:rPr>
        <w:t xml:space="preserve">Viešųjų pirkimų skyriaus vyriausioji specialistė </w:t>
      </w:r>
      <w:r w:rsidR="004A1F7C" w:rsidRPr="0092266F">
        <w:rPr>
          <w:szCs w:val="24"/>
        </w:rPr>
        <w:t xml:space="preserve">Jolanta Pavlovskienė, </w:t>
      </w:r>
      <w:r w:rsidR="003332E9">
        <w:rPr>
          <w:szCs w:val="24"/>
        </w:rPr>
        <w:t>mob</w:t>
      </w:r>
      <w:r w:rsidR="004A1F7C" w:rsidRPr="0092266F">
        <w:rPr>
          <w:szCs w:val="24"/>
        </w:rPr>
        <w:t>.</w:t>
      </w:r>
      <w:r w:rsidR="004A1F7C">
        <w:rPr>
          <w:szCs w:val="24"/>
        </w:rPr>
        <w:t xml:space="preserve"> +370</w:t>
      </w:r>
      <w:r w:rsidR="004A1F7C" w:rsidRPr="0092266F">
        <w:rPr>
          <w:color w:val="000000"/>
          <w:szCs w:val="24"/>
          <w:shd w:val="clear" w:color="auto" w:fill="FFFFFF"/>
        </w:rPr>
        <w:t> 659 17366</w:t>
      </w:r>
      <w:r w:rsidR="004A1F7C" w:rsidRPr="0092266F">
        <w:rPr>
          <w:szCs w:val="24"/>
        </w:rPr>
        <w:t xml:space="preserve">, el. p. </w:t>
      </w:r>
      <w:hyperlink r:id="rId15" w:history="1">
        <w:r w:rsidR="004A1F7C" w:rsidRPr="0092266F">
          <w:rPr>
            <w:rStyle w:val="Hyperlink"/>
            <w:szCs w:val="24"/>
          </w:rPr>
          <w:t>jolanta.pavlovskiene@vert.lt</w:t>
        </w:r>
      </w:hyperlink>
      <w:r w:rsidR="0092266F">
        <w:rPr>
          <w:szCs w:val="24"/>
        </w:rPr>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w:t>
            </w:r>
            <w:r w:rsidR="00961B0B" w:rsidRPr="007B122C">
              <w:rPr>
                <w:rFonts w:ascii="Times New Roman" w:eastAsia="Times New Roman" w:hAnsi="Times New Roman" w:cs="Times New Roman"/>
                <w:sz w:val="24"/>
                <w:szCs w:val="24"/>
                <w:lang w:eastAsia="ar-SA"/>
              </w:rPr>
              <w:lastRenderedPageBreak/>
              <w:t>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Perkančioji organizacija turi teisę </w:t>
            </w:r>
            <w:r w:rsidRPr="007B122C">
              <w:rPr>
                <w:rFonts w:ascii="Times New Roman" w:eastAsia="Times New Roman" w:hAnsi="Times New Roman" w:cs="Times New Roman"/>
                <w:sz w:val="24"/>
                <w:szCs w:val="24"/>
                <w:lang w:eastAsia="ar-SA"/>
              </w:rPr>
              <w:lastRenderedPageBreak/>
              <w:t xml:space="preserve">pratęsti pasiūlymų 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w:t>
            </w:r>
            <w:r w:rsidRPr="007B122C">
              <w:rPr>
                <w:rFonts w:ascii="Times New Roman" w:hAnsi="Times New Roman" w:cs="Times New Roman"/>
                <w:bCs/>
                <w:sz w:val="24"/>
                <w:szCs w:val="24"/>
                <w:lang w:eastAsia="ar-SA"/>
              </w:rPr>
              <w:lastRenderedPageBreak/>
              <w:t xml:space="preserve">organizacija 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w:t>
            </w:r>
            <w:r w:rsidR="00BE4EA7" w:rsidRPr="007B122C">
              <w:rPr>
                <w:rFonts w:ascii="Times New Roman" w:hAnsi="Times New Roman" w:cs="Times New Roman"/>
                <w:sz w:val="24"/>
                <w:szCs w:val="24"/>
                <w:lang w:eastAsia="ar-SA"/>
              </w:rPr>
              <w:lastRenderedPageBreak/>
              <w:t>laisvos formos atitikties 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įstatymo 58 straipsnio 2 </w:t>
            </w:r>
            <w:r w:rsidRPr="007B122C">
              <w:rPr>
                <w:rFonts w:ascii="Times New Roman" w:eastAsia="Times New Roman" w:hAnsi="Times New Roman" w:cs="Times New Roman"/>
                <w:sz w:val="24"/>
                <w:szCs w:val="24"/>
                <w:lang w:eastAsia="ar-SA"/>
              </w:rPr>
              <w:lastRenderedPageBreak/>
              <w:t>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Pirkimo sutarties sudarymo atidėjimo terminas (toliau – Atidėjimo terminas), per kurį negali būti </w:t>
            </w:r>
            <w:r w:rsidRPr="007B122C">
              <w:rPr>
                <w:rFonts w:ascii="Times New Roman" w:eastAsia="Times New Roman" w:hAnsi="Times New Roman" w:cs="Times New Roman"/>
                <w:sz w:val="24"/>
                <w:szCs w:val="24"/>
                <w:lang w:eastAsia="ar-SA"/>
              </w:rPr>
              <w:lastRenderedPageBreak/>
              <w:t>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lastRenderedPageBreak/>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524CC086"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003618" w:rsidRPr="00003618">
        <w:rPr>
          <w:szCs w:val="24"/>
          <w:lang w:eastAsia="ar-SA"/>
        </w:rPr>
        <w:t>Nenutrūkstamojo maitinimo šaltini</w:t>
      </w:r>
      <w:r w:rsidR="00003618">
        <w:rPr>
          <w:szCs w:val="24"/>
          <w:lang w:eastAsia="ar-SA"/>
        </w:rPr>
        <w:t>ai</w:t>
      </w:r>
      <w:r w:rsidR="00003618" w:rsidRPr="00003618">
        <w:rPr>
          <w:rFonts w:eastAsia="Calibri"/>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760FA3">
        <w:rPr>
          <w:rFonts w:eastAsia="Calibri"/>
          <w:szCs w:val="24"/>
        </w:rPr>
        <w:t>rekės</w:t>
      </w:r>
      <w:r w:rsidR="00F04FA9" w:rsidRPr="007B122C">
        <w:rPr>
          <w:rFonts w:eastAsia="Calibri"/>
          <w:szCs w:val="24"/>
        </w:rPr>
        <w:t>)</w:t>
      </w:r>
      <w:r w:rsidR="00F04FA9" w:rsidRPr="007B122C">
        <w:rPr>
          <w:szCs w:val="24"/>
        </w:rPr>
        <w:t>.</w:t>
      </w:r>
      <w:r w:rsidR="00BC21D7" w:rsidRPr="007B122C">
        <w:rPr>
          <w:szCs w:val="24"/>
        </w:rPr>
        <w:t xml:space="preserve"> BVPŽ koda</w:t>
      </w:r>
      <w:r w:rsidR="00003618">
        <w:rPr>
          <w:szCs w:val="24"/>
        </w:rPr>
        <w:t>i</w:t>
      </w:r>
      <w:r w:rsidR="00BC21D7" w:rsidRPr="007B122C">
        <w:rPr>
          <w:szCs w:val="24"/>
        </w:rPr>
        <w:t xml:space="preserve"> </w:t>
      </w:r>
      <w:r w:rsidR="00F516DB" w:rsidRPr="007B122C">
        <w:rPr>
          <w:szCs w:val="24"/>
        </w:rPr>
        <w:t>–</w:t>
      </w:r>
      <w:r w:rsidR="00BC21D7" w:rsidRPr="007B122C">
        <w:rPr>
          <w:szCs w:val="24"/>
        </w:rPr>
        <w:t xml:space="preserve"> </w:t>
      </w:r>
      <w:r w:rsidR="00003618" w:rsidRPr="00003618">
        <w:rPr>
          <w:szCs w:val="24"/>
          <w:lang w:eastAsia="ar-SA"/>
        </w:rPr>
        <w:t>31400000-0; 31154000-0</w:t>
      </w:r>
      <w:r w:rsidR="00C53022" w:rsidRPr="007B122C">
        <w:rPr>
          <w:szCs w:val="24"/>
          <w:lang w:eastAsia="ar-SA"/>
        </w:rPr>
        <w:t>.</w:t>
      </w:r>
    </w:p>
    <w:p w14:paraId="5AE7FA00" w14:textId="7B86519D"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C53022" w:rsidRPr="007B122C">
        <w:rPr>
          <w:color w:val="000000"/>
          <w:szCs w:val="24"/>
        </w:rPr>
        <w:t>P</w:t>
      </w:r>
      <w:r w:rsidR="00760FA3">
        <w:rPr>
          <w:color w:val="000000"/>
          <w:szCs w:val="24"/>
        </w:rPr>
        <w:t>rekės</w:t>
      </w:r>
      <w:r w:rsidRPr="007B122C">
        <w:rPr>
          <w:color w:val="000000"/>
          <w:szCs w:val="24"/>
        </w:rPr>
        <w:t xml:space="preserve"> kainą turi būti įtraukiami visi mokesčiai ir rinkliavos bei kitos išlaidos (</w:t>
      </w:r>
      <w:r w:rsidRPr="00596125">
        <w:rPr>
          <w:i/>
          <w:iCs/>
          <w:color w:val="000000"/>
          <w:szCs w:val="24"/>
        </w:rPr>
        <w:t xml:space="preserve">pvz., </w:t>
      </w:r>
      <w:r w:rsidR="00003618" w:rsidRPr="00BF5FBA">
        <w:rPr>
          <w:i/>
          <w:iCs/>
          <w:snapToGrid w:val="0"/>
          <w:szCs w:val="24"/>
        </w:rPr>
        <w:t>Elektroninės sąskaitos pateikimo per Sąskaitų administravimo bendrosios informacinės sistemą išlaidos</w:t>
      </w:r>
      <w:r w:rsidR="00003618" w:rsidRPr="00BF5FBA">
        <w:rPr>
          <w:i/>
          <w:iCs/>
          <w:color w:val="000000"/>
          <w:szCs w:val="24"/>
        </w:rPr>
        <w:t xml:space="preserve"> </w:t>
      </w:r>
      <w:r w:rsidR="00003618"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54938D27" w:rsidR="00B349EC" w:rsidRPr="007B122C"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7B122C">
        <w:rPr>
          <w:bCs/>
          <w:szCs w:val="24"/>
        </w:rPr>
        <w:t>P</w:t>
      </w:r>
      <w:r w:rsidR="00760FA3">
        <w:rPr>
          <w:bCs/>
          <w:szCs w:val="24"/>
        </w:rPr>
        <w:t>rek</w:t>
      </w:r>
      <w:r w:rsidR="00DA2CA7">
        <w:rPr>
          <w:bCs/>
          <w:szCs w:val="24"/>
        </w:rPr>
        <w:t>ių</w:t>
      </w:r>
      <w:r w:rsidRPr="007B122C">
        <w:rPr>
          <w:bCs/>
          <w:szCs w:val="24"/>
        </w:rPr>
        <w:t xml:space="preserve"> t</w:t>
      </w:r>
      <w:r w:rsidR="00760FA3">
        <w:rPr>
          <w:bCs/>
          <w:szCs w:val="24"/>
        </w:rPr>
        <w:t>ie</w:t>
      </w:r>
      <w:r w:rsidRPr="007B122C">
        <w:rPr>
          <w:bCs/>
          <w:szCs w:val="24"/>
        </w:rPr>
        <w:t>kimo terminai nurodyti sutarties projekte (</w:t>
      </w:r>
      <w:r w:rsidRPr="007B122C">
        <w:rPr>
          <w:szCs w:val="24"/>
        </w:rPr>
        <w:t xml:space="preserve">Pirkimo sąlygų </w:t>
      </w:r>
      <w:r w:rsidRPr="007B122C">
        <w:rPr>
          <w:bCs/>
          <w:szCs w:val="24"/>
        </w:rPr>
        <w:t>priedas Nr. 3</w:t>
      </w:r>
      <w:r w:rsidR="00477992">
        <w:rPr>
          <w:bCs/>
          <w:szCs w:val="24"/>
        </w:rPr>
        <w:t xml:space="preserve"> - 4</w:t>
      </w:r>
      <w:r w:rsidRPr="007B122C">
        <w:rPr>
          <w:bCs/>
          <w:szCs w:val="24"/>
        </w:rPr>
        <w:t xml:space="preserve">) </w:t>
      </w:r>
      <w:bookmarkEnd w:id="12"/>
      <w:r w:rsidRPr="007B122C">
        <w:t>ir Techninėje specifikacijoje (</w:t>
      </w:r>
      <w:r w:rsidRPr="007B122C">
        <w:rPr>
          <w:szCs w:val="24"/>
        </w:rPr>
        <w:t xml:space="preserve">Pirkimo sąlygų </w:t>
      </w:r>
      <w:r w:rsidRPr="007B122C">
        <w:t>priedas Nr. 2)</w:t>
      </w:r>
      <w:r w:rsidR="00C53022" w:rsidRPr="007B122C">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C74D2E">
        <w:rPr>
          <w:bCs/>
          <w:color w:val="000000"/>
          <w:szCs w:val="24"/>
          <w:vertAlign w:val="superscript"/>
          <w:lang w:val="en-US"/>
        </w:rPr>
        <w:t>1</w:t>
      </w:r>
      <w:r w:rsidR="00003618">
        <w:rPr>
          <w:bCs/>
          <w:color w:val="000000"/>
          <w:szCs w:val="24"/>
          <w:lang w:val="en-US"/>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proofErr w:type="spellStart"/>
      <w:r w:rsidR="00003618">
        <w:rPr>
          <w:bCs/>
          <w:color w:val="000000"/>
          <w:szCs w:val="24"/>
          <w:lang w:val="en-US"/>
        </w:rPr>
        <w:t>ir</w:t>
      </w:r>
      <w:proofErr w:type="spellEnd"/>
      <w:r w:rsidR="00003618">
        <w:rPr>
          <w:bCs/>
          <w:color w:val="000000"/>
          <w:szCs w:val="24"/>
          <w:lang w:val="en-US"/>
        </w:rPr>
        <w:t xml:space="preserve"> </w:t>
      </w:r>
      <w:r w:rsidR="00003618" w:rsidRPr="0059460F">
        <w:rPr>
          <w:bCs/>
          <w:color w:val="000000"/>
          <w:szCs w:val="24"/>
          <w:lang w:val="lt-LT"/>
        </w:rPr>
        <w:t xml:space="preserve">Mažos vertės pirkimų tvarkos aprašo </w:t>
      </w:r>
      <w:r w:rsidR="00003618">
        <w:rPr>
          <w:bCs/>
          <w:color w:val="000000"/>
          <w:szCs w:val="24"/>
          <w:lang w:val="en-US"/>
        </w:rPr>
        <w:t>9</w:t>
      </w:r>
      <w:r w:rsidR="00003618">
        <w:rPr>
          <w:bCs/>
          <w:color w:val="000000"/>
          <w:szCs w:val="24"/>
          <w:vertAlign w:val="superscript"/>
          <w:lang w:val="en-US"/>
        </w:rPr>
        <w:t xml:space="preserve">2 </w:t>
      </w:r>
      <w:proofErr w:type="spellStart"/>
      <w:r w:rsidR="00003618">
        <w:rPr>
          <w:bCs/>
          <w:color w:val="000000"/>
          <w:szCs w:val="24"/>
          <w:lang w:val="en-US"/>
        </w:rPr>
        <w:t>punkte</w:t>
      </w:r>
      <w:proofErr w:type="spellEnd"/>
      <w:r w:rsidR="00003618">
        <w:rPr>
          <w:rStyle w:val="FootnoteReference"/>
          <w:bCs/>
          <w:color w:val="000000"/>
          <w:szCs w:val="24"/>
          <w:lang w:val="en-US"/>
        </w:rPr>
        <w:footnoteReference w:id="6"/>
      </w:r>
      <w:r w:rsidR="00003618">
        <w:rPr>
          <w:bCs/>
          <w:color w:val="000000"/>
          <w:szCs w:val="24"/>
          <w:lang w:val="en-US"/>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6C97AC59"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 xml:space="preserve">tiekėjams, jų subtiekėjams ar ūkio subjektams, kurių </w:t>
            </w:r>
            <w:r w:rsidRPr="004A7B06">
              <w:rPr>
                <w:rFonts w:ascii="Times New Roman" w:eastAsia="Calibri" w:hAnsi="Times New Roman" w:cs="Times New Roman"/>
                <w:b/>
                <w:sz w:val="24"/>
                <w:szCs w:val="24"/>
              </w:rPr>
              <w:lastRenderedPageBreak/>
              <w:t>pajėgumais remiamasi, kurie patys ar juos kontroliuojantys 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lastRenderedPageBreak/>
              <w:t xml:space="preserve">Ekonomiškai naudingiausią 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subjektas, kurio </w:t>
            </w:r>
            <w:r w:rsidRPr="004A7B06">
              <w:rPr>
                <w:rFonts w:ascii="Times New Roman" w:eastAsia="Calibri" w:hAnsi="Times New Roman" w:cs="Times New Roman"/>
                <w:color w:val="000000"/>
                <w:sz w:val="24"/>
                <w:szCs w:val="24"/>
              </w:rPr>
              <w:lastRenderedPageBreak/>
              <w:t xml:space="preserve">pajėgumais remiasi ar juos kontroliuojantis 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lastRenderedPageBreak/>
              <w:t>Tiekėjas turi atitikti reikalavimus 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xml:space="preserve">) </w:t>
            </w:r>
            <w:r w:rsidRPr="004A7B06">
              <w:rPr>
                <w:rFonts w:ascii="Times New Roman" w:eastAsia="Calibri" w:hAnsi="Times New Roman" w:cs="Times New Roman"/>
                <w:bCs/>
                <w:sz w:val="24"/>
                <w:szCs w:val="24"/>
              </w:rPr>
              <w:lastRenderedPageBreak/>
              <w:t>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6817281C"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Pirkime </w:t>
      </w:r>
      <w:r w:rsidR="005C04A6">
        <w:rPr>
          <w:rFonts w:ascii="Times New Roman" w:hAnsi="Times New Roman" w:cs="Times New Roman"/>
          <w:b/>
          <w:sz w:val="24"/>
          <w:szCs w:val="24"/>
        </w:rPr>
        <w:t>nėra</w:t>
      </w:r>
      <w:r w:rsidRPr="006428D7">
        <w:rPr>
          <w:rFonts w:ascii="Times New Roman" w:hAnsi="Times New Roman" w:cs="Times New Roman"/>
          <w:b/>
          <w:sz w:val="24"/>
          <w:szCs w:val="24"/>
        </w:rPr>
        <w:t xml:space="preserve"> taikomi</w:t>
      </w:r>
      <w:r w:rsidRPr="006428D7">
        <w:rPr>
          <w:rFonts w:ascii="Times New Roman" w:hAnsi="Times New Roman" w:cs="Times New Roman"/>
          <w:sz w:val="24"/>
          <w:szCs w:val="24"/>
        </w:rPr>
        <w:t xml:space="preserve"> kiti Perkančiosios organizacijos Pirkimo sąlygose nustatyti reikalavimai</w:t>
      </w:r>
      <w:r w:rsidR="003C1906">
        <w:rPr>
          <w:rFonts w:ascii="Times New Roman" w:hAnsi="Times New Roman" w:cs="Times New Roman"/>
          <w:sz w:val="24"/>
          <w:szCs w:val="24"/>
        </w:rPr>
        <w:t xml:space="preserve"> tiekėjui</w:t>
      </w:r>
      <w:r w:rsidRPr="006428D7">
        <w:rPr>
          <w:rFonts w:ascii="Times New Roman" w:hAnsi="Times New Roman" w:cs="Times New Roman"/>
          <w:sz w:val="24"/>
          <w:szCs w:val="24"/>
        </w:rPr>
        <w:t>, kurie nėra kvalifikuojami kaip tiekėjų pašalinimo pagrindai, tiekėjų kvalifikacijos reikalavimai, kokybės vadybos sistemos ir aplinkos apsaugos vadybos sistemos standartų reikalavimai</w:t>
      </w:r>
      <w:r w:rsidR="001F5A5A">
        <w:rPr>
          <w:rFonts w:ascii="Times New Roman" w:hAnsi="Times New Roman" w:cs="Times New Roman"/>
          <w:sz w:val="24"/>
          <w:szCs w:val="24"/>
        </w:rPr>
        <w:t>.</w:t>
      </w:r>
    </w:p>
    <w:p w14:paraId="0749F610" w14:textId="77777777" w:rsidR="00F37D67" w:rsidRPr="006428D7" w:rsidRDefault="00F37D67" w:rsidP="002831F0">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lastRenderedPageBreak/>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4B35FC">
      <w:pPr>
        <w:spacing w:after="0"/>
      </w:pPr>
    </w:p>
    <w:bookmarkEnd w:id="24"/>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6"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7" w:history="1">
        <w:r w:rsidR="0064402E" w:rsidRPr="00020235">
          <w:rPr>
            <w:rStyle w:val="Hyperlink"/>
            <w:iCs/>
            <w:szCs w:val="24"/>
          </w:rPr>
          <w:t>https://viesiejipirkimai.lt</w:t>
        </w:r>
      </w:hyperlink>
      <w:r w:rsidRPr="007B122C">
        <w:rPr>
          <w:iCs/>
          <w:szCs w:val="24"/>
        </w:rPr>
        <w:t>).</w:t>
      </w:r>
    </w:p>
    <w:p w14:paraId="70F93563" w14:textId="1265E014"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w:t>
      </w:r>
      <w:r w:rsidRPr="007B122C">
        <w:rPr>
          <w:bCs/>
          <w:szCs w:val="24"/>
        </w:rPr>
        <w:t xml:space="preserve">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4C4951" w:rsidRPr="002F532C">
        <w:rPr>
          <w:bCs/>
          <w:szCs w:val="24"/>
        </w:rPr>
        <w:t>užpildyta pasiūlymo forma</w:t>
      </w:r>
      <w:r w:rsidR="00BA5B8B" w:rsidRPr="002F532C">
        <w:rPr>
          <w:bCs/>
          <w:szCs w:val="24"/>
        </w:rPr>
        <w:t xml:space="preserve">, Techninė specifikacija, </w:t>
      </w:r>
      <w:r w:rsidR="00BA5B8B" w:rsidRPr="002F532C">
        <w:rPr>
          <w:szCs w:val="24"/>
          <w:lang w:eastAsia="ar-SA"/>
        </w:rPr>
        <w:t>Nacionalinio saugumo reikalavimų atitikties deklaracija</w:t>
      </w:r>
      <w:r w:rsidR="002F532C" w:rsidRPr="002F532C">
        <w:rPr>
          <w:bCs/>
          <w:szCs w:val="24"/>
        </w:rPr>
        <w:t xml:space="preserve"> </w:t>
      </w:r>
      <w:r w:rsidR="004C4951" w:rsidRPr="002F532C">
        <w:rPr>
          <w:bCs/>
          <w:szCs w:val="24"/>
        </w:rPr>
        <w:t>(</w:t>
      </w:r>
      <w:r w:rsidR="004C4951" w:rsidRPr="004C4951">
        <w:rPr>
          <w:bCs/>
          <w:szCs w:val="24"/>
        </w:rPr>
        <w:t xml:space="preserve">Perkančioji organizacija nustato taisyklę, kad jeigu šie dokumentai bus pateikti nepasirašyti – šis neatitikimas </w:t>
      </w:r>
      <w:r w:rsidR="004C4951" w:rsidRPr="004C4951">
        <w:rPr>
          <w:bCs/>
          <w:szCs w:val="24"/>
        </w:rPr>
        <w:t>galės būti tikslinamas)</w:t>
      </w:r>
      <w:r w:rsidRPr="00645AC0">
        <w:rPr>
          <w:bCs/>
          <w:szCs w:val="24"/>
        </w:rPr>
        <w:t>.</w:t>
      </w:r>
    </w:p>
    <w:p w14:paraId="238219F2" w14:textId="45A27141" w:rsidR="003004E8" w:rsidRPr="00645AC0"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0F1CBF94"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450319">
        <w:rPr>
          <w:szCs w:val="24"/>
          <w:lang w:eastAsia="en-US"/>
        </w:rPr>
        <w:t xml:space="preserve"> </w:t>
      </w:r>
      <w:r w:rsidR="00450319" w:rsidRPr="00450319">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450319">
        <w:rPr>
          <w:szCs w:val="24"/>
          <w:lang w:eastAsia="en-US"/>
        </w:rPr>
        <w:t xml:space="preserve"> </w:t>
      </w:r>
      <w:r w:rsidR="00450319" w:rsidRPr="00450319">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 xml:space="preserve">Perkančioji organizacija pasilieka teisę jeigu tam tikri dokumentai būtų pateikti </w:t>
      </w:r>
      <w:r w:rsidR="001B57F6" w:rsidRPr="00645AC0">
        <w:rPr>
          <w:szCs w:val="24"/>
        </w:rPr>
        <w:lastRenderedPageBreak/>
        <w:t>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5F98650C" w14:textId="5FDD9FB4" w:rsidR="00C53394" w:rsidRDefault="008B23D1" w:rsidP="004C61DB">
      <w:pPr>
        <w:pStyle w:val="ListParagraph"/>
        <w:numPr>
          <w:ilvl w:val="2"/>
          <w:numId w:val="19"/>
        </w:numPr>
        <w:tabs>
          <w:tab w:val="right" w:pos="993"/>
          <w:tab w:val="left" w:pos="1134"/>
          <w:tab w:val="left" w:pos="1276"/>
          <w:tab w:val="left" w:pos="1418"/>
        </w:tabs>
        <w:ind w:left="0" w:firstLine="567"/>
        <w:jc w:val="both"/>
        <w:rPr>
          <w:rStyle w:val="contentpasted0"/>
          <w:b/>
          <w:bCs/>
          <w:color w:val="FF0000"/>
          <w:szCs w:val="24"/>
          <w:shd w:val="clear" w:color="auto" w:fill="FFFFFF"/>
        </w:rPr>
      </w:pPr>
      <w:r w:rsidRPr="007B122C">
        <w:t>užpildyta ir tiekėjo vadovo ar jo įgalioto asmens pasirašyta techninė specifikacija</w:t>
      </w:r>
      <w:r w:rsidR="00C53394">
        <w:t xml:space="preserve"> </w:t>
      </w:r>
      <w:bookmarkStart w:id="27" w:name="_Hlk25864649"/>
      <w:r w:rsidR="00A51DD6" w:rsidRPr="007B122C">
        <w:rPr>
          <w:i/>
          <w:iCs/>
          <w:color w:val="FF0000"/>
          <w:szCs w:val="24"/>
          <w:u w:val="single"/>
        </w:rPr>
        <w:t>(T</w:t>
      </w:r>
      <w:r w:rsidR="00A51DD6" w:rsidRPr="007B122C">
        <w:rPr>
          <w:i/>
          <w:color w:val="FF0000"/>
          <w:szCs w:val="24"/>
          <w:u w:val="single"/>
        </w:rPr>
        <w:t>eikiama kartu su pasiūlymu</w:t>
      </w:r>
      <w:r w:rsidR="00A51DD6">
        <w:rPr>
          <w:i/>
          <w:color w:val="FF0000"/>
          <w:szCs w:val="24"/>
          <w:u w:val="single"/>
        </w:rPr>
        <w:t>)</w:t>
      </w:r>
      <w:r w:rsidR="00570163" w:rsidRPr="00A51DD6">
        <w:rPr>
          <w:lang w:val="en-US"/>
        </w:rPr>
        <w:t>;</w:t>
      </w:r>
    </w:p>
    <w:p w14:paraId="15C514AA" w14:textId="77777777" w:rsidR="0052712F" w:rsidRPr="0052712F"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r w:rsidRPr="009A6275">
        <w:rPr>
          <w:szCs w:val="24"/>
        </w:rPr>
        <w:t xml:space="preserve">Europos bendrasis viešojo pirkimo dokumentas (EBVPD), vadovaujantis Viešųjų pirkimų įstatymo 50 straipsnio nuostatomis arba laisvos formos tiekėjo atitikties deklaracija </w:t>
      </w:r>
      <w:r w:rsidRPr="009A6275">
        <w:rPr>
          <w:bCs/>
          <w:i/>
          <w:color w:val="FF0000"/>
          <w:szCs w:val="24"/>
        </w:rPr>
        <w:t>(Nereikalaujama)</w:t>
      </w:r>
      <w:r w:rsidRPr="009A6275">
        <w:rPr>
          <w:bCs/>
          <w:szCs w:val="24"/>
        </w:rPr>
        <w:t>;</w:t>
      </w:r>
      <w:bookmarkEnd w:id="27"/>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8"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29" w:name="_Hlk488507045"/>
      <w:bookmarkEnd w:id="28"/>
    </w:p>
    <w:p w14:paraId="0795AE03" w14:textId="404DA7E0" w:rsidR="00F96F18"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Pr>
          <w:szCs w:val="24"/>
        </w:rPr>
        <w:t xml:space="preserve"> </w:t>
      </w:r>
      <w:r w:rsidRPr="007B122C">
        <w:rPr>
          <w:i/>
          <w:iCs/>
          <w:color w:val="FF0000"/>
          <w:szCs w:val="24"/>
          <w:u w:val="single"/>
        </w:rPr>
        <w:t>(</w:t>
      </w:r>
      <w:r w:rsidR="00713362" w:rsidRPr="00713362">
        <w:rPr>
          <w:i/>
          <w:iCs/>
          <w:color w:val="FF0000"/>
          <w:szCs w:val="24"/>
          <w:u w:val="single"/>
        </w:rPr>
        <w:t xml:space="preserve">šių dokumentų Perkančioji organizacija paprašys tik galimo laimėtojo, jų teikti kartu su pasiūlymu nereikia, tačiau tiekėjas su pasiūlymu turi pateikti </w:t>
      </w:r>
      <w:r w:rsidR="00713362" w:rsidRPr="002E408F">
        <w:rPr>
          <w:b/>
          <w:bCs/>
          <w:i/>
          <w:iCs/>
          <w:color w:val="FF0000"/>
          <w:szCs w:val="24"/>
          <w:u w:val="single"/>
        </w:rPr>
        <w:t>užpildytą Nacionalinio saugumo reikalavimų atitikties deklaraciją</w:t>
      </w:r>
      <w:r w:rsidR="00713362" w:rsidRPr="00713362">
        <w:rPr>
          <w:i/>
          <w:iCs/>
          <w:color w:val="FF0000"/>
          <w:szCs w:val="24"/>
          <w:u w:val="single"/>
        </w:rPr>
        <w:t xml:space="preserve"> (Pirkimo sąlygų </w:t>
      </w:r>
      <w:r w:rsidR="00477992">
        <w:rPr>
          <w:i/>
          <w:iCs/>
          <w:color w:val="FF0000"/>
          <w:szCs w:val="24"/>
          <w:u w:val="single"/>
        </w:rPr>
        <w:t>5</w:t>
      </w:r>
      <w:r w:rsidR="00713362" w:rsidRPr="00713362">
        <w:rPr>
          <w:i/>
          <w:iCs/>
          <w:color w:val="FF0000"/>
          <w:szCs w:val="24"/>
          <w:u w:val="single"/>
        </w:rPr>
        <w:t xml:space="preserve"> priedas</w:t>
      </w:r>
      <w:r w:rsidR="00713362">
        <w:rPr>
          <w:i/>
          <w:iCs/>
          <w:color w:val="FF0000"/>
          <w:szCs w:val="24"/>
          <w:u w:val="single"/>
        </w:rPr>
        <w:t>)</w:t>
      </w:r>
      <w:r w:rsidR="00570163">
        <w:rPr>
          <w:i/>
          <w:color w:val="FF0000"/>
          <w:szCs w:val="24"/>
          <w:u w:val="single"/>
        </w:rPr>
        <w:t xml:space="preserve">; </w:t>
      </w:r>
      <w:r w:rsidR="00570163">
        <w:rPr>
          <w:i/>
          <w:iCs/>
          <w:color w:val="FF0000"/>
          <w:szCs w:val="24"/>
          <w:u w:val="single"/>
        </w:rPr>
        <w:t>Šie duomenys gali būti tikslinami pagal VPĮ nustatytas ir Lietuvos Aukščiausiojo teismo suformuotas kvalifikacijos tikslinimo taisykles</w:t>
      </w:r>
      <w:r w:rsidR="00F96F18" w:rsidRPr="00F96F18">
        <w:rPr>
          <w:szCs w:val="24"/>
        </w:rPr>
        <w:t>;</w:t>
      </w:r>
    </w:p>
    <w:p w14:paraId="140F468C" w14:textId="4B59138B"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0F7D64">
        <w:rPr>
          <w:szCs w:val="24"/>
        </w:rPr>
        <w:t xml:space="preserve"> </w:t>
      </w:r>
      <w:r w:rsidR="006715DA" w:rsidRPr="00F96F18">
        <w:rPr>
          <w:i/>
          <w:color w:val="FF0000"/>
          <w:szCs w:val="24"/>
        </w:rPr>
        <w:t>(</w:t>
      </w:r>
      <w:r w:rsidR="00D94BD3" w:rsidRPr="00645AC0">
        <w:rPr>
          <w:i/>
          <w:iCs/>
          <w:color w:val="FF0000"/>
          <w:szCs w:val="24"/>
        </w:rPr>
        <w:t>Nereikalaujama</w:t>
      </w:r>
      <w:r w:rsidR="001C7A37" w:rsidRPr="00645AC0">
        <w:rPr>
          <w:i/>
          <w:color w:val="FF0000"/>
          <w:szCs w:val="24"/>
        </w:rPr>
        <w:t>)</w:t>
      </w:r>
      <w:r w:rsidR="000F7D64" w:rsidRPr="00645AC0">
        <w:rPr>
          <w:iCs/>
          <w:szCs w:val="24"/>
        </w:rPr>
        <w:t>;</w:t>
      </w:r>
    </w:p>
    <w:p w14:paraId="413BC81A" w14:textId="5F092300" w:rsidR="006B7D56" w:rsidRPr="00645AC0" w:rsidRDefault="006B7D56" w:rsidP="00CA3E9E">
      <w:pPr>
        <w:pStyle w:val="ListParagraph"/>
        <w:numPr>
          <w:ilvl w:val="2"/>
          <w:numId w:val="19"/>
        </w:numPr>
        <w:ind w:left="0" w:firstLine="567"/>
        <w:jc w:val="both"/>
        <w:rPr>
          <w:b/>
          <w:bCs/>
          <w:i/>
          <w:iCs/>
          <w:szCs w:val="24"/>
        </w:rPr>
      </w:pPr>
      <w:r w:rsidRPr="00645AC0">
        <w:rPr>
          <w:szCs w:val="24"/>
        </w:rPr>
        <w:t>tiekėjas</w:t>
      </w:r>
      <w:r w:rsidR="005C4E10">
        <w:rPr>
          <w:szCs w:val="24"/>
        </w:rPr>
        <w:t xml:space="preserve"> turi </w:t>
      </w:r>
      <w:r w:rsidRPr="00645AC0">
        <w:rPr>
          <w:szCs w:val="24"/>
        </w:rPr>
        <w:t xml:space="preserve">pateikti </w:t>
      </w:r>
      <w:r w:rsidR="00CA3E9E" w:rsidRPr="00645AC0">
        <w:rPr>
          <w:szCs w:val="24"/>
        </w:rPr>
        <w:t xml:space="preserve">pakuotėms nustatytus minimalius aplinkos apsaugos kriterijus patvirtinančius dokumentus </w:t>
      </w:r>
      <w:r w:rsidR="00CA3E9E" w:rsidRPr="00D50EAA">
        <w:rPr>
          <w:color w:val="FF0000"/>
          <w:szCs w:val="24"/>
        </w:rPr>
        <w:t>(</w:t>
      </w:r>
      <w:r w:rsidR="00CA3E9E" w:rsidRPr="00645AC0">
        <w:rPr>
          <w:color w:val="FF0000"/>
          <w:szCs w:val="24"/>
        </w:rPr>
        <w:t xml:space="preserve">Perkančioji organizacija nustato taisyklę, kad duomenys dėl Prekių pakuočių gali būti tikslinami (jeigu jie būtų nepateikti ar pateikti ne visa reikalaujama apimtimi ar kita) </w:t>
      </w:r>
      <w:bookmarkStart w:id="30" w:name="_Hlk160198710"/>
      <w:r w:rsidR="00CA3E9E" w:rsidRPr="00645AC0">
        <w:rPr>
          <w:b/>
          <w:bCs/>
          <w:i/>
          <w:iCs/>
          <w:color w:val="FF0000"/>
          <w:szCs w:val="24"/>
        </w:rPr>
        <w:t>(Teikiama kartu su pasiūlymu)</w:t>
      </w:r>
      <w:r w:rsidR="002F532C">
        <w:rPr>
          <w:b/>
          <w:bCs/>
          <w:i/>
          <w:iCs/>
          <w:color w:val="FF0000"/>
          <w:szCs w:val="24"/>
        </w:rPr>
        <w:t>.</w:t>
      </w:r>
      <w:r w:rsidR="005C4E10">
        <w:rPr>
          <w:b/>
          <w:bCs/>
          <w:i/>
          <w:iCs/>
          <w:color w:val="FF0000"/>
          <w:szCs w:val="24"/>
        </w:rPr>
        <w:t xml:space="preserve"> </w:t>
      </w:r>
      <w:r w:rsidR="005C4E10" w:rsidRPr="00F85BD3">
        <w:rPr>
          <w:b/>
          <w:bCs/>
          <w:iCs/>
          <w:color w:val="FF0000"/>
          <w:szCs w:val="24"/>
        </w:rPr>
        <w:t>Pastaba. Šiuos dokumentus reikia teikti, jeigu prekės turės antrinę pakuotę</w:t>
      </w:r>
      <w:r w:rsidR="00645AC0" w:rsidRPr="00645AC0">
        <w:rPr>
          <w:iCs/>
          <w:szCs w:val="24"/>
        </w:rPr>
        <w:t>;</w:t>
      </w:r>
    </w:p>
    <w:bookmarkEnd w:id="30"/>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1" w:name="_Hlk488517504"/>
      <w:bookmarkStart w:id="32"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1"/>
      <w:r w:rsidR="003004E8" w:rsidRPr="00F96F18">
        <w:rPr>
          <w:szCs w:val="24"/>
        </w:rPr>
        <w:t xml:space="preserve"> patvirtinantys dokumentai</w:t>
      </w:r>
      <w:bookmarkEnd w:id="32"/>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3" w:name="_Hlk25864704"/>
      <w:bookmarkEnd w:id="29"/>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3"/>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F96F18">
        <w:rPr>
          <w:bCs/>
          <w:iCs/>
          <w:szCs w:val="24"/>
          <w:u w:val="single"/>
        </w:rPr>
        <w:t>;</w:t>
      </w:r>
      <w:bookmarkStart w:id="34"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4"/>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5"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5"/>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6" w:name="_Hlk25864832"/>
      <w:bookmarkStart w:id="37" w:name="_Hlk100608905"/>
    </w:p>
    <w:bookmarkEnd w:id="36"/>
    <w:bookmarkEnd w:id="37"/>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w:t>
      </w:r>
      <w:r w:rsidRPr="007B498C">
        <w:rPr>
          <w:bCs/>
          <w:szCs w:val="24"/>
        </w:rPr>
        <w:lastRenderedPageBreak/>
        <w:t xml:space="preserve">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8" w:name="_Hlk488509126"/>
      <w:r w:rsidR="003004E8" w:rsidRPr="007B498C">
        <w:rPr>
          <w:szCs w:val="24"/>
        </w:rPr>
        <w:t>atitikimą keliamiems kvalifikacijos reikalavimams pagrindžiančius dokumentus</w:t>
      </w:r>
      <w:bookmarkEnd w:id="38"/>
      <w:r w:rsidR="003004E8" w:rsidRPr="007B498C">
        <w:rPr>
          <w:szCs w:val="24"/>
        </w:rPr>
        <w:t>,</w:t>
      </w:r>
      <w:r w:rsidR="003004E8" w:rsidRPr="007B122C">
        <w:t xml:space="preserve"> </w:t>
      </w:r>
      <w:bookmarkStart w:id="39" w:name="_Hlk488509165"/>
      <w:r w:rsidR="003004E8" w:rsidRPr="007B498C">
        <w:rPr>
          <w:szCs w:val="24"/>
        </w:rPr>
        <w:t xml:space="preserve">kokybės vadybos sistemos ir (arba) aplinkos apsaugos vadybos sistemos standartų reikalavimus patvirtinančius dokumentus </w:t>
      </w:r>
      <w:bookmarkEnd w:id="39"/>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0" w:name="_Hlk94127523"/>
      <w:r w:rsidR="0009386C" w:rsidRPr="007B122C">
        <w:rPr>
          <w:szCs w:val="24"/>
        </w:rPr>
        <w:t>(jeigu tokie reikalavimai buvo keliami Pirkimo sąlygose)</w:t>
      </w:r>
      <w:bookmarkEnd w:id="40"/>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w:t>
      </w:r>
      <w:r w:rsidR="003004E8" w:rsidRPr="007B122C">
        <w:rPr>
          <w:szCs w:val="24"/>
        </w:rPr>
        <w:lastRenderedPageBreak/>
        <w:t xml:space="preserve">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1" w:name="_Hlk488515103"/>
      <w:r w:rsidR="003004E8" w:rsidRPr="007B122C">
        <w:rPr>
          <w:b/>
          <w:szCs w:val="24"/>
        </w:rPr>
        <w:t xml:space="preserve">Pasiūlymas turi galioti </w:t>
      </w:r>
      <w:bookmarkEnd w:id="41"/>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3559495" w14:textId="5B8A4CA3" w:rsidR="00020BC8" w:rsidRPr="007B122C" w:rsidRDefault="003004E8" w:rsidP="004B35FC">
      <w:pPr>
        <w:pStyle w:val="Heading2"/>
        <w:numPr>
          <w:ilvl w:val="0"/>
          <w:numId w:val="38"/>
        </w:numPr>
        <w:jc w:val="center"/>
        <w:rPr>
          <w:b/>
          <w:bCs/>
          <w:lang w:val="lt-LT"/>
        </w:rPr>
      </w:pPr>
      <w:bookmarkStart w:id="42" w:name="_Toc126581312"/>
      <w:r w:rsidRPr="007B122C">
        <w:rPr>
          <w:b/>
          <w:bCs/>
          <w:lang w:val="lt-LT"/>
        </w:rPr>
        <w:t>PASIŪLYMO ŠIFRAVIMAS</w:t>
      </w:r>
      <w:bookmarkEnd w:id="42"/>
    </w:p>
    <w:p w14:paraId="3D1AB361" w14:textId="3CCE7A2E" w:rsidR="003004E8" w:rsidRPr="007B122C" w:rsidRDefault="007B498C" w:rsidP="004B35FC">
      <w:pPr>
        <w:pStyle w:val="ListParagraph"/>
        <w:tabs>
          <w:tab w:val="left" w:pos="0"/>
          <w:tab w:val="left" w:pos="1276"/>
        </w:tabs>
        <w:ind w:left="0" w:firstLine="567"/>
        <w:jc w:val="both"/>
        <w:rPr>
          <w:bCs/>
          <w:szCs w:val="24"/>
        </w:rPr>
      </w:pPr>
      <w:r>
        <w:rPr>
          <w:color w:val="000000" w:themeColor="text1"/>
          <w:szCs w:val="24"/>
        </w:rPr>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7B498C">
      <w:pPr>
        <w:pStyle w:val="ListParagraph"/>
        <w:tabs>
          <w:tab w:val="left" w:pos="0"/>
        </w:tabs>
        <w:spacing w:before="240" w:after="240"/>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8"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9" w:history="1">
        <w:r w:rsidR="00FE519C" w:rsidRPr="00824B03">
          <w:rPr>
            <w:rStyle w:val="Hyperlink"/>
          </w:rPr>
          <w:t>https://vpt.lrv.lt/uploads/vpt/documents/files/LT_versija/CVP_IS/Mokymu_medziaga/Tiekejams/7z</w:t>
        </w:r>
        <w:r w:rsidR="00FE519C" w:rsidRPr="00824B03">
          <w:rPr>
            <w:rStyle w:val="Hyperlink"/>
          </w:rPr>
          <w:lastRenderedPageBreak/>
          <w:t>ip_idiegimo_instrukcija.pdf</w:t>
        </w:r>
      </w:hyperlink>
      <w:r w:rsidR="00FE519C">
        <w:rPr>
          <w:color w:val="000000" w:themeColor="text1"/>
          <w:szCs w:val="24"/>
        </w:rPr>
        <w:t>; </w:t>
      </w:r>
      <w:hyperlink r:id="rId20"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43" w:name="_Toc126581313"/>
      <w:r w:rsidRPr="007B122C">
        <w:rPr>
          <w:b/>
          <w:bCs/>
          <w:lang w:val="lt-LT"/>
        </w:rPr>
        <w:t>PASIŪLYMŲ GALIOJIMO UŽTIKRINIMAS</w:t>
      </w:r>
      <w:bookmarkStart w:id="44" w:name="_Ref60481947"/>
      <w:bookmarkStart w:id="45" w:name="_Ref58463908"/>
      <w:bookmarkEnd w:id="43"/>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46" w:name="VI"/>
      <w:bookmarkEnd w:id="44"/>
      <w:bookmarkEnd w:id="45"/>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47" w:name="VII"/>
      <w:bookmarkStart w:id="48" w:name="_Toc126581314"/>
      <w:bookmarkEnd w:id="46"/>
      <w:r w:rsidRPr="007B122C">
        <w:rPr>
          <w:b/>
          <w:bCs/>
          <w:lang w:val="lt-LT"/>
        </w:rPr>
        <w:t>PIRKIMO SĄLYGŲ PAAIŠKINIMAS IR PATIKSLINIMAS</w:t>
      </w:r>
      <w:bookmarkEnd w:id="47"/>
      <w:bookmarkEnd w:id="48"/>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49" w:name="VIII"/>
      <w:bookmarkStart w:id="50" w:name="_Toc126581315"/>
      <w:r w:rsidRPr="007B122C">
        <w:rPr>
          <w:b/>
          <w:bCs/>
          <w:lang w:val="lt-LT"/>
        </w:rPr>
        <w:lastRenderedPageBreak/>
        <w:t>SUSIPAŽINIMO SU CVP IS PRIEMONĖMIS GAUTAIS PASIŪLYMAIS PROCEDŪR</w:t>
      </w:r>
      <w:bookmarkStart w:id="51" w:name="_Ref60481998"/>
      <w:bookmarkStart w:id="52" w:name="_Ref58464669"/>
      <w:bookmarkEnd w:id="49"/>
      <w:r w:rsidRPr="007B122C">
        <w:rPr>
          <w:b/>
          <w:bCs/>
          <w:lang w:val="lt-LT"/>
        </w:rPr>
        <w:t>A</w:t>
      </w:r>
      <w:bookmarkEnd w:id="50"/>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3" w:name="IX"/>
      <w:bookmarkEnd w:id="51"/>
      <w:bookmarkEnd w:id="52"/>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Pr>
          <w:rFonts w:eastAsia="Calibri"/>
          <w:b/>
          <w:color w:val="000000"/>
          <w:szCs w:val="24"/>
          <w:u w:val="single"/>
          <w:lang w:val="en-US"/>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54" w:name="_Toc126581316"/>
      <w:r w:rsidRPr="007B122C">
        <w:rPr>
          <w:b/>
          <w:bCs/>
          <w:spacing w:val="-8"/>
          <w:lang w:val="lt-LT"/>
        </w:rPr>
        <w:t xml:space="preserve">PASIŪLYMŲ </w:t>
      </w:r>
      <w:r w:rsidRPr="007B122C">
        <w:rPr>
          <w:b/>
          <w:bCs/>
          <w:lang w:val="lt-LT"/>
        </w:rPr>
        <w:t>NAGRINĖJIMAS, VERTINIMAS IR PASIŪLYMŲ ATMETIMO PRIEŽASTYS</w:t>
      </w:r>
      <w:bookmarkEnd w:id="54"/>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55"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5"/>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6"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6"/>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7"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8" w:name="_Hlk145600075"/>
      <w:r w:rsidRPr="006B04F5">
        <w:rPr>
          <w:rFonts w:ascii="Times New Roman" w:eastAsiaTheme="minorHAnsi" w:hAnsi="Times New Roman" w:cs="Times New Roman"/>
          <w:b/>
          <w:bCs/>
          <w:color w:val="auto"/>
          <w:lang w:eastAsia="en-US"/>
        </w:rPr>
        <w:t>kuris nustatomas kaip galimas laimėtojas</w:t>
      </w:r>
      <w:bookmarkEnd w:id="58"/>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7"/>
      <w:r w:rsidRPr="006B04F5">
        <w:rPr>
          <w:rFonts w:ascii="Times New Roman" w:eastAsiaTheme="minorHAnsi" w:hAnsi="Times New Roman" w:cs="Times New Roman"/>
          <w:b/>
          <w:bCs/>
          <w:color w:val="auto"/>
          <w:sz w:val="23"/>
          <w:szCs w:val="23"/>
          <w:u w:val="single"/>
          <w:lang w:eastAsia="en-US"/>
        </w:rPr>
        <w:t>.</w:t>
      </w:r>
    </w:p>
    <w:p w14:paraId="596EDDD3" w14:textId="77777777"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59"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59"/>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5E14D7">
        <w:rPr>
          <w:rFonts w:ascii="Times New Roman" w:hAnsi="Times New Roman" w:cs="Times New Roman"/>
          <w:color w:val="FF0000"/>
          <w:sz w:val="24"/>
          <w:szCs w:val="24"/>
        </w:rPr>
        <w:t>(</w:t>
      </w:r>
      <w:r w:rsidR="00570163" w:rsidRPr="002831F0">
        <w:rPr>
          <w:rFonts w:ascii="Times New Roman" w:hAnsi="Times New Roman" w:cs="Times New Roman"/>
          <w:b/>
          <w:bCs/>
          <w:color w:val="FF0000"/>
          <w:sz w:val="24"/>
          <w:szCs w:val="24"/>
        </w:rPr>
        <w:t>Pirkime keliami šie reikalavimai</w:t>
      </w:r>
      <w:r w:rsidR="00570163" w:rsidRPr="002778CC">
        <w:rPr>
          <w:rFonts w:ascii="Times New Roman" w:hAnsi="Times New Roman" w:cs="Times New Roman"/>
          <w:color w:val="FF0000"/>
          <w:sz w:val="24"/>
          <w:szCs w:val="24"/>
        </w:rPr>
        <w:t>)</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0" w:name="_Hlk100609642"/>
      <w:r w:rsidR="00570163" w:rsidRPr="0040583D">
        <w:rPr>
          <w:rFonts w:ascii="Times New Roman" w:hAnsi="Times New Roman" w:cs="Times New Roman"/>
          <w:color w:val="000000"/>
          <w:sz w:val="24"/>
          <w:szCs w:val="24"/>
        </w:rPr>
        <w:t>kiti Pirkimo sąlygose numatyti reikalavimai tiekėjui</w:t>
      </w:r>
      <w:r w:rsidR="00570163">
        <w:rPr>
          <w:rFonts w:ascii="Times New Roman" w:hAnsi="Times New Roman" w:cs="Times New Roman"/>
          <w:color w:val="000000"/>
          <w:sz w:val="24"/>
          <w:szCs w:val="24"/>
        </w:rPr>
        <w:t xml:space="preserve"> (Pirkimo sąlygų </w:t>
      </w:r>
      <w:r w:rsidR="00570163">
        <w:rPr>
          <w:rFonts w:ascii="Times New Roman" w:hAnsi="Times New Roman" w:cs="Times New Roman"/>
          <w:color w:val="000000"/>
          <w:sz w:val="24"/>
          <w:szCs w:val="24"/>
          <w:lang w:val="en-US"/>
        </w:rPr>
        <w:t xml:space="preserve">5 </w:t>
      </w:r>
      <w:r w:rsidR="00570163" w:rsidRPr="00DC391C">
        <w:rPr>
          <w:rFonts w:ascii="Times New Roman" w:hAnsi="Times New Roman" w:cs="Times New Roman"/>
          <w:color w:val="000000"/>
          <w:sz w:val="24"/>
          <w:szCs w:val="24"/>
        </w:rPr>
        <w:t>skyrius</w:t>
      </w:r>
      <w:r w:rsidR="00570163">
        <w:rPr>
          <w:rFonts w:ascii="Times New Roman" w:hAnsi="Times New Roman" w:cs="Times New Roman"/>
          <w:color w:val="000000"/>
          <w:sz w:val="24"/>
          <w:szCs w:val="24"/>
          <w:lang w:val="en-US"/>
        </w:rPr>
        <w:t>)</w:t>
      </w:r>
      <w:r w:rsidR="00570163" w:rsidRPr="0040583D">
        <w:rPr>
          <w:rFonts w:ascii="Times New Roman" w:hAnsi="Times New Roman" w:cs="Times New Roman"/>
          <w:color w:val="000000"/>
          <w:sz w:val="24"/>
          <w:szCs w:val="24"/>
        </w:rPr>
        <w:t xml:space="preserve"> </w:t>
      </w:r>
      <w:r w:rsidR="00570163" w:rsidRPr="003F5F40">
        <w:rPr>
          <w:rFonts w:ascii="Times New Roman" w:hAnsi="Times New Roman" w:cs="Times New Roman"/>
          <w:color w:val="FF0000"/>
          <w:sz w:val="24"/>
          <w:szCs w:val="24"/>
        </w:rPr>
        <w:t>(</w:t>
      </w:r>
      <w:r w:rsidR="00570163" w:rsidRPr="000F7D64">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0F7D64">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0"/>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1"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2"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3"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2"/>
      <w:r w:rsidR="00570163" w:rsidRPr="0040583D">
        <w:rPr>
          <w:rFonts w:ascii="Times New Roman" w:hAnsi="Times New Roman" w:cs="Times New Roman"/>
          <w:color w:val="000000"/>
          <w:sz w:val="24"/>
          <w:szCs w:val="24"/>
        </w:rPr>
        <w:t xml:space="preserve"> </w:t>
      </w:r>
      <w:bookmarkEnd w:id="63"/>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1"/>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lastRenderedPageBreak/>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4"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4"/>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5"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5"/>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6"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7"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9"/>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7"/>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8" w:name="_Toc126581328"/>
      <w:r w:rsidRPr="00127282">
        <w:rPr>
          <w:szCs w:val="24"/>
          <w:lang w:val="lt-LT"/>
        </w:rPr>
        <w:t>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bookmarkEnd w:id="66"/>
      <w:bookmarkEnd w:id="68"/>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69"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 xml:space="preserve">Perkančioji organizacija, vadovaudamasi VPĮ 55, 56 ir </w:t>
      </w:r>
      <w:r w:rsidRPr="00127282">
        <w:rPr>
          <w:bCs/>
          <w:color w:val="000000"/>
          <w:szCs w:val="24"/>
          <w:lang w:val="lt-LT"/>
        </w:rPr>
        <w:lastRenderedPageBreak/>
        <w:t>57 straipsnių nuostatomis, laimėjusį nustato ekonomiškai naudingiausią pasiūlymą, jeigu tenkinamos visos šios sąlygos:</w:t>
      </w:r>
      <w:bookmarkEnd w:id="69"/>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0"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0"/>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1"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1"/>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72" w:name="_Toc126581332"/>
      <w:bookmarkEnd w:id="53"/>
      <w:r w:rsidRPr="007B122C">
        <w:rPr>
          <w:b/>
          <w:bCs/>
          <w:lang w:val="lt-LT"/>
        </w:rPr>
        <w:t>PASIŪLYMŲ VERTINIM</w:t>
      </w:r>
      <w:r w:rsidR="00F00B20" w:rsidRPr="007B122C">
        <w:rPr>
          <w:b/>
          <w:bCs/>
          <w:lang w:val="lt-LT"/>
        </w:rPr>
        <w:t>O KRITERIJUS IR KITOS TAISYKLĖS</w:t>
      </w:r>
      <w:bookmarkEnd w:id="72"/>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73" w:name="_Toc56583407"/>
      <w:bookmarkStart w:id="74" w:name="_Toc126581333"/>
      <w:bookmarkStart w:id="75" w:name="_Toc60525491"/>
      <w:bookmarkStart w:id="76"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7" w:name="_Toc56583408"/>
      <w:bookmarkEnd w:id="73"/>
      <w:bookmarkEnd w:id="74"/>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8"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7"/>
      <w:bookmarkEnd w:id="78"/>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79" w:name="X"/>
      <w:bookmarkStart w:id="80" w:name="_Toc126581335"/>
      <w:bookmarkStart w:id="81" w:name="_Hlk493757506"/>
      <w:r w:rsidRPr="007B122C">
        <w:rPr>
          <w:b/>
          <w:bCs/>
          <w:lang w:val="lt-LT"/>
        </w:rPr>
        <w:t>PASIŪLYMŲ EILĖ</w:t>
      </w:r>
      <w:bookmarkEnd w:id="75"/>
      <w:bookmarkEnd w:id="76"/>
      <w:r w:rsidRPr="007B122C">
        <w:rPr>
          <w:b/>
          <w:bCs/>
          <w:lang w:val="lt-LT"/>
        </w:rPr>
        <w:t xml:space="preserve"> IR SPRENDIMAS DĖL PIRKIMO SUTARTIES SUDARYMO</w:t>
      </w:r>
      <w:bookmarkEnd w:id="79"/>
      <w:bookmarkEnd w:id="80"/>
    </w:p>
    <w:p w14:paraId="02323151" w14:textId="77777777" w:rsidR="00275858" w:rsidRPr="007B122C" w:rsidRDefault="00275858" w:rsidP="002831F0">
      <w:pPr>
        <w:spacing w:after="0"/>
      </w:pPr>
    </w:p>
    <w:bookmarkEnd w:id="81"/>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t xml:space="preserve">Pasiūlymų eilės sudarymo taisyklės: </w:t>
      </w:r>
      <w:r>
        <w:rPr>
          <w:rFonts w:ascii="Times New Roman" w:hAnsi="Times New Roman" w:cs="Times New Roman"/>
        </w:rPr>
        <w:t xml:space="preserve">Kadangi Pirkime taikomas </w:t>
      </w:r>
      <w:bookmarkStart w:id="82"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0"/>
      </w:r>
      <w:r w:rsidRPr="006B04F5">
        <w:rPr>
          <w:rFonts w:ascii="Times New Roman" w:hAnsi="Times New Roman" w:cs="Times New Roman"/>
        </w:rPr>
        <w:t xml:space="preserve"> punktas </w:t>
      </w:r>
      <w:bookmarkEnd w:id="82"/>
      <w:r w:rsidRPr="006B04F5">
        <w:rPr>
          <w:rFonts w:ascii="Times New Roman" w:hAnsi="Times New Roman" w:cs="Times New Roman"/>
        </w:rPr>
        <w:t xml:space="preserve">– į pasiūlymų eilę traukiami visi, išskyrus atmesti, pasiūlymai, </w:t>
      </w:r>
      <w:r w:rsidRPr="006B04F5">
        <w:rPr>
          <w:rFonts w:ascii="Times New Roman" w:hAnsi="Times New Roman" w:cs="Times New Roman"/>
        </w:rPr>
        <w:lastRenderedPageBreak/>
        <w:t>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84" w:name="_Toc126581336"/>
      <w:r w:rsidRPr="007B122C">
        <w:rPr>
          <w:b/>
          <w:bCs/>
          <w:lang w:val="lt-LT"/>
        </w:rPr>
        <w:t>TIESIOGINIS ATSISKAITYMAS SU SUBTIEKĖJAIS</w:t>
      </w:r>
      <w:bookmarkEnd w:id="84"/>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5"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 xml:space="preserve">Perkančioji organizacija, vadovaudamasi Viešųjų pirkimų įstatymo 88 straipsnio </w:t>
      </w:r>
      <w:r w:rsidRPr="007B122C">
        <w:rPr>
          <w:bCs/>
          <w:szCs w:val="24"/>
        </w:rPr>
        <w:br/>
        <w:t xml:space="preserve">2 dalimi, įsipareigoja per 3 darbo dienas nuo Viešųjų pirkimų įstatymo 88 straipsnio 4 dalyje </w:t>
      </w:r>
      <w:r w:rsidRPr="007B122C">
        <w:rPr>
          <w:bCs/>
          <w:szCs w:val="24"/>
        </w:rPr>
        <w:lastRenderedPageBreak/>
        <w:t>nurodytos informacijos gavimo dienos raštu informuoti subtiekėjus</w:t>
      </w:r>
      <w:r w:rsidRPr="007B122C">
        <w:rPr>
          <w:rStyle w:val="FootnoteReference"/>
          <w:bCs/>
          <w:szCs w:val="24"/>
        </w:rPr>
        <w:footnoteReference w:id="11"/>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5"/>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86" w:name="_Toc126581337"/>
      <w:r w:rsidRPr="007B122C">
        <w:rPr>
          <w:b/>
          <w:bCs/>
          <w:lang w:val="lt-LT"/>
        </w:rPr>
        <w:t>PRETENZIJŲ, IEŠKINIŲ TEIKIMAS IR PRETENZIJŲ NAGRINĖJIMAS</w:t>
      </w:r>
      <w:bookmarkEnd w:id="86"/>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erkančioji organizacija turi teisę </w:t>
      </w:r>
      <w:r w:rsidRPr="007B122C">
        <w:rPr>
          <w:rFonts w:ascii="Times New Roman" w:eastAsia="Times New Roman" w:hAnsi="Times New Roman" w:cs="Times New Roman"/>
          <w:bCs/>
          <w:color w:val="000000"/>
          <w:sz w:val="24"/>
          <w:szCs w:val="24"/>
          <w:lang w:eastAsia="lt-LT"/>
        </w:rPr>
        <w:lastRenderedPageBreak/>
        <w:t>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87" w:name="_Toc126581338"/>
      <w:r w:rsidRPr="007B122C">
        <w:rPr>
          <w:b/>
          <w:bCs/>
          <w:lang w:val="lt-LT"/>
        </w:rPr>
        <w:t>APLINKOS APSAUGOS (ŽALIEJI) REIKALAVIMAI</w:t>
      </w:r>
      <w:bookmarkEnd w:id="87"/>
    </w:p>
    <w:p w14:paraId="680AAF05" w14:textId="77777777" w:rsidR="00D50EAA" w:rsidRPr="00D50EAA" w:rsidRDefault="00D50EAA" w:rsidP="002831F0">
      <w:pPr>
        <w:spacing w:after="0"/>
      </w:pPr>
    </w:p>
    <w:p w14:paraId="3E808B20" w14:textId="18ECF480" w:rsidR="0068209E" w:rsidRPr="00A940A8" w:rsidRDefault="00682363" w:rsidP="002831F0">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88" w:name="_Toc126581339"/>
      <w:r w:rsidRPr="007B122C">
        <w:rPr>
          <w:b/>
          <w:bCs/>
          <w:lang w:val="lt-LT"/>
        </w:rPr>
        <w:t>BAIGIAMOSIOS NUOSTATOS</w:t>
      </w:r>
      <w:bookmarkEnd w:id="88"/>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89" w:name="_Hlk73084164"/>
      <w:bookmarkEnd w:id="89"/>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23BB" w14:textId="77777777" w:rsidR="0005097D" w:rsidRDefault="0005097D" w:rsidP="003004E8">
      <w:pPr>
        <w:spacing w:after="0" w:line="240" w:lineRule="auto"/>
      </w:pPr>
      <w:r>
        <w:separator/>
      </w:r>
    </w:p>
  </w:endnote>
  <w:endnote w:type="continuationSeparator" w:id="0">
    <w:p w14:paraId="07CB125E" w14:textId="77777777" w:rsidR="0005097D" w:rsidRDefault="0005097D"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45BCD" w14:textId="77777777" w:rsidR="0005097D" w:rsidRDefault="0005097D" w:rsidP="003004E8">
      <w:pPr>
        <w:spacing w:after="0" w:line="240" w:lineRule="auto"/>
      </w:pPr>
      <w:r>
        <w:separator/>
      </w:r>
    </w:p>
  </w:footnote>
  <w:footnote w:type="continuationSeparator" w:id="0">
    <w:p w14:paraId="4401095A" w14:textId="77777777" w:rsidR="0005097D" w:rsidRDefault="0005097D"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6524EF" w:rsidRDefault="00003618" w:rsidP="00003618">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w:t>
      </w:r>
      <w:r w:rsidRPr="00A8405E">
        <w:rPr>
          <w:rFonts w:ascii="Times New Roman" w:hAnsi="Times New Roman"/>
        </w:rPr>
        <w:t xml:space="preserve">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0">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3" w:name="_Hlk146017576"/>
      <w:r>
        <w:rPr>
          <w:rFonts w:ascii="Times New Roman" w:eastAsia="Times New Roman" w:hAnsi="Times New Roman" w:cs="Times New Roman"/>
          <w:sz w:val="20"/>
          <w:szCs w:val="20"/>
        </w:rPr>
        <w:t>Mažos vertės pirkimų tvarkos</w:t>
      </w:r>
      <w:bookmarkEnd w:id="83"/>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1">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w:t>
      </w:r>
      <w:r w:rsidRPr="00410FC1">
        <w:rPr>
          <w:rFonts w:ascii="Times New Roman" w:hAnsi="Times New Roman"/>
        </w:rPr>
        <w:t xml:space="preserve">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2"/>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3"/>
  </w:num>
  <w:num w:numId="42" w16cid:durableId="1017536365">
    <w:abstractNumId w:val="12"/>
  </w:num>
  <w:num w:numId="43" w16cid:durableId="55128876">
    <w:abstractNumId w:val="14"/>
  </w:num>
  <w:num w:numId="44" w16cid:durableId="1590239667">
    <w:abstractNumId w:val="6"/>
  </w:num>
  <w:num w:numId="45" w16cid:durableId="186570428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49EC"/>
    <w:rsid w:val="000356E2"/>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23EE"/>
    <w:rsid w:val="001574DA"/>
    <w:rsid w:val="001613D6"/>
    <w:rsid w:val="00165303"/>
    <w:rsid w:val="0016549B"/>
    <w:rsid w:val="001703AC"/>
    <w:rsid w:val="00170DFA"/>
    <w:rsid w:val="00182913"/>
    <w:rsid w:val="00183ACD"/>
    <w:rsid w:val="00187FB7"/>
    <w:rsid w:val="00193F9E"/>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7401"/>
    <w:rsid w:val="00220040"/>
    <w:rsid w:val="00221DC6"/>
    <w:rsid w:val="0022501E"/>
    <w:rsid w:val="00231659"/>
    <w:rsid w:val="00231689"/>
    <w:rsid w:val="00234074"/>
    <w:rsid w:val="00236EEC"/>
    <w:rsid w:val="002412F5"/>
    <w:rsid w:val="002436B6"/>
    <w:rsid w:val="002443F2"/>
    <w:rsid w:val="002467E2"/>
    <w:rsid w:val="00250F6A"/>
    <w:rsid w:val="002534DB"/>
    <w:rsid w:val="0025612B"/>
    <w:rsid w:val="00257053"/>
    <w:rsid w:val="00261F31"/>
    <w:rsid w:val="0026402D"/>
    <w:rsid w:val="00265270"/>
    <w:rsid w:val="002708D9"/>
    <w:rsid w:val="0027166F"/>
    <w:rsid w:val="00272F45"/>
    <w:rsid w:val="002743A0"/>
    <w:rsid w:val="00274614"/>
    <w:rsid w:val="002746D5"/>
    <w:rsid w:val="00275858"/>
    <w:rsid w:val="00275AFE"/>
    <w:rsid w:val="00281E8D"/>
    <w:rsid w:val="002831F0"/>
    <w:rsid w:val="00285343"/>
    <w:rsid w:val="00285998"/>
    <w:rsid w:val="00293C00"/>
    <w:rsid w:val="00295129"/>
    <w:rsid w:val="00296584"/>
    <w:rsid w:val="002A4295"/>
    <w:rsid w:val="002A4C5A"/>
    <w:rsid w:val="002B65C4"/>
    <w:rsid w:val="002C002F"/>
    <w:rsid w:val="002C54D9"/>
    <w:rsid w:val="002C61D5"/>
    <w:rsid w:val="002C7BB6"/>
    <w:rsid w:val="002D002C"/>
    <w:rsid w:val="002D009F"/>
    <w:rsid w:val="002D325E"/>
    <w:rsid w:val="002D59B4"/>
    <w:rsid w:val="002E3693"/>
    <w:rsid w:val="002E408F"/>
    <w:rsid w:val="002E4DCA"/>
    <w:rsid w:val="002E6FFB"/>
    <w:rsid w:val="002E759F"/>
    <w:rsid w:val="002F1CF8"/>
    <w:rsid w:val="002F20AE"/>
    <w:rsid w:val="002F3561"/>
    <w:rsid w:val="002F3ACC"/>
    <w:rsid w:val="002F532C"/>
    <w:rsid w:val="003004E8"/>
    <w:rsid w:val="00300EED"/>
    <w:rsid w:val="00304567"/>
    <w:rsid w:val="00305CA3"/>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44DA"/>
    <w:rsid w:val="00357E04"/>
    <w:rsid w:val="00363B55"/>
    <w:rsid w:val="00365081"/>
    <w:rsid w:val="00365945"/>
    <w:rsid w:val="00372109"/>
    <w:rsid w:val="003728EA"/>
    <w:rsid w:val="00374522"/>
    <w:rsid w:val="00382336"/>
    <w:rsid w:val="00384FA3"/>
    <w:rsid w:val="00385F40"/>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2C1D"/>
    <w:rsid w:val="0041519B"/>
    <w:rsid w:val="004152A7"/>
    <w:rsid w:val="004160B6"/>
    <w:rsid w:val="00416768"/>
    <w:rsid w:val="00417EE7"/>
    <w:rsid w:val="00420F8E"/>
    <w:rsid w:val="0042313F"/>
    <w:rsid w:val="00423B1D"/>
    <w:rsid w:val="004246B5"/>
    <w:rsid w:val="00424D6F"/>
    <w:rsid w:val="00427A31"/>
    <w:rsid w:val="00433D48"/>
    <w:rsid w:val="004406EC"/>
    <w:rsid w:val="004456A5"/>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B0881"/>
    <w:rsid w:val="004B0E84"/>
    <w:rsid w:val="004B15A8"/>
    <w:rsid w:val="004B35FC"/>
    <w:rsid w:val="004B3865"/>
    <w:rsid w:val="004B41B2"/>
    <w:rsid w:val="004B64D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502977"/>
    <w:rsid w:val="00503675"/>
    <w:rsid w:val="00511AB3"/>
    <w:rsid w:val="00516C4A"/>
    <w:rsid w:val="0051750D"/>
    <w:rsid w:val="00517916"/>
    <w:rsid w:val="005225C6"/>
    <w:rsid w:val="0052712F"/>
    <w:rsid w:val="0053089F"/>
    <w:rsid w:val="00530F8F"/>
    <w:rsid w:val="005326F1"/>
    <w:rsid w:val="00533371"/>
    <w:rsid w:val="00544D84"/>
    <w:rsid w:val="00547AFB"/>
    <w:rsid w:val="005515E8"/>
    <w:rsid w:val="005532C3"/>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C01C9"/>
    <w:rsid w:val="005C04A6"/>
    <w:rsid w:val="005C4E10"/>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6175"/>
    <w:rsid w:val="006274A4"/>
    <w:rsid w:val="00627BFF"/>
    <w:rsid w:val="00633FD8"/>
    <w:rsid w:val="00635843"/>
    <w:rsid w:val="0063627B"/>
    <w:rsid w:val="006428D7"/>
    <w:rsid w:val="0064402E"/>
    <w:rsid w:val="00645A9E"/>
    <w:rsid w:val="00645AC0"/>
    <w:rsid w:val="006505B0"/>
    <w:rsid w:val="006550C0"/>
    <w:rsid w:val="00663A66"/>
    <w:rsid w:val="006715DA"/>
    <w:rsid w:val="00671C06"/>
    <w:rsid w:val="006777E8"/>
    <w:rsid w:val="00677822"/>
    <w:rsid w:val="00677BE6"/>
    <w:rsid w:val="006800CA"/>
    <w:rsid w:val="0068209E"/>
    <w:rsid w:val="00682363"/>
    <w:rsid w:val="00683906"/>
    <w:rsid w:val="00694496"/>
    <w:rsid w:val="00694908"/>
    <w:rsid w:val="00695958"/>
    <w:rsid w:val="00696C0B"/>
    <w:rsid w:val="006A19EF"/>
    <w:rsid w:val="006A2D6D"/>
    <w:rsid w:val="006A4379"/>
    <w:rsid w:val="006A4B6A"/>
    <w:rsid w:val="006A58A5"/>
    <w:rsid w:val="006B00E8"/>
    <w:rsid w:val="006B0FA7"/>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6DE9"/>
    <w:rsid w:val="00701291"/>
    <w:rsid w:val="00702501"/>
    <w:rsid w:val="00702AE2"/>
    <w:rsid w:val="0070370E"/>
    <w:rsid w:val="007062C0"/>
    <w:rsid w:val="007071DB"/>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C18"/>
    <w:rsid w:val="007A1110"/>
    <w:rsid w:val="007A2FA3"/>
    <w:rsid w:val="007A3A68"/>
    <w:rsid w:val="007A7436"/>
    <w:rsid w:val="007B122C"/>
    <w:rsid w:val="007B498C"/>
    <w:rsid w:val="007B6640"/>
    <w:rsid w:val="007C0D5C"/>
    <w:rsid w:val="007C4940"/>
    <w:rsid w:val="007C5410"/>
    <w:rsid w:val="007C648A"/>
    <w:rsid w:val="007C74F0"/>
    <w:rsid w:val="007D0BD1"/>
    <w:rsid w:val="007D0DF3"/>
    <w:rsid w:val="007D173C"/>
    <w:rsid w:val="007D2663"/>
    <w:rsid w:val="007D372C"/>
    <w:rsid w:val="007D4A71"/>
    <w:rsid w:val="007E0FF8"/>
    <w:rsid w:val="007E262D"/>
    <w:rsid w:val="007E2C9C"/>
    <w:rsid w:val="007E3878"/>
    <w:rsid w:val="007E419C"/>
    <w:rsid w:val="007E4BC0"/>
    <w:rsid w:val="007E5D3F"/>
    <w:rsid w:val="007F0AB5"/>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7D22"/>
    <w:rsid w:val="008311D4"/>
    <w:rsid w:val="00835B20"/>
    <w:rsid w:val="0083662A"/>
    <w:rsid w:val="00840A4E"/>
    <w:rsid w:val="00840AA9"/>
    <w:rsid w:val="00840B45"/>
    <w:rsid w:val="008448F0"/>
    <w:rsid w:val="0084577D"/>
    <w:rsid w:val="00850030"/>
    <w:rsid w:val="008502BC"/>
    <w:rsid w:val="00853480"/>
    <w:rsid w:val="00854CE8"/>
    <w:rsid w:val="008566D0"/>
    <w:rsid w:val="00857189"/>
    <w:rsid w:val="00860443"/>
    <w:rsid w:val="008606AC"/>
    <w:rsid w:val="00861C02"/>
    <w:rsid w:val="008621E3"/>
    <w:rsid w:val="00864B94"/>
    <w:rsid w:val="00865591"/>
    <w:rsid w:val="0086581F"/>
    <w:rsid w:val="00867CC3"/>
    <w:rsid w:val="00875345"/>
    <w:rsid w:val="008754B1"/>
    <w:rsid w:val="0088790C"/>
    <w:rsid w:val="008A1549"/>
    <w:rsid w:val="008A27CC"/>
    <w:rsid w:val="008A5715"/>
    <w:rsid w:val="008B23D1"/>
    <w:rsid w:val="008B2E47"/>
    <w:rsid w:val="008B610F"/>
    <w:rsid w:val="008B7AE6"/>
    <w:rsid w:val="008C056C"/>
    <w:rsid w:val="008C19B3"/>
    <w:rsid w:val="008C4158"/>
    <w:rsid w:val="008C5701"/>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327F6"/>
    <w:rsid w:val="009361AB"/>
    <w:rsid w:val="009374F0"/>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A07B9"/>
    <w:rsid w:val="009A32C2"/>
    <w:rsid w:val="009A48FA"/>
    <w:rsid w:val="009A4F35"/>
    <w:rsid w:val="009A6275"/>
    <w:rsid w:val="009A6961"/>
    <w:rsid w:val="009A7760"/>
    <w:rsid w:val="009B00AA"/>
    <w:rsid w:val="009C2687"/>
    <w:rsid w:val="009C3144"/>
    <w:rsid w:val="009C5204"/>
    <w:rsid w:val="009C541D"/>
    <w:rsid w:val="009C6657"/>
    <w:rsid w:val="009C6939"/>
    <w:rsid w:val="009D50DF"/>
    <w:rsid w:val="009E2BF1"/>
    <w:rsid w:val="009E5E2C"/>
    <w:rsid w:val="009E79F9"/>
    <w:rsid w:val="009F1075"/>
    <w:rsid w:val="009F158F"/>
    <w:rsid w:val="009F1C89"/>
    <w:rsid w:val="009F24F1"/>
    <w:rsid w:val="009F26EE"/>
    <w:rsid w:val="009F4E89"/>
    <w:rsid w:val="009F554D"/>
    <w:rsid w:val="00A02996"/>
    <w:rsid w:val="00A046EB"/>
    <w:rsid w:val="00A117CA"/>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E3DFE"/>
    <w:rsid w:val="00AE6052"/>
    <w:rsid w:val="00AF1B58"/>
    <w:rsid w:val="00AF37DC"/>
    <w:rsid w:val="00AF642B"/>
    <w:rsid w:val="00B120FD"/>
    <w:rsid w:val="00B14D3A"/>
    <w:rsid w:val="00B17B32"/>
    <w:rsid w:val="00B20598"/>
    <w:rsid w:val="00B21972"/>
    <w:rsid w:val="00B225B0"/>
    <w:rsid w:val="00B30D15"/>
    <w:rsid w:val="00B316C7"/>
    <w:rsid w:val="00B349EC"/>
    <w:rsid w:val="00B37D28"/>
    <w:rsid w:val="00B44096"/>
    <w:rsid w:val="00B476F8"/>
    <w:rsid w:val="00B544BC"/>
    <w:rsid w:val="00B60926"/>
    <w:rsid w:val="00B60D26"/>
    <w:rsid w:val="00B62EF4"/>
    <w:rsid w:val="00B63138"/>
    <w:rsid w:val="00B64C0A"/>
    <w:rsid w:val="00B73341"/>
    <w:rsid w:val="00B73602"/>
    <w:rsid w:val="00B81212"/>
    <w:rsid w:val="00B817F7"/>
    <w:rsid w:val="00B833B7"/>
    <w:rsid w:val="00B846F6"/>
    <w:rsid w:val="00B87EE5"/>
    <w:rsid w:val="00B92702"/>
    <w:rsid w:val="00BA07EF"/>
    <w:rsid w:val="00BA208B"/>
    <w:rsid w:val="00BA4270"/>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7A9"/>
    <w:rsid w:val="00C0739B"/>
    <w:rsid w:val="00C1313A"/>
    <w:rsid w:val="00C159F2"/>
    <w:rsid w:val="00C2025C"/>
    <w:rsid w:val="00C22F82"/>
    <w:rsid w:val="00C25A74"/>
    <w:rsid w:val="00C2746A"/>
    <w:rsid w:val="00C277B2"/>
    <w:rsid w:val="00C27B91"/>
    <w:rsid w:val="00C30218"/>
    <w:rsid w:val="00C30331"/>
    <w:rsid w:val="00C37849"/>
    <w:rsid w:val="00C40618"/>
    <w:rsid w:val="00C4090A"/>
    <w:rsid w:val="00C4145D"/>
    <w:rsid w:val="00C428C7"/>
    <w:rsid w:val="00C43BC0"/>
    <w:rsid w:val="00C441F5"/>
    <w:rsid w:val="00C45481"/>
    <w:rsid w:val="00C47AC7"/>
    <w:rsid w:val="00C50DF6"/>
    <w:rsid w:val="00C520C5"/>
    <w:rsid w:val="00C53022"/>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8E8"/>
    <w:rsid w:val="00CA511C"/>
    <w:rsid w:val="00CA5FB9"/>
    <w:rsid w:val="00CA78BD"/>
    <w:rsid w:val="00CB3DE3"/>
    <w:rsid w:val="00CB56AB"/>
    <w:rsid w:val="00CB584E"/>
    <w:rsid w:val="00CC3D48"/>
    <w:rsid w:val="00CC47E3"/>
    <w:rsid w:val="00CD0240"/>
    <w:rsid w:val="00CD0810"/>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2CA7"/>
    <w:rsid w:val="00DA3613"/>
    <w:rsid w:val="00DA4D0C"/>
    <w:rsid w:val="00DA60DA"/>
    <w:rsid w:val="00DA75F5"/>
    <w:rsid w:val="00DA7CAC"/>
    <w:rsid w:val="00DB1FAF"/>
    <w:rsid w:val="00DB3453"/>
    <w:rsid w:val="00DB43ED"/>
    <w:rsid w:val="00DB5B1B"/>
    <w:rsid w:val="00DB6B55"/>
    <w:rsid w:val="00DC0FBB"/>
    <w:rsid w:val="00DC2BC0"/>
    <w:rsid w:val="00DC7148"/>
    <w:rsid w:val="00DD523F"/>
    <w:rsid w:val="00DE59F4"/>
    <w:rsid w:val="00DF2B2F"/>
    <w:rsid w:val="00DF54B8"/>
    <w:rsid w:val="00DF70D4"/>
    <w:rsid w:val="00E03298"/>
    <w:rsid w:val="00E03654"/>
    <w:rsid w:val="00E0399D"/>
    <w:rsid w:val="00E03A54"/>
    <w:rsid w:val="00E10234"/>
    <w:rsid w:val="00E1167C"/>
    <w:rsid w:val="00E12180"/>
    <w:rsid w:val="00E121AF"/>
    <w:rsid w:val="00E137BA"/>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2967"/>
    <w:rsid w:val="00E52B2E"/>
    <w:rsid w:val="00E52E58"/>
    <w:rsid w:val="00E564CB"/>
    <w:rsid w:val="00E619F1"/>
    <w:rsid w:val="00E67FB9"/>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E74"/>
    <w:rsid w:val="00E97FF6"/>
    <w:rsid w:val="00EB40FE"/>
    <w:rsid w:val="00EB4EAA"/>
    <w:rsid w:val="00EB6927"/>
    <w:rsid w:val="00EC207C"/>
    <w:rsid w:val="00EC50BC"/>
    <w:rsid w:val="00EC5B51"/>
    <w:rsid w:val="00ED26B4"/>
    <w:rsid w:val="00ED2EED"/>
    <w:rsid w:val="00EE1FCA"/>
    <w:rsid w:val="00EE4E82"/>
    <w:rsid w:val="00EE79B9"/>
    <w:rsid w:val="00EE7E51"/>
    <w:rsid w:val="00EF198F"/>
    <w:rsid w:val="00EF4997"/>
    <w:rsid w:val="00EF6806"/>
    <w:rsid w:val="00F00B20"/>
    <w:rsid w:val="00F0229A"/>
    <w:rsid w:val="00F02C51"/>
    <w:rsid w:val="00F04FA9"/>
    <w:rsid w:val="00F071D9"/>
    <w:rsid w:val="00F1065B"/>
    <w:rsid w:val="00F1108F"/>
    <w:rsid w:val="00F1466C"/>
    <w:rsid w:val="00F15303"/>
    <w:rsid w:val="00F155A9"/>
    <w:rsid w:val="00F17A44"/>
    <w:rsid w:val="00F20B3F"/>
    <w:rsid w:val="00F24605"/>
    <w:rsid w:val="00F24875"/>
    <w:rsid w:val="00F2582F"/>
    <w:rsid w:val="00F26904"/>
    <w:rsid w:val="00F31CB8"/>
    <w:rsid w:val="00F329E9"/>
    <w:rsid w:val="00F34BEE"/>
    <w:rsid w:val="00F37D67"/>
    <w:rsid w:val="00F41A23"/>
    <w:rsid w:val="00F41FE6"/>
    <w:rsid w:val="00F516DB"/>
    <w:rsid w:val="00F545FA"/>
    <w:rsid w:val="00F57EFB"/>
    <w:rsid w:val="00F611C3"/>
    <w:rsid w:val="00F61544"/>
    <w:rsid w:val="00F61A2B"/>
    <w:rsid w:val="00F64BA6"/>
    <w:rsid w:val="00F71EC1"/>
    <w:rsid w:val="00F72471"/>
    <w:rsid w:val="00F7323C"/>
    <w:rsid w:val="00F748CC"/>
    <w:rsid w:val="00F866AE"/>
    <w:rsid w:val="00F900E0"/>
    <w:rsid w:val="00F90F83"/>
    <w:rsid w:val="00F93393"/>
    <w:rsid w:val="00F94167"/>
    <w:rsid w:val="00F952E7"/>
    <w:rsid w:val="00F9696B"/>
    <w:rsid w:val="00F96F18"/>
    <w:rsid w:val="00FB4EAA"/>
    <w:rsid w:val="00FC231B"/>
    <w:rsid w:val="00FC5671"/>
    <w:rsid w:val="00FC776B"/>
    <w:rsid w:val="00FD132F"/>
    <w:rsid w:val="00FD30BE"/>
    <w:rsid w:val="00FD6A5B"/>
    <w:rsid w:val="00FE0422"/>
    <w:rsid w:val="00FE1DB6"/>
    <w:rsid w:val="00FE4FB7"/>
    <w:rsid w:val="00FE519C"/>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ona.stankevic@vert.lt"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lanta.pavlovskiene@vert.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raimonda.zukauskaite@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37446</Words>
  <Characters>21345</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Ilona Stankevič</cp:lastModifiedBy>
  <cp:revision>6</cp:revision>
  <cp:lastPrinted>2021-11-11T14:41:00Z</cp:lastPrinted>
  <dcterms:created xsi:type="dcterms:W3CDTF">2025-02-06T11:37:00Z</dcterms:created>
  <dcterms:modified xsi:type="dcterms:W3CDTF">2025-02-07T07:38:00Z</dcterms:modified>
</cp:coreProperties>
</file>