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2B36BC7E"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24483D">
        <w:rPr>
          <w:color w:val="000000"/>
          <w:sz w:val="22"/>
          <w:szCs w:val="22"/>
          <w:lang w:val="lt-LT" w:eastAsia="en-GB"/>
        </w:rPr>
        <w:t>5</w:t>
      </w:r>
      <w:r w:rsidRPr="00370648">
        <w:rPr>
          <w:color w:val="000000"/>
          <w:sz w:val="22"/>
          <w:szCs w:val="22"/>
          <w:lang w:val="lt-LT" w:eastAsia="en-GB"/>
        </w:rPr>
        <w:t xml:space="preserve"> m. </w:t>
      </w:r>
      <w:r w:rsidR="0024483D">
        <w:rPr>
          <w:color w:val="000000"/>
          <w:sz w:val="22"/>
          <w:szCs w:val="22"/>
          <w:lang w:val="lt-LT" w:eastAsia="en-GB"/>
        </w:rPr>
        <w:t>vasario</w:t>
      </w:r>
      <w:r w:rsidRPr="00370648">
        <w:rPr>
          <w:color w:val="000000"/>
          <w:sz w:val="22"/>
          <w:szCs w:val="22"/>
          <w:lang w:val="lt-LT" w:eastAsia="en-GB"/>
        </w:rPr>
        <w:t xml:space="preserve"> </w:t>
      </w:r>
      <w:r w:rsidR="0024483D">
        <w:rPr>
          <w:color w:val="000000"/>
          <w:sz w:val="22"/>
          <w:szCs w:val="22"/>
          <w:lang w:val="lt-LT" w:eastAsia="en-GB"/>
        </w:rPr>
        <w:t>7</w:t>
      </w:r>
      <w:r w:rsidRPr="00370648">
        <w:rPr>
          <w:color w:val="000000"/>
          <w:sz w:val="22"/>
          <w:szCs w:val="22"/>
          <w:lang w:val="lt-LT" w:eastAsia="en-GB"/>
        </w:rPr>
        <w:t xml:space="preserve"> d. protokolu</w:t>
      </w:r>
      <w:r w:rsidR="0024483D">
        <w:rPr>
          <w:color w:val="000000"/>
          <w:sz w:val="22"/>
          <w:szCs w:val="22"/>
          <w:lang w:val="lt-LT" w:eastAsia="en-GB"/>
        </w:rPr>
        <w:t xml:space="preserve"> 8V-266</w:t>
      </w:r>
      <w:bookmarkStart w:id="0" w:name="_GoBack"/>
      <w:bookmarkEnd w:id="0"/>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4AD0EE54" w:rsidR="00205AB1" w:rsidRDefault="00205AB1" w:rsidP="00205AB1">
      <w:pPr>
        <w:pStyle w:val="Heading"/>
        <w:jc w:val="center"/>
        <w:rPr>
          <w:color w:val="000000" w:themeColor="text1"/>
          <w:lang w:val="lt-LT"/>
        </w:rPr>
      </w:pPr>
      <w:r w:rsidRPr="00BE4004">
        <w:rPr>
          <w:color w:val="000000" w:themeColor="text1"/>
          <w:lang w:val="lt-LT"/>
        </w:rPr>
        <w:t>Enterin</w:t>
      </w:r>
      <w:r w:rsidR="00604EE2">
        <w:rPr>
          <w:color w:val="000000" w:themeColor="text1"/>
          <w:lang w:val="lt-LT"/>
        </w:rPr>
        <w:t>iai mišiniai</w:t>
      </w:r>
      <w:r w:rsidRPr="00BE4004">
        <w:rPr>
          <w:color w:val="000000" w:themeColor="text1"/>
          <w:lang w:val="lt-LT"/>
        </w:rPr>
        <w:t xml:space="preserve">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1D7ED5A5" w14:textId="77777777" w:rsidR="00AC4198" w:rsidRDefault="00205AB1" w:rsidP="00AC4198">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w:t>
      </w:r>
      <w:r w:rsidR="00AC4198" w:rsidRPr="00370648">
        <w:rPr>
          <w:lang w:val="lt-LT"/>
        </w:rPr>
        <w:t xml:space="preserve">Tiesioginį ryšį su tiekėjais įgaliotas palaikyti perkančiosios organizacijos atstovas </w:t>
      </w:r>
      <w:r w:rsidR="00AC4198" w:rsidRPr="00811074">
        <w:rPr>
          <w:rFonts w:eastAsiaTheme="minorEastAsia"/>
          <w:noProof/>
        </w:rPr>
        <w:t xml:space="preserve">Egidija Indrulionienė, </w:t>
      </w:r>
      <w:r w:rsidR="00AC4198" w:rsidRPr="00811074">
        <w:t xml:space="preserve">tel. </w:t>
      </w:r>
      <w:r w:rsidR="00AC4198" w:rsidRPr="00811074">
        <w:rPr>
          <w:rFonts w:eastAsiaTheme="minorEastAsia"/>
          <w:noProof/>
        </w:rPr>
        <w:t xml:space="preserve">(8 37) 342 391, </w:t>
      </w:r>
      <w:r w:rsidR="00AC4198" w:rsidRPr="00811074">
        <w:t xml:space="preserve">el. p. </w:t>
      </w:r>
      <w:hyperlink r:id="rId7" w:history="1">
        <w:r w:rsidR="00AC4198" w:rsidRPr="00811074">
          <w:rPr>
            <w:rStyle w:val="Hyperlink"/>
            <w:rFonts w:eastAsiaTheme="minorEastAsia"/>
            <w:noProof/>
            <w:color w:val="0563C1"/>
          </w:rPr>
          <w:t>egidija.indrulioniene@kaunoligonine.lt</w:t>
        </w:r>
      </w:hyperlink>
      <w:r w:rsidR="00AC4198" w:rsidRPr="00811074">
        <w:rPr>
          <w:rFonts w:eastAsiaTheme="minorEastAsia"/>
          <w:noProof/>
        </w:rPr>
        <w:t xml:space="preserve"> , Hipodromo g. 13, Kaunas</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AC4198">
        <w:rPr>
          <w:lang w:val="lt-LT"/>
        </w:rPr>
        <w:t xml:space="preserve"> „Pasiūlymo forma“</w:t>
      </w:r>
      <w:r w:rsidR="00AC4198" w:rsidRPr="00370648">
        <w:rPr>
          <w:lang w:val="lt-LT"/>
        </w:rPr>
        <w:t>.</w:t>
      </w:r>
      <w:r w:rsidRPr="00370648">
        <w:rPr>
          <w:lang w:val="lt-LT"/>
        </w:rPr>
        <w:tab/>
      </w:r>
      <w:r w:rsidRPr="00370648">
        <w:rPr>
          <w:lang w:val="lt-LT"/>
        </w:rPr>
        <w:br/>
      </w:r>
      <w:r w:rsidRPr="00370648">
        <w:rPr>
          <w:lang w:val="lt-LT"/>
        </w:rPr>
        <w:tab/>
        <w:t>2.2. Šis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br/>
        <w:t xml:space="preserve">1. Polimerinis standartinis enterinis mišinys 1kcal/ml, 2. Polimerinis padidintos energinės vertės (1,5 kcal/ml) ir baltymų enterinis mišinys, 3. Skystas enterinis mišinys  su  padidintu baltymų kiekiu, argininu ir cinku, 4. Enterinio maitinimo mišinys su padidintu  baltymų kiekiu, omega 3 riebiosiomis rūgštimis, 5. Skystas enterinis mišinys su padidintu energijos, baltymų ir skaidulų kiekiu skirtas diabetu sergantiems pacientams, 6. Specialios medicininės paskirties dietinis maistas (baltymų milteliai), 7. Visavertis subalansuotas skystas enterinis mišinys su skaidulinėmis medžiagomis, paruoštas vartoti  vaikams , 8. Geriamasis enterinis maitinimo mišinys su padidintu energijos ir baltymų kiekiu, be skaidulų., 9. Geriamasis enterinis maitinimo mišinys su padidintu baltymų ir omega-3 riebiųjų rūgščių kiekiu., 10. Geriamasis </w:t>
      </w:r>
      <w:r w:rsidRPr="00370648">
        <w:rPr>
          <w:lang w:val="lt-LT"/>
        </w:rPr>
        <w:lastRenderedPageBreak/>
        <w:t xml:space="preserve">enterinis maitinimo mišinys su padidintu baltymų, cinko  ir arginino kiekiu. </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AC4198">
        <w:rPr>
          <w:lang w:val="lt-LT"/>
        </w:rPr>
        <w:t>Pasiūlymo forma</w:t>
      </w:r>
      <w:r w:rsidRPr="00370648">
        <w:rPr>
          <w:lang w:val="lt-LT"/>
        </w:rPr>
        <w:t>“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Josvainių g. 2, LT-47144, Kaunas</w:t>
      </w:r>
      <w:r w:rsidR="00AC4198">
        <w:rPr>
          <w:lang w:val="lt-LT"/>
        </w:rPr>
        <w:t>, Hipodromo g. 13</w:t>
      </w:r>
      <w:r w:rsidR="00AC4198" w:rsidRPr="00370648">
        <w:rPr>
          <w:lang w:val="lt-LT"/>
        </w:rPr>
        <w:t>, Kaunas</w:t>
      </w:r>
      <w:r w:rsidR="00AC4198">
        <w:rPr>
          <w:lang w:val="lt-LT"/>
        </w:rPr>
        <w:t>.</w:t>
      </w:r>
    </w:p>
    <w:p w14:paraId="7D0520B0" w14:textId="77777777" w:rsidR="00337501" w:rsidRDefault="00AC4198" w:rsidP="00AC4198">
      <w:pPr>
        <w:pStyle w:val="Body2"/>
        <w:ind w:firstLine="720"/>
        <w:rPr>
          <w:lang w:val="lt-LT"/>
        </w:rPr>
      </w:pPr>
      <w:r w:rsidRPr="00370648">
        <w:rPr>
          <w:lang w:val="lt-LT"/>
        </w:rPr>
        <w:t xml:space="preserve">2.6. Perkančiosios organizacijos sprendimo neatlikti pirkimo naudojantis centralizuotų pirkimų katalogu argumentai: </w:t>
      </w:r>
      <w:r w:rsidRPr="00FB6CB0">
        <w:rPr>
          <w:lang w:val="lt-LT"/>
        </w:rPr>
        <w:t>norimų įsigyti prekių nėra CPO kataloge</w:t>
      </w:r>
      <w:r>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00205AB1" w:rsidRPr="00370648">
        <w:rPr>
          <w:lang w:val="lt-LT"/>
        </w:rPr>
        <w:tab/>
      </w:r>
      <w:r w:rsidR="00205AB1" w:rsidRPr="00370648">
        <w:rPr>
          <w:lang w:val="lt-LT"/>
        </w:rPr>
        <w:br/>
      </w:r>
      <w:r w:rsidR="00205AB1"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tab/>
      </w:r>
      <w:r w:rsidR="00205AB1" w:rsidRPr="00370648">
        <w:rPr>
          <w:lang w:val="lt-LT"/>
        </w:rPr>
        <w:br/>
      </w:r>
      <w:r w:rsidR="00205AB1"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205AB1" w:rsidRPr="00370648">
        <w:rPr>
          <w:lang w:val="lt-LT"/>
        </w:rPr>
        <w:tab/>
      </w:r>
      <w:r w:rsidR="00205AB1" w:rsidRPr="00370648">
        <w:rPr>
          <w:lang w:val="lt-LT"/>
        </w:rPr>
        <w:br/>
      </w:r>
      <w:r w:rsidR="00205AB1" w:rsidRPr="00370648">
        <w:rPr>
          <w:lang w:val="lt-LT"/>
        </w:rPr>
        <w:tab/>
        <w:t>3.2.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w:t>
      </w:r>
      <w:r w:rsidR="00205AB1" w:rsidRPr="00370648">
        <w:rPr>
          <w:lang w:val="lt-LT"/>
        </w:rPr>
        <w:lastRenderedPageBreak/>
        <w:t>teisės aktus ir nebuvo patikrinta pasiūlymų vertinimo metu, tiekėjas turi pateikti iki atitinkamų veiklų vykdymo pradžios.</w:t>
      </w:r>
    </w:p>
    <w:p w14:paraId="74FD9BA4" w14:textId="6350EA15" w:rsidR="00337501" w:rsidRDefault="00337501" w:rsidP="00337501">
      <w:pPr>
        <w:suppressAutoHyphens/>
        <w:spacing w:after="40"/>
        <w:ind w:firstLine="720"/>
        <w:jc w:val="both"/>
        <w:rPr>
          <w:rFonts w:eastAsia="Times New Roman"/>
          <w:sz w:val="22"/>
          <w:szCs w:val="22"/>
          <w:bdr w:val="none" w:sz="0" w:space="0" w:color="auto" w:frame="1"/>
          <w:lang w:val="lt-LT" w:eastAsia="lt-LT"/>
          <w14:textOutline w14:w="0" w14:cap="flat" w14:cmpd="sng" w14:algn="ctr">
            <w14:noFill/>
            <w14:prstDash w14:val="solid"/>
            <w14:bevel/>
          </w14:textOutline>
        </w:rPr>
      </w:pPr>
      <w:r>
        <w:rPr>
          <w:lang w:val="lt-LT"/>
        </w:rPr>
        <w:t xml:space="preserve">3.4 </w:t>
      </w:r>
      <w:r w:rsidRPr="005A0E0D">
        <w:rPr>
          <w:sz w:val="22"/>
          <w:szCs w:val="22"/>
          <w:lang w:val="lt-LT"/>
        </w:rPr>
        <w:t xml:space="preserve"> </w:t>
      </w:r>
      <w:r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Tiekėjas, subtiekėjas (išskyrus </w:t>
      </w:r>
      <w:proofErr w:type="spellStart"/>
      <w:r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Pr="005A0E0D">
        <w:rPr>
          <w:rFonts w:eastAsia="Times New Roman"/>
          <w:sz w:val="22"/>
          <w:szCs w:val="22"/>
          <w:bdr w:val="none" w:sz="0" w:space="0" w:color="auto" w:frame="1"/>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337501" w:rsidRPr="0036288C" w14:paraId="386B31BA" w14:textId="77777777" w:rsidTr="00516F6D">
        <w:trPr>
          <w:trHeight w:val="339"/>
        </w:trPr>
        <w:tc>
          <w:tcPr>
            <w:tcW w:w="2280" w:type="pct"/>
            <w:tcBorders>
              <w:top w:val="single" w:sz="4" w:space="0" w:color="auto"/>
              <w:left w:val="single" w:sz="4" w:space="0" w:color="auto"/>
              <w:bottom w:val="single" w:sz="4" w:space="0" w:color="auto"/>
              <w:right w:val="single" w:sz="4" w:space="0" w:color="auto"/>
            </w:tcBorders>
          </w:tcPr>
          <w:p w14:paraId="00438F06" w14:textId="77777777" w:rsidR="00337501" w:rsidRPr="0036288C" w:rsidRDefault="00337501" w:rsidP="00516F6D">
            <w:pPr>
              <w:rPr>
                <w:b/>
                <w:spacing w:val="2"/>
                <w:lang w:val="lt-LT"/>
              </w:rPr>
            </w:pPr>
            <w:r w:rsidRPr="0036288C">
              <w:rPr>
                <w:b/>
                <w:spacing w:val="2"/>
                <w:lang w:val="lt-LT"/>
              </w:rPr>
              <w:t>Reikalavimas</w:t>
            </w:r>
          </w:p>
        </w:tc>
        <w:tc>
          <w:tcPr>
            <w:tcW w:w="2720" w:type="pct"/>
            <w:tcBorders>
              <w:top w:val="single" w:sz="4" w:space="0" w:color="auto"/>
              <w:left w:val="single" w:sz="4" w:space="0" w:color="auto"/>
              <w:bottom w:val="single" w:sz="4" w:space="0" w:color="auto"/>
              <w:right w:val="single" w:sz="4" w:space="0" w:color="auto"/>
            </w:tcBorders>
          </w:tcPr>
          <w:p w14:paraId="3AD27F52" w14:textId="77777777" w:rsidR="00337501" w:rsidRPr="0036288C" w:rsidRDefault="00337501" w:rsidP="00516F6D">
            <w:pPr>
              <w:ind w:left="289"/>
              <w:contextualSpacing/>
              <w:jc w:val="center"/>
              <w:rPr>
                <w:rFonts w:eastAsia="Times New Roman"/>
                <w:b/>
                <w:bCs/>
                <w:lang w:val="lt-LT"/>
              </w:rPr>
            </w:pPr>
            <w:r w:rsidRPr="0036288C">
              <w:rPr>
                <w:rFonts w:eastAsia="Times New Roman"/>
                <w:b/>
                <w:spacing w:val="2"/>
                <w:lang w:val="lt-LT"/>
              </w:rPr>
              <w:t>Reikalavimo atitikį įrodantys dokumentai*</w:t>
            </w:r>
          </w:p>
        </w:tc>
      </w:tr>
      <w:tr w:rsidR="00337501" w:rsidRPr="0036288C" w14:paraId="69DD8C8D" w14:textId="77777777" w:rsidTr="00516F6D">
        <w:trPr>
          <w:trHeight w:val="841"/>
        </w:trPr>
        <w:tc>
          <w:tcPr>
            <w:tcW w:w="2280" w:type="pct"/>
            <w:tcBorders>
              <w:top w:val="single" w:sz="4" w:space="0" w:color="auto"/>
              <w:left w:val="single" w:sz="4" w:space="0" w:color="auto"/>
              <w:bottom w:val="single" w:sz="4" w:space="0" w:color="auto"/>
              <w:right w:val="single" w:sz="4" w:space="0" w:color="auto"/>
            </w:tcBorders>
          </w:tcPr>
          <w:p w14:paraId="035F72A2" w14:textId="77777777" w:rsidR="00337501" w:rsidRPr="0036288C" w:rsidRDefault="00337501" w:rsidP="00516F6D">
            <w:pPr>
              <w:jc w:val="both"/>
              <w:rPr>
                <w:spacing w:val="2"/>
                <w:lang w:val="lt-LT"/>
              </w:rPr>
            </w:pPr>
            <w:r w:rsidRPr="0036288C">
              <w:rPr>
                <w:spacing w:val="2"/>
                <w:lang w:val="lt-LT"/>
              </w:rPr>
              <w:t>a)</w:t>
            </w:r>
            <w:r w:rsidRPr="0036288C">
              <w:rPr>
                <w:rFonts w:eastAsia="Calibri"/>
                <w:b/>
                <w:lang w:val="lt-LT"/>
              </w:rPr>
              <w:t xml:space="preserve"> </w:t>
            </w:r>
            <w:r w:rsidRPr="0036288C">
              <w:rPr>
                <w:rFonts w:eastAsia="Times New Roman"/>
                <w:color w:val="000000"/>
                <w:lang w:val="lt-LT" w:eastAsia="lt-LT"/>
              </w:rPr>
              <w:t>tiekėjas/subtiekėjas</w:t>
            </w:r>
            <w:r w:rsidRPr="0036288C" w:rsidDel="006157AF">
              <w:rPr>
                <w:rFonts w:eastAsia="Times New Roman"/>
                <w:color w:val="000000"/>
                <w:lang w:val="lt-LT" w:eastAsia="lt-LT"/>
              </w:rPr>
              <w:t xml:space="preserve"> </w:t>
            </w:r>
            <w:r w:rsidRPr="0036288C">
              <w:rPr>
                <w:rFonts w:eastAsia="Times New Roman"/>
                <w:color w:val="000000"/>
                <w:lang w:val="lt-LT" w:eastAsia="lt-LT"/>
              </w:rPr>
              <w:t>(ir nė vienas iš tiekėjų grupės narių) nėra Rusijos pilietis arba Rusijoje įsisteigęs fizinis ar juridinis asmuo, subjektas ar įstaiga</w:t>
            </w:r>
            <w:r w:rsidRPr="0036288C">
              <w:rPr>
                <w:spacing w:val="2"/>
                <w:lang w:val="lt-LT"/>
              </w:rPr>
              <w:t>;</w:t>
            </w:r>
          </w:p>
          <w:p w14:paraId="7FBD5DF4" w14:textId="77777777" w:rsidR="00337501" w:rsidRPr="0036288C" w:rsidRDefault="00337501" w:rsidP="00516F6D">
            <w:pPr>
              <w:jc w:val="both"/>
              <w:rPr>
                <w:spacing w:val="2"/>
                <w:lang w:val="lt-LT"/>
              </w:rPr>
            </w:pPr>
            <w:r w:rsidRPr="0036288C">
              <w:rPr>
                <w:spacing w:val="2"/>
                <w:lang w:val="lt-LT"/>
              </w:rPr>
              <w:t xml:space="preserve">b) </w:t>
            </w:r>
            <w:r w:rsidRPr="0036288C">
              <w:rPr>
                <w:rFonts w:eastAsia="Times New Roman"/>
                <w:color w:val="000000"/>
                <w:lang w:val="lt-LT" w:eastAsia="lt-LT"/>
              </w:rPr>
              <w:t>tiekėjas/subtiekėjas</w:t>
            </w:r>
            <w:r w:rsidRPr="0036288C" w:rsidDel="006157AF">
              <w:rPr>
                <w:rFonts w:eastAsia="Times New Roman"/>
                <w:color w:val="000000"/>
                <w:lang w:val="lt-LT" w:eastAsia="lt-LT"/>
              </w:rPr>
              <w:t xml:space="preserve"> </w:t>
            </w:r>
            <w:r w:rsidRPr="0036288C">
              <w:rPr>
                <w:rFonts w:eastAsia="Times New Roman"/>
                <w:color w:val="000000"/>
                <w:lang w:val="lt-LT" w:eastAsia="lt-LT"/>
              </w:rPr>
              <w:t>(ir nė vienas iš tiekėjų grupės narių) nėra juridinis asmuo, subjektas ar įstaiga, kurio nuosavybės teisės tiesiogiai ar netiesiogiai daugiau kaip 50 % priklauso šios dalies a) punkte nurodytam subjektui;</w:t>
            </w:r>
          </w:p>
          <w:p w14:paraId="1ECA672F" w14:textId="77777777" w:rsidR="00337501" w:rsidRPr="0036288C" w:rsidRDefault="00337501" w:rsidP="00516F6D">
            <w:pPr>
              <w:jc w:val="both"/>
              <w:rPr>
                <w:rFonts w:eastAsia="Times New Roman"/>
                <w:color w:val="000000"/>
                <w:lang w:val="lt-LT" w:eastAsia="lt-LT"/>
              </w:rPr>
            </w:pPr>
            <w:r w:rsidRPr="0036288C">
              <w:rPr>
                <w:spacing w:val="2"/>
                <w:lang w:val="lt-LT"/>
              </w:rPr>
              <w:t xml:space="preserve">c) Tiekėjas/subtiekėjas </w:t>
            </w:r>
            <w:r w:rsidRPr="0036288C">
              <w:rPr>
                <w:rFonts w:eastAsia="Times New Roman"/>
                <w:color w:val="000000"/>
                <w:lang w:val="lt-LT" w:eastAsia="lt-LT"/>
              </w:rPr>
              <w:t>nėra fizinis ar juridinis asmuo, subjektas ar įstaiga, veikianti a) arba b) punkte nurodyto subjekto vardu ar jo nurodymu;</w:t>
            </w:r>
          </w:p>
          <w:p w14:paraId="55E52E32" w14:textId="77777777" w:rsidR="00337501" w:rsidRPr="0036288C" w:rsidRDefault="00337501" w:rsidP="00516F6D">
            <w:pPr>
              <w:jc w:val="both"/>
              <w:rPr>
                <w:rFonts w:eastAsia="Times New Roman"/>
                <w:color w:val="000000"/>
                <w:lang w:val="lt-LT" w:eastAsia="lt-LT"/>
              </w:rPr>
            </w:pPr>
            <w:r w:rsidRPr="0036288C">
              <w:rPr>
                <w:spacing w:val="2"/>
                <w:lang w:val="lt-LT"/>
              </w:rPr>
              <w:t xml:space="preserve">d) </w:t>
            </w:r>
            <w:r w:rsidRPr="0036288C">
              <w:rPr>
                <w:rFonts w:eastAsia="Times New Roman"/>
                <w:color w:val="000000"/>
                <w:lang w:val="lt-LT" w:eastAsia="lt-LT"/>
              </w:rPr>
              <w:t>a)-c) punktuose išvardyti subjektai nedalyvauja subtiekėjais, tiekėjais ar subjektais, kurių pajėgumais remiasi tiekėjas, tais atvejais kai jiems tenka daugiau kaip 10 % sutarties vertės.</w:t>
            </w:r>
          </w:p>
          <w:p w14:paraId="542A0FE0" w14:textId="77777777" w:rsidR="00337501" w:rsidRPr="0036288C" w:rsidRDefault="00337501" w:rsidP="00516F6D">
            <w:pPr>
              <w:jc w:val="both"/>
              <w:rPr>
                <w:color w:val="000000"/>
                <w:shd w:val="clear" w:color="auto" w:fill="FFFFFF"/>
                <w:lang w:val="lt-LT"/>
              </w:rPr>
            </w:pPr>
            <w:r w:rsidRPr="0036288C">
              <w:rPr>
                <w:rFonts w:eastAsia="Times New Roman"/>
                <w:color w:val="000000"/>
                <w:lang w:val="lt-LT" w:eastAsia="lt-LT"/>
              </w:rPr>
              <w:t xml:space="preserve">e) tiekėjui/subtiekėjui kuriuos tiekėjas  pasitelkęs ar pasitelks ateityje, </w:t>
            </w:r>
            <w:r w:rsidRPr="0036288C">
              <w:rPr>
                <w:lang w:val="lt-LT"/>
              </w:rPr>
              <w:t xml:space="preserve">ūkio subjektams, kurių pajėgumais remiasi ar (ir) remsis, prekių (ir jų sudedamųjų dalių) gamintojams </w:t>
            </w:r>
            <w:r w:rsidRPr="0036288C">
              <w:rPr>
                <w:rFonts w:eastAsia="Times New Roman"/>
                <w:color w:val="000000"/>
                <w:lang w:val="lt-LT" w:eastAsia="lt-LT"/>
              </w:rPr>
              <w:t>netaikomos</w:t>
            </w:r>
            <w:r w:rsidRPr="0036288C">
              <w:rPr>
                <w:lang w:val="lt-LT"/>
              </w:rPr>
              <w:t xml:space="preserve"> Lietuvos Respublikoje įgyvendinamos tarptautinės sankcijos, kaip tai apibrėžta Lietuvos Respublikos tarptautinių sankcijų įstatyme.</w:t>
            </w:r>
          </w:p>
          <w:p w14:paraId="6CAFEACD" w14:textId="77777777" w:rsidR="00337501" w:rsidRPr="0036288C" w:rsidRDefault="00337501" w:rsidP="00516F6D">
            <w:pPr>
              <w:jc w:val="both"/>
              <w:rPr>
                <w:spacing w:val="2"/>
                <w:lang w:val="lt-LT"/>
              </w:rPr>
            </w:pPr>
          </w:p>
          <w:p w14:paraId="33CF9FED" w14:textId="77777777" w:rsidR="00337501" w:rsidRPr="0036288C" w:rsidRDefault="00337501" w:rsidP="00516F6D">
            <w:pPr>
              <w:jc w:val="both"/>
              <w:rPr>
                <w:spacing w:val="2"/>
                <w:lang w:val="lt-LT"/>
              </w:rPr>
            </w:pPr>
          </w:p>
          <w:p w14:paraId="3F371ED7" w14:textId="77777777" w:rsidR="00337501" w:rsidRPr="0036288C" w:rsidRDefault="00337501" w:rsidP="00516F6D">
            <w:pPr>
              <w:jc w:val="both"/>
              <w:rPr>
                <w:spacing w:val="2"/>
                <w:lang w:val="lt-LT"/>
              </w:rPr>
            </w:pPr>
          </w:p>
          <w:p w14:paraId="40A6EC7B" w14:textId="77777777" w:rsidR="00337501" w:rsidRPr="0036288C" w:rsidRDefault="00337501" w:rsidP="00516F6D">
            <w:pPr>
              <w:shd w:val="clear" w:color="auto" w:fill="FFFFFF"/>
              <w:ind w:firstLine="33"/>
              <w:jc w:val="both"/>
              <w:rPr>
                <w:lang w:val="lt-LT"/>
              </w:rPr>
            </w:pPr>
          </w:p>
        </w:tc>
        <w:tc>
          <w:tcPr>
            <w:tcW w:w="2720" w:type="pct"/>
            <w:tcBorders>
              <w:top w:val="single" w:sz="4" w:space="0" w:color="auto"/>
              <w:left w:val="single" w:sz="4" w:space="0" w:color="auto"/>
              <w:bottom w:val="single" w:sz="4" w:space="0" w:color="auto"/>
              <w:right w:val="single" w:sz="4" w:space="0" w:color="auto"/>
            </w:tcBorders>
          </w:tcPr>
          <w:p w14:paraId="5ECB045F" w14:textId="77777777" w:rsidR="00337501" w:rsidRPr="0036288C" w:rsidRDefault="00337501" w:rsidP="00337501">
            <w:pPr>
              <w:numPr>
                <w:ilvl w:val="0"/>
                <w:numId w:val="2"/>
              </w:numPr>
              <w:ind w:left="289"/>
              <w:contextualSpacing/>
              <w:jc w:val="both"/>
              <w:rPr>
                <w:rFonts w:eastAsia="Times New Roman"/>
                <w:lang w:val="lt-LT"/>
              </w:rPr>
            </w:pPr>
            <w:r w:rsidRPr="0036288C">
              <w:rPr>
                <w:rFonts w:eastAsia="Times New Roman"/>
                <w:bCs/>
                <w:lang w:val="lt-LT"/>
              </w:rPr>
              <w:t xml:space="preserve">Tiekėjas (taip pat subtiekėjas </w:t>
            </w:r>
            <w:r w:rsidRPr="0036288C">
              <w:rPr>
                <w:rFonts w:eastAsia="Times New Roman"/>
                <w:bCs/>
                <w:lang w:val="lt-LT" w:eastAsia="lt-LT"/>
                <w14:textOutline w14:w="0" w14:cap="flat" w14:cmpd="sng" w14:algn="ctr">
                  <w14:noFill/>
                  <w14:prstDash w14:val="solid"/>
                  <w14:bevel/>
                </w14:textOutline>
              </w:rPr>
              <w:t xml:space="preserve">(išskyrus </w:t>
            </w:r>
            <w:proofErr w:type="spellStart"/>
            <w:r w:rsidRPr="0036288C">
              <w:rPr>
                <w:rFonts w:eastAsia="Times New Roman"/>
                <w:bCs/>
                <w:lang w:val="lt-LT" w:eastAsia="lt-LT"/>
                <w14:textOutline w14:w="0" w14:cap="flat" w14:cmpd="sng" w14:algn="ctr">
                  <w14:noFill/>
                  <w14:prstDash w14:val="solid"/>
                  <w14:bevel/>
                </w14:textOutline>
              </w:rPr>
              <w:t>kvazisubtiekėjus</w:t>
            </w:r>
            <w:proofErr w:type="spellEnd"/>
            <w:r w:rsidRPr="0036288C">
              <w:rPr>
                <w:rFonts w:eastAsia="Times New Roman"/>
                <w:bCs/>
                <w:lang w:val="lt-LT" w:eastAsia="lt-LT"/>
                <w14:textOutline w14:w="0" w14:cap="flat" w14:cmpd="sng" w14:algn="ctr">
                  <w14:noFill/>
                  <w14:prstDash w14:val="solid"/>
                  <w14:bevel/>
                </w14:textOutline>
              </w:rPr>
              <w:t>), ūkio subjektas, kurio pajėgumais remiasi tiekėjas, dalyvaujantys pirkime)</w:t>
            </w:r>
            <w:r w:rsidRPr="0036288C">
              <w:rPr>
                <w:rFonts w:eastAsia="Times New Roman"/>
                <w:bCs/>
                <w:lang w:val="lt-LT"/>
              </w:rPr>
              <w:t xml:space="preserve"> teikiant pasiūlymą turi pateikti deklaraciją - užpildyti </w:t>
            </w:r>
            <w:r w:rsidRPr="009968BF">
              <w:rPr>
                <w:rFonts w:eastAsia="Times New Roman"/>
                <w:b/>
                <w:bCs/>
                <w:lang w:val="lt-LT"/>
              </w:rPr>
              <w:t>pirkimo sąlygų priedą „Tiekėjo/subtiekėjo deklaracija“,</w:t>
            </w:r>
            <w:r w:rsidRPr="009968BF">
              <w:rPr>
                <w:rFonts w:eastAsia="Times New Roman"/>
                <w:bCs/>
                <w:lang w:val="lt-LT"/>
              </w:rPr>
              <w:t xml:space="preserve"> </w:t>
            </w:r>
            <w:r w:rsidRPr="0036288C">
              <w:rPr>
                <w:rFonts w:eastAsia="Times New Roman"/>
                <w:bCs/>
                <w:lang w:val="lt-LT"/>
              </w:rPr>
              <w:t xml:space="preserve">kad tiekėjui, subtiekėjui </w:t>
            </w:r>
            <w:r w:rsidRPr="0036288C">
              <w:rPr>
                <w:rFonts w:eastAsia="Times New Roman"/>
                <w:bCs/>
                <w:lang w:val="lt-LT" w:eastAsia="lt-LT"/>
                <w14:textOutline w14:w="0" w14:cap="flat" w14:cmpd="sng" w14:algn="ctr">
                  <w14:noFill/>
                  <w14:prstDash w14:val="solid"/>
                  <w14:bevel/>
                </w14:textOutline>
              </w:rPr>
              <w:t xml:space="preserve">(išskyrus </w:t>
            </w:r>
            <w:proofErr w:type="spellStart"/>
            <w:r w:rsidRPr="0036288C">
              <w:rPr>
                <w:rFonts w:eastAsia="Times New Roman"/>
                <w:bCs/>
                <w:lang w:val="lt-LT" w:eastAsia="lt-LT"/>
                <w14:textOutline w14:w="0" w14:cap="flat" w14:cmpd="sng" w14:algn="ctr">
                  <w14:noFill/>
                  <w14:prstDash w14:val="solid"/>
                  <w14:bevel/>
                </w14:textOutline>
              </w:rPr>
              <w:t>kvazisubtiekėjus</w:t>
            </w:r>
            <w:proofErr w:type="spellEnd"/>
            <w:r w:rsidRPr="0036288C">
              <w:rPr>
                <w:rFonts w:eastAsia="Times New Roman"/>
                <w:bCs/>
                <w:lang w:val="lt-LT" w:eastAsia="lt-LT"/>
                <w14:textOutline w14:w="0" w14:cap="flat" w14:cmpd="sng" w14:algn="ctr">
                  <w14:noFill/>
                  <w14:prstDash w14:val="solid"/>
                  <w14:bevel/>
                </w14:textOutline>
              </w:rPr>
              <w:t>), ūkio subjektui, kurio pajėgumais remiasi tiekėjas, dalyvaujantiems šiame pirkime,</w:t>
            </w:r>
            <w:r w:rsidRPr="0036288C">
              <w:rPr>
                <w:rFonts w:eastAsia="Times New Roman"/>
                <w:bCs/>
                <w:lang w:val="lt-LT"/>
              </w:rPr>
              <w:t xml:space="preserve"> netaikomi Tarybos reglamente (ES) Nr. 833/2014 su visais pakeitimais nustatyti ribojimai</w:t>
            </w:r>
            <w:r w:rsidRPr="0036288C">
              <w:rPr>
                <w:rFonts w:eastAsia="Times New Roman"/>
                <w:lang w:val="lt-LT"/>
              </w:rPr>
              <w:t xml:space="preserve">. </w:t>
            </w:r>
          </w:p>
          <w:p w14:paraId="2D739A9D" w14:textId="77777777" w:rsidR="00337501" w:rsidRPr="0036288C" w:rsidRDefault="00337501" w:rsidP="00337501">
            <w:pPr>
              <w:numPr>
                <w:ilvl w:val="0"/>
                <w:numId w:val="2"/>
              </w:numPr>
              <w:ind w:left="289"/>
              <w:contextualSpacing/>
              <w:jc w:val="both"/>
              <w:rPr>
                <w:rFonts w:eastAsia="Times New Roman"/>
                <w:lang w:val="lt-LT"/>
              </w:rPr>
            </w:pPr>
            <w:r w:rsidRPr="0036288C">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6FF344E" w14:textId="77777777" w:rsidR="00337501" w:rsidRPr="0036288C" w:rsidRDefault="00337501" w:rsidP="00516F6D">
            <w:pPr>
              <w:numPr>
                <w:ilvl w:val="0"/>
                <w:numId w:val="1"/>
              </w:numPr>
              <w:suppressAutoHyphens/>
              <w:contextualSpacing/>
              <w:jc w:val="both"/>
              <w:rPr>
                <w:rFonts w:eastAsia="Calibri"/>
                <w:bCs/>
                <w:iCs/>
                <w:lang w:val="lt-LT" w:eastAsia="zh-CN"/>
              </w:rPr>
            </w:pPr>
            <w:r w:rsidRPr="0036288C">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36288C">
              <w:rPr>
                <w:rFonts w:eastAsia="Calibri"/>
                <w:bCs/>
                <w:iCs/>
                <w:lang w:val="lt-LT" w:eastAsia="zh-CN"/>
              </w:rPr>
              <w:t xml:space="preserve">; </w:t>
            </w:r>
          </w:p>
          <w:p w14:paraId="478661D0" w14:textId="77777777" w:rsidR="00337501" w:rsidRPr="0036288C" w:rsidRDefault="00337501" w:rsidP="00516F6D">
            <w:pPr>
              <w:numPr>
                <w:ilvl w:val="0"/>
                <w:numId w:val="1"/>
              </w:numPr>
              <w:suppressAutoHyphens/>
              <w:contextualSpacing/>
              <w:jc w:val="both"/>
              <w:rPr>
                <w:rFonts w:eastAsia="Calibri"/>
                <w:bCs/>
                <w:iCs/>
                <w:lang w:val="lt-LT" w:eastAsia="zh-CN"/>
              </w:rPr>
            </w:pPr>
            <w:r w:rsidRPr="0036288C">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9633B5D" w14:textId="77777777" w:rsidR="00337501" w:rsidRPr="0036288C" w:rsidRDefault="00337501" w:rsidP="00516F6D">
            <w:pPr>
              <w:jc w:val="both"/>
              <w:rPr>
                <w:lang w:val="lt-LT"/>
              </w:rPr>
            </w:pPr>
          </w:p>
          <w:p w14:paraId="3EE9073F" w14:textId="77777777" w:rsidR="00337501" w:rsidRPr="0036288C" w:rsidRDefault="00337501" w:rsidP="00516F6D">
            <w:pPr>
              <w:jc w:val="both"/>
              <w:rPr>
                <w:rFonts w:eastAsia="Times New Roman"/>
                <w:lang w:val="lt-LT"/>
              </w:rPr>
            </w:pPr>
            <w:r w:rsidRPr="0036288C">
              <w:rPr>
                <w:lang w:val="lt-LT"/>
              </w:rPr>
              <w:t xml:space="preserve">Dokumentai, kuriuose nenurodytas jų galiojimo terminas, turi būti išduoti ar atspausdinti iš informacinės sistemos ne anksčiau kaip likus </w:t>
            </w:r>
            <w:r w:rsidRPr="0036288C">
              <w:rPr>
                <w:b/>
                <w:bCs/>
                <w:lang w:val="lt-LT"/>
              </w:rPr>
              <w:t>3 mėnesiams</w:t>
            </w:r>
            <w:r w:rsidRPr="0036288C">
              <w:rPr>
                <w:lang w:val="lt-LT"/>
              </w:rPr>
              <w:t xml:space="preserve"> iki </w:t>
            </w:r>
            <w:r w:rsidRPr="0036288C">
              <w:rPr>
                <w:rFonts w:eastAsia="Times New Roman"/>
                <w:lang w:val="lt-LT"/>
              </w:rPr>
              <w:t xml:space="preserve">tos dienos, kurią perkančiosios organizacijos prašymu tiekėjas turi pateikti dokumentus. </w:t>
            </w:r>
          </w:p>
          <w:p w14:paraId="0CC7D907" w14:textId="77777777" w:rsidR="00337501" w:rsidRPr="0036288C" w:rsidRDefault="00337501" w:rsidP="00516F6D">
            <w:pPr>
              <w:jc w:val="both"/>
              <w:rPr>
                <w:rFonts w:eastAsia="Calibri"/>
                <w:b/>
                <w:bCs/>
                <w:lang w:val="lt-LT"/>
              </w:rPr>
            </w:pPr>
          </w:p>
        </w:tc>
      </w:tr>
    </w:tbl>
    <w:p w14:paraId="63D2292D" w14:textId="77777777" w:rsidR="00337501" w:rsidRPr="00FB6CB0" w:rsidRDefault="00205AB1" w:rsidP="00337501">
      <w:pPr>
        <w:pStyle w:val="Body2"/>
        <w:rPr>
          <w:color w:val="auto"/>
          <w:lang w:val="lt-LT"/>
        </w:rPr>
      </w:pPr>
      <w:r w:rsidRPr="00370648">
        <w:rPr>
          <w:lang w:val="lt-LT"/>
        </w:rPr>
        <w:lastRenderedPageBreak/>
        <w:tab/>
      </w:r>
      <w:r w:rsidRPr="00370648">
        <w:rPr>
          <w:lang w:val="lt-LT"/>
        </w:rPr>
        <w:br/>
      </w:r>
      <w:r w:rsidRPr="00370648">
        <w:rPr>
          <w:lang w:val="lt-LT"/>
        </w:rPr>
        <w:tab/>
      </w:r>
      <w:r w:rsidR="00337501" w:rsidRPr="00FB6CB0">
        <w:rPr>
          <w:i/>
          <w:sz w:val="20"/>
          <w:szCs w:val="20"/>
          <w:lang w:val="lt-LT"/>
        </w:rPr>
        <w:t>*- Tiekėjas pateikdamas dokumentus, deklaruoja, kad pateikiamos kopijos atitinka originalus.</w:t>
      </w:r>
      <w:r w:rsidR="00337501" w:rsidRPr="00FB6CB0">
        <w:rPr>
          <w:sz w:val="20"/>
          <w:szCs w:val="20"/>
          <w:lang w:val="lt-LT"/>
        </w:rPr>
        <w:t xml:space="preserve"> </w:t>
      </w:r>
      <w:r w:rsidR="00337501" w:rsidRPr="00FB6CB0">
        <w:rPr>
          <w:i/>
          <w:sz w:val="20"/>
          <w:szCs w:val="20"/>
          <w:lang w:val="lt-LT"/>
        </w:rPr>
        <w:t xml:space="preserve">Perkančioji organizacija </w:t>
      </w:r>
      <w:r w:rsidR="00337501" w:rsidRPr="00FB6CB0">
        <w:rPr>
          <w:rStyle w:val="apple-style-span"/>
          <w:i/>
          <w:sz w:val="20"/>
          <w:szCs w:val="20"/>
          <w:lang w:val="lt-LT"/>
        </w:rPr>
        <w:t>pasilieka teisę prašyti tiekėjo pateikti pažymų ar kitų su pasiūlymu teikiamų dokumentų originalus</w:t>
      </w:r>
    </w:p>
    <w:p w14:paraId="02ED473A" w14:textId="77777777" w:rsidR="00337501" w:rsidRDefault="00337501" w:rsidP="00AC4198">
      <w:pPr>
        <w:pStyle w:val="Body2"/>
        <w:ind w:firstLine="720"/>
        <w:rPr>
          <w:lang w:val="lt-LT"/>
        </w:rPr>
      </w:pPr>
    </w:p>
    <w:p w14:paraId="680C9635" w14:textId="77777777" w:rsidR="001A0C58" w:rsidRDefault="00205AB1" w:rsidP="00AC4198">
      <w:pPr>
        <w:pStyle w:val="Body2"/>
        <w:ind w:firstLine="720"/>
        <w:rPr>
          <w:lang w:val="lt-LT"/>
        </w:rPr>
      </w:pPr>
      <w:r w:rsidRPr="00370648">
        <w:rPr>
          <w:lang w:val="lt-LT"/>
        </w:rPr>
        <w:t>3.</w:t>
      </w:r>
      <w:r w:rsidR="00337501">
        <w:rPr>
          <w:lang w:val="lt-LT"/>
        </w:rPr>
        <w:t>5</w:t>
      </w:r>
      <w:r w:rsidRPr="00370648">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w:t>
      </w:r>
      <w:r w:rsidR="00337501">
        <w:rPr>
          <w:lang w:val="lt-LT"/>
        </w:rPr>
        <w:t>6</w:t>
      </w:r>
      <w:r w:rsidRPr="00370648">
        <w:rPr>
          <w:lang w:val="lt-LT"/>
        </w:rPr>
        <w:t>.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 xml:space="preserve">5.7. Pasiūlymas turi galioti ne trumpiau nei </w:t>
      </w:r>
      <w:r w:rsidR="00337501">
        <w:rPr>
          <w:lang w:val="lt-LT"/>
        </w:rPr>
        <w:t>3 mėnesius</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 xml:space="preserve">5.10. </w:t>
      </w:r>
      <w:r w:rsidRPr="001A0C58">
        <w:rPr>
          <w:b/>
          <w:lang w:val="lt-LT"/>
        </w:rPr>
        <w:t>Pasiūlymas turi būti pateikiamas CVP IS priemonėmis, kurį turi sudaryti užpildyta pasiūlymo forma parengta pagal pirkimo sąlygų priedą ir šie pasiūlymo priedai</w:t>
      </w:r>
      <w:r w:rsidRPr="00370648">
        <w:rPr>
          <w:lang w:val="lt-LT"/>
        </w:rPr>
        <w:t>:</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Užpildytas Europos bendrasis viešųjų pirkimų dokumentas (EBVPD) parengtas pagal pirkimo sąlygų priedą.</w:t>
      </w:r>
    </w:p>
    <w:p w14:paraId="45EB6E7C" w14:textId="77777777" w:rsidR="001A0C58" w:rsidRDefault="001A0C58" w:rsidP="001A0C58">
      <w:pPr>
        <w:pStyle w:val="Body2"/>
        <w:ind w:firstLine="720"/>
        <w:rPr>
          <w:rFonts w:cs="Times New Roman"/>
          <w:color w:val="auto"/>
          <w:lang w:val="lt-LT"/>
        </w:rPr>
      </w:pPr>
      <w:r w:rsidRPr="00FB6CB0">
        <w:rPr>
          <w:color w:val="auto"/>
          <w:lang w:val="lt-LT"/>
        </w:rPr>
        <w:t>5.10.</w:t>
      </w:r>
      <w:r>
        <w:rPr>
          <w:color w:val="auto"/>
        </w:rPr>
        <w:t>4</w:t>
      </w:r>
      <w:r w:rsidRPr="00FB6CB0">
        <w:rPr>
          <w:color w:val="auto"/>
          <w:lang w:val="lt-LT"/>
        </w:rPr>
        <w:t>. U</w:t>
      </w:r>
      <w:r w:rsidRPr="00FB6CB0">
        <w:rPr>
          <w:rFonts w:cs="Times New Roman"/>
          <w:color w:val="auto"/>
          <w:lang w:val="lt-LT"/>
        </w:rPr>
        <w:t>žpildyta ir pasirašyta „Tiekėjo</w:t>
      </w:r>
      <w:r>
        <w:rPr>
          <w:rFonts w:cs="Times New Roman"/>
          <w:color w:val="auto"/>
          <w:lang w:val="lt-LT"/>
        </w:rPr>
        <w:t>/subtiekėjo</w:t>
      </w:r>
      <w:r w:rsidRPr="00FB6CB0">
        <w:rPr>
          <w:rFonts w:cs="Times New Roman"/>
          <w:color w:val="auto"/>
          <w:lang w:val="lt-LT"/>
        </w:rPr>
        <w:t xml:space="preserve"> </w:t>
      </w:r>
      <w:r w:rsidRPr="005507D8">
        <w:rPr>
          <w:rFonts w:cs="Times New Roman"/>
          <w:color w:val="auto"/>
          <w:lang w:val="lt-LT"/>
        </w:rPr>
        <w:t>“ pagal pirkimo sąlygų priedą;</w:t>
      </w:r>
    </w:p>
    <w:p w14:paraId="73FA65DB" w14:textId="77777777" w:rsidR="001A0C58" w:rsidRPr="009B22DE" w:rsidRDefault="001A0C58" w:rsidP="001A0C58">
      <w:pPr>
        <w:pStyle w:val="Body2"/>
        <w:ind w:firstLine="720"/>
        <w:rPr>
          <w:lang w:val="lt-LT"/>
        </w:rPr>
      </w:pPr>
      <w:r w:rsidRPr="009B22DE">
        <w:rPr>
          <w:lang w:val="lt-LT"/>
        </w:rPr>
        <w:t>5.10.</w:t>
      </w:r>
      <w:r>
        <w:rPr>
          <w:lang w:val="lt-LT"/>
        </w:rPr>
        <w:t>5</w:t>
      </w:r>
      <w:r w:rsidRPr="009B22DE">
        <w:rPr>
          <w:lang w:val="lt-LT"/>
        </w:rPr>
        <w:t xml:space="preserve">. </w:t>
      </w:r>
      <w:r w:rsidRPr="005507D8">
        <w:rPr>
          <w:lang w:val="lt-LT"/>
        </w:rPr>
        <w:t>Užpildyta ir pasirašyta  „Deklaracija dėl atsakingų asmenų“ pagal pirkimo sąlygų priedą.</w:t>
      </w:r>
    </w:p>
    <w:p w14:paraId="14B3CF11" w14:textId="77777777" w:rsidR="00E2493E" w:rsidRDefault="001A0C58" w:rsidP="001A0C58">
      <w:pPr>
        <w:pStyle w:val="Body2"/>
        <w:ind w:firstLine="720"/>
        <w:rPr>
          <w:lang w:val="lt-LT"/>
        </w:rPr>
      </w:pPr>
      <w:r w:rsidRPr="00FB6CB0">
        <w:rPr>
          <w:color w:val="auto"/>
          <w:lang w:val="lt-LT"/>
        </w:rPr>
        <w:t>5.10.</w:t>
      </w:r>
      <w:r>
        <w:rPr>
          <w:color w:val="auto"/>
          <w:lang w:val="lt-LT"/>
        </w:rPr>
        <w:t>6</w:t>
      </w:r>
      <w:r w:rsidRPr="00FB6CB0">
        <w:rPr>
          <w:color w:val="auto"/>
          <w:lang w:val="lt-LT"/>
        </w:rPr>
        <w:t>.</w:t>
      </w:r>
      <w:r w:rsidRPr="00FB6CB0">
        <w:rPr>
          <w:lang w:val="lt-LT"/>
        </w:rPr>
        <w:t xml:space="preserve"> </w:t>
      </w:r>
      <w:r w:rsidRPr="00021D9B">
        <w:rPr>
          <w:b/>
          <w:bCs/>
          <w:lang w:val="lt-LT"/>
        </w:rPr>
        <w:t xml:space="preserve">Tiekėjo siūlomų prekių dokumentai.  Tiekėjas privalo pateikti siūlomų prekių gamintojo katalogus/ bukletus/ brošiūras, ar kitus dokumentus su išsamiu siūlomų prekių techninių charakteristikų aprašymu – prekės pavadinimu, modeliu (jei yra), gamintoju, techninėmis charakteristikomis pagal techninės specifikacijos reikalavimus, prekių kodais (jei taikoma), bei visa </w:t>
      </w:r>
      <w:r w:rsidRPr="00021D9B">
        <w:rPr>
          <w:b/>
          <w:bCs/>
          <w:lang w:val="lt-LT"/>
        </w:rPr>
        <w:lastRenderedPageBreak/>
        <w:t>informacija, pagrindžiančia prekės atitikimą techninei specifikacijai originalo (anglų) ir/arba lietuvių kalba. Siūlomų prekių gamintojo kataloguose/ bukletuose/ brošiūrose ar kituose dokumentuose privaloma grafiškai nurodyti (t. y. pastebimai pažymėti – spalvotai paženklinti, ir/ar nurodyti rodyklėmis, ir/ar pabraukti) konkrečias teikiamų dokumentų vietas, kur aprašomos reikalaujamų techninių charakteristikų reikšmės. Reikalaujamas techninės dokumentacijos vietas, kuriose nurodyti techninėje specifikacijoje reikalaujami Prekių parametrai, išversti į lietuvių kalbą (jeigu pateikiama ne lietuvių kalba).</w:t>
      </w:r>
      <w:r w:rsidR="00205AB1" w:rsidRPr="00370648">
        <w:rPr>
          <w:lang w:val="lt-LT"/>
        </w:rPr>
        <w:tab/>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br/>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05DCEBCB" w14:textId="5A05C753" w:rsidR="001A0C58" w:rsidRDefault="00E2493E" w:rsidP="001A0C58">
      <w:pPr>
        <w:pStyle w:val="Body2"/>
        <w:ind w:firstLine="720"/>
        <w:rPr>
          <w:lang w:val="lt-LT"/>
        </w:rPr>
      </w:pPr>
      <w:r>
        <w:rPr>
          <w:lang w:val="lt-LT"/>
        </w:rPr>
        <w:t xml:space="preserve">5.15. </w:t>
      </w:r>
      <w:r w:rsidRPr="00FB6CB0">
        <w:rPr>
          <w:lang w:val="lt-LT"/>
        </w:rPr>
        <w:t xml:space="preserve">Perkančioji organizacija </w:t>
      </w:r>
      <w:r>
        <w:rPr>
          <w:lang w:val="lt-LT"/>
        </w:rPr>
        <w:t>ne</w:t>
      </w:r>
      <w:r w:rsidRPr="00FB6CB0">
        <w:rPr>
          <w:lang w:val="lt-LT"/>
        </w:rPr>
        <w:t>reikalauja pasiūlymą pasirašyti elektroniniu parašu</w:t>
      </w:r>
      <w:r>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lastRenderedPageBreak/>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370648">
        <w:rPr>
          <w:lang w:val="lt-LT"/>
        </w:rPr>
        <w:tab/>
      </w:r>
      <w:r w:rsidR="00205AB1" w:rsidRPr="00370648">
        <w:rPr>
          <w:lang w:val="lt-LT"/>
        </w:rPr>
        <w:br/>
      </w:r>
      <w:r w:rsidR="00205AB1" w:rsidRPr="00370648">
        <w:rPr>
          <w:lang w:val="lt-LT"/>
        </w:rPr>
        <w:tab/>
        <w:t>11.1.2. įvertina EBVPD pateiktą informaciją ir ne vėliau kaip per 3 darbo dienas raštu praneša apie šio patikrinimo rezultatus;</w:t>
      </w:r>
      <w:r w:rsidR="00205AB1" w:rsidRPr="00370648">
        <w:rPr>
          <w:lang w:val="lt-LT"/>
        </w:rPr>
        <w:tab/>
      </w:r>
      <w:r w:rsidR="00205AB1" w:rsidRPr="00370648">
        <w:rPr>
          <w:lang w:val="lt-LT"/>
        </w:rPr>
        <w:br/>
      </w:r>
      <w:r w:rsidR="00205AB1" w:rsidRPr="00370648">
        <w:rPr>
          <w:lang w:val="lt-LT"/>
        </w:rPr>
        <w:tab/>
        <w:t>11.1.3. nagrinėja ar pasiūlymas atitinka pirkimo dokumentuose nustatytus reikalavimus, nesusijusius su pirkimo objektu;</w:t>
      </w:r>
      <w:r w:rsidR="00205AB1" w:rsidRPr="00370648">
        <w:rPr>
          <w:lang w:val="lt-LT"/>
        </w:rPr>
        <w:tab/>
      </w:r>
      <w:r w:rsidR="00205AB1" w:rsidRPr="00370648">
        <w:rPr>
          <w:lang w:val="lt-LT"/>
        </w:rPr>
        <w:br/>
      </w:r>
      <w:r w:rsidR="00205AB1" w:rsidRPr="00370648">
        <w:rPr>
          <w:lang w:val="lt-LT"/>
        </w:rPr>
        <w:tab/>
        <w:t>11.1.4.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11.1.5. tikrina, ar tiekėjo pasiūlyme nėra nurodytos kainos apskaičiavimo klaidų;</w:t>
      </w:r>
      <w:r w:rsidR="00205AB1" w:rsidRPr="00370648">
        <w:rPr>
          <w:lang w:val="lt-LT"/>
        </w:rPr>
        <w:tab/>
      </w:r>
      <w:r w:rsidR="00205AB1" w:rsidRPr="00370648">
        <w:rPr>
          <w:lang w:val="lt-LT"/>
        </w:rPr>
        <w:br/>
      </w:r>
      <w:r w:rsidR="00205AB1" w:rsidRPr="00370648">
        <w:rPr>
          <w:lang w:val="lt-LT"/>
        </w:rPr>
        <w:lastRenderedPageBreak/>
        <w:tab/>
        <w:t>11.1.6. tikrina ar nebuvo pasiūlyta neįprastai maža kaina ir ar tiekėjas pirkimo komisijos prašymu pateikė raštišką tinkamą kainos pagrįstumo įrodymą;</w:t>
      </w:r>
      <w:r w:rsidR="00205AB1" w:rsidRPr="00370648">
        <w:rPr>
          <w:lang w:val="lt-LT"/>
        </w:rPr>
        <w:tab/>
      </w:r>
      <w:r w:rsidR="00205AB1" w:rsidRPr="00370648">
        <w:rPr>
          <w:lang w:val="lt-LT"/>
        </w:rPr>
        <w:br/>
      </w:r>
      <w:r w:rsidR="00205AB1" w:rsidRPr="00370648">
        <w:rPr>
          <w:lang w:val="lt-LT"/>
        </w:rPr>
        <w:tab/>
        <w:t>11.1.7.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205AB1" w:rsidRPr="00370648">
        <w:rPr>
          <w:lang w:val="lt-LT"/>
        </w:rPr>
        <w:tab/>
      </w:r>
      <w:r w:rsidR="00205AB1" w:rsidRPr="00370648">
        <w:rPr>
          <w:lang w:val="lt-LT"/>
        </w:rPr>
        <w:br/>
      </w:r>
      <w:r w:rsidR="00205AB1" w:rsidRPr="00370648">
        <w:rPr>
          <w:lang w:val="lt-LT"/>
        </w:rPr>
        <w:tab/>
        <w:t>11.1.8. sudaro pasiūlymų eilę ir nustato pirkimo laimėtoją;</w:t>
      </w:r>
      <w:r w:rsidR="00205AB1" w:rsidRPr="00370648">
        <w:rPr>
          <w:lang w:val="lt-LT"/>
        </w:rPr>
        <w:tab/>
      </w:r>
      <w:r w:rsidR="00205AB1" w:rsidRPr="00370648">
        <w:rPr>
          <w:lang w:val="lt-LT"/>
        </w:rPr>
        <w:br/>
      </w:r>
      <w:r w:rsidR="00205AB1" w:rsidRPr="00370648">
        <w:rPr>
          <w:lang w:val="lt-LT"/>
        </w:rPr>
        <w:tab/>
        <w:t>11.1.9.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1A0C58" w:rsidRPr="00FB6CB0">
        <w:rPr>
          <w:lang w:val="lt-LT"/>
        </w:rPr>
        <w:t>12.1. Elektroninis aukcionas nerengiamas.</w:t>
      </w:r>
    </w:p>
    <w:p w14:paraId="7EFC2F6A" w14:textId="77777777" w:rsidR="003177E2" w:rsidRDefault="00205AB1" w:rsidP="003177E2">
      <w:pPr>
        <w:pStyle w:val="Body2"/>
        <w:ind w:firstLine="720"/>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lastRenderedPageBreak/>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 xml:space="preserve">13.1.7. </w:t>
      </w:r>
      <w:r w:rsidR="00355F96">
        <w:rPr>
          <w:lang w:val="lt-LT"/>
        </w:rPr>
        <w:t>t</w:t>
      </w:r>
      <w:r w:rsidRPr="00370648">
        <w:rPr>
          <w:lang w:val="lt-LT"/>
        </w:rPr>
        <w: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370648">
        <w:rPr>
          <w:lang w:val="lt-LT"/>
        </w:rPr>
        <w:tab/>
      </w:r>
      <w:r w:rsidRPr="00370648">
        <w:rPr>
          <w:lang w:val="lt-LT"/>
        </w:rPr>
        <w:br/>
      </w:r>
      <w:r w:rsidRPr="00370648">
        <w:rPr>
          <w:lang w:val="lt-LT"/>
        </w:rPr>
        <w:tab/>
        <w:t xml:space="preserve">13.1.10. </w:t>
      </w:r>
      <w:r w:rsidR="00355F96">
        <w:rPr>
          <w:lang w:val="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355F96">
        <w:rPr>
          <w:lang w:val="lt-LT"/>
        </w:rPr>
        <w:t>833/2014 su visais pakeitimais</w:t>
      </w:r>
      <w:r w:rsidR="00355F96">
        <w:rPr>
          <w:lang w:val="lt-LT"/>
          <w14:textOutline w14:w="0" w14:cap="flat" w14:cmpd="sng" w14:algn="ctr">
            <w14:noFill/>
            <w14:prstDash w14:val="solid"/>
            <w14:bevel/>
          </w14:textOutline>
        </w:rPr>
        <w:t xml:space="preserve"> nustatytų sąlygų nebuvimo</w:t>
      </w:r>
      <w:r w:rsidRPr="00370648">
        <w:rPr>
          <w:lang w:val="lt-LT"/>
        </w:rPr>
        <w:t>.</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w:t>
      </w:r>
      <w:r w:rsidRPr="00370648">
        <w:rPr>
          <w:lang w:val="lt-LT"/>
        </w:rPr>
        <w:lastRenderedPageBreak/>
        <w:t>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Pr="00370648">
        <w:rPr>
          <w:lang w:val="lt-LT"/>
        </w:rPr>
        <w:tab/>
      </w:r>
      <w:r w:rsidRPr="00370648">
        <w:rPr>
          <w:lang w:val="lt-LT"/>
        </w:rPr>
        <w:br/>
      </w:r>
      <w:r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 xml:space="preserve">16.6. Jeigu perkančioji organizacija per nustatytą terminą neišnagrinėja jai pateiktos pretenzijos, </w:t>
      </w:r>
      <w:r w:rsidRPr="00370648">
        <w:rPr>
          <w:lang w:val="lt-LT"/>
        </w:rPr>
        <w:lastRenderedPageBreak/>
        <w:t>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r>
      <w:r w:rsidR="003177E2" w:rsidRPr="00370648">
        <w:rPr>
          <w:lang w:val="lt-LT"/>
        </w:rPr>
        <w:t>19.1.  Prie pirkimo sąlygų pridedami šie priedai:</w:t>
      </w:r>
      <w:r w:rsidR="003177E2" w:rsidRPr="00370648">
        <w:rPr>
          <w:lang w:val="lt-LT"/>
        </w:rPr>
        <w:tab/>
      </w:r>
      <w:r w:rsidR="003177E2" w:rsidRPr="00370648">
        <w:rPr>
          <w:lang w:val="lt-LT"/>
        </w:rPr>
        <w:tab/>
      </w:r>
      <w:r w:rsidR="003177E2" w:rsidRPr="00370648">
        <w:rPr>
          <w:lang w:val="lt-LT"/>
        </w:rPr>
        <w:br/>
      </w:r>
      <w:r w:rsidR="003177E2" w:rsidRPr="00370648">
        <w:rPr>
          <w:lang w:val="lt-LT"/>
        </w:rPr>
        <w:tab/>
        <w:t>19.1.</w:t>
      </w:r>
      <w:r w:rsidR="003177E2">
        <w:rPr>
          <w:lang w:val="lt-LT"/>
        </w:rPr>
        <w:t>1</w:t>
      </w:r>
      <w:r w:rsidR="003177E2" w:rsidRPr="00370648">
        <w:rPr>
          <w:lang w:val="lt-LT"/>
        </w:rPr>
        <w:t>. Pasiūlymo forma.</w:t>
      </w:r>
      <w:r w:rsidR="003177E2" w:rsidRPr="00370648">
        <w:rPr>
          <w:lang w:val="lt-LT"/>
        </w:rPr>
        <w:tab/>
      </w:r>
      <w:r w:rsidR="003177E2" w:rsidRPr="00370648">
        <w:rPr>
          <w:lang w:val="lt-LT"/>
        </w:rPr>
        <w:br/>
      </w:r>
      <w:r w:rsidR="003177E2" w:rsidRPr="00370648">
        <w:rPr>
          <w:lang w:val="lt-LT"/>
        </w:rPr>
        <w:tab/>
        <w:t>19.1.</w:t>
      </w:r>
      <w:r w:rsidR="003177E2">
        <w:rPr>
          <w:lang w:val="lt-LT"/>
        </w:rPr>
        <w:t>2</w:t>
      </w:r>
      <w:r w:rsidR="003177E2" w:rsidRPr="00370648">
        <w:rPr>
          <w:lang w:val="lt-LT"/>
        </w:rPr>
        <w:t xml:space="preserve">. </w:t>
      </w:r>
      <w:r w:rsidR="003177E2">
        <w:rPr>
          <w:lang w:val="lt-LT"/>
        </w:rPr>
        <w:t>S</w:t>
      </w:r>
      <w:r w:rsidR="003177E2" w:rsidRPr="00370648">
        <w:rPr>
          <w:lang w:val="lt-LT"/>
        </w:rPr>
        <w:t>utarties</w:t>
      </w:r>
      <w:r w:rsidR="003177E2">
        <w:rPr>
          <w:lang w:val="lt-LT"/>
        </w:rPr>
        <w:t xml:space="preserve"> specialiosios sąlygos</w:t>
      </w:r>
      <w:r w:rsidR="003177E2" w:rsidRPr="00370648">
        <w:rPr>
          <w:lang w:val="lt-LT"/>
        </w:rPr>
        <w:t>.</w:t>
      </w:r>
    </w:p>
    <w:p w14:paraId="2BB3E048" w14:textId="77777777" w:rsidR="003177E2" w:rsidRDefault="003177E2" w:rsidP="003177E2">
      <w:pPr>
        <w:pStyle w:val="Body2"/>
        <w:ind w:firstLine="720"/>
        <w:rPr>
          <w:lang w:val="lt-LT"/>
        </w:rPr>
      </w:pPr>
      <w:r>
        <w:rPr>
          <w:lang w:val="lt-LT"/>
        </w:rPr>
        <w:t>19.1.3. Sutarties bendrosios sąlygos.</w:t>
      </w:r>
      <w:r w:rsidRPr="00370648">
        <w:rPr>
          <w:lang w:val="lt-LT"/>
        </w:rPr>
        <w:tab/>
      </w:r>
      <w:r w:rsidRPr="00370648">
        <w:rPr>
          <w:lang w:val="lt-LT"/>
        </w:rPr>
        <w:br/>
      </w:r>
      <w:r w:rsidRPr="00370648">
        <w:rPr>
          <w:lang w:val="lt-LT"/>
        </w:rPr>
        <w:tab/>
        <w:t>19.1.</w:t>
      </w:r>
      <w:r>
        <w:rPr>
          <w:lang w:val="lt-LT"/>
        </w:rPr>
        <w:t>4</w:t>
      </w:r>
      <w:r w:rsidRPr="00370648">
        <w:rPr>
          <w:lang w:val="lt-LT"/>
        </w:rPr>
        <w:t>. Europos bendrasis viešųjų pirkimų dokumentas (EBVPD).</w:t>
      </w:r>
      <w:r w:rsidRPr="00370648">
        <w:rPr>
          <w:lang w:val="lt-LT"/>
        </w:rPr>
        <w:tab/>
      </w:r>
      <w:r w:rsidRPr="00370648">
        <w:rPr>
          <w:lang w:val="lt-LT"/>
        </w:rPr>
        <w:br/>
      </w:r>
      <w:r w:rsidRPr="00370648">
        <w:rPr>
          <w:lang w:val="lt-LT"/>
        </w:rPr>
        <w:tab/>
        <w:t>19.1.</w:t>
      </w:r>
      <w:r>
        <w:rPr>
          <w:lang w:val="lt-LT"/>
        </w:rPr>
        <w:t>5</w:t>
      </w:r>
      <w:r w:rsidRPr="00370648">
        <w:rPr>
          <w:lang w:val="lt-LT"/>
        </w:rPr>
        <w:t>.</w:t>
      </w:r>
      <w:r w:rsidRPr="00A30CD2">
        <w:rPr>
          <w:lang w:val="lt-LT"/>
        </w:rPr>
        <w:t xml:space="preserve"> </w:t>
      </w:r>
      <w:r w:rsidRPr="00FB6CB0">
        <w:rPr>
          <w:lang w:val="lt-LT"/>
        </w:rPr>
        <w:t>Pašalinimo pagrindai</w:t>
      </w:r>
      <w:r w:rsidRPr="00370648">
        <w:rPr>
          <w:lang w:val="lt-LT"/>
        </w:rPr>
        <w:t>.</w:t>
      </w:r>
    </w:p>
    <w:p w14:paraId="2EAFFDDA" w14:textId="77777777" w:rsidR="003177E2" w:rsidRPr="00FB6CB0" w:rsidRDefault="003177E2" w:rsidP="003177E2">
      <w:pPr>
        <w:pStyle w:val="Body2"/>
        <w:ind w:firstLine="720"/>
        <w:rPr>
          <w:color w:val="auto"/>
          <w:lang w:val="lt-LT"/>
        </w:rPr>
      </w:pPr>
      <w:r w:rsidRPr="00FB6CB0">
        <w:rPr>
          <w:color w:val="auto"/>
          <w:lang w:val="lt-LT"/>
        </w:rPr>
        <w:t>1</w:t>
      </w:r>
      <w:r>
        <w:rPr>
          <w:color w:val="auto"/>
          <w:lang w:val="lt-LT"/>
        </w:rPr>
        <w:t>9</w:t>
      </w:r>
      <w:r w:rsidRPr="00FB6CB0">
        <w:rPr>
          <w:color w:val="auto"/>
          <w:lang w:val="lt-LT"/>
        </w:rPr>
        <w:t>.1.</w:t>
      </w:r>
      <w:r>
        <w:rPr>
          <w:color w:val="auto"/>
          <w:lang w:val="lt-LT"/>
        </w:rPr>
        <w:t>6</w:t>
      </w:r>
      <w:r w:rsidRPr="00FB6CB0">
        <w:rPr>
          <w:color w:val="auto"/>
          <w:lang w:val="lt-LT"/>
        </w:rPr>
        <w:t>. Tiekėjo deklaracija dėl Tarybos Reglamente (ES) 2022576 nustatytų sąlygų nebuvimo.</w:t>
      </w:r>
    </w:p>
    <w:p w14:paraId="30AA69EA" w14:textId="77777777" w:rsidR="003177E2" w:rsidRDefault="003177E2" w:rsidP="003177E2">
      <w:pPr>
        <w:pStyle w:val="Body2"/>
        <w:rPr>
          <w:lang w:val="lt-LT"/>
        </w:rPr>
      </w:pPr>
      <w:r>
        <w:rPr>
          <w:color w:val="auto"/>
          <w:lang w:val="lt-LT"/>
        </w:rPr>
        <w:t xml:space="preserve">             19.1.7. Tiekėjo/subtiekėjo d</w:t>
      </w:r>
      <w:r w:rsidRPr="00281921">
        <w:rPr>
          <w:lang w:val="lt-LT"/>
        </w:rPr>
        <w:t>eklaracija</w:t>
      </w:r>
      <w:r>
        <w:rPr>
          <w:lang w:val="lt-LT"/>
        </w:rPr>
        <w:t>.</w:t>
      </w:r>
    </w:p>
    <w:p w14:paraId="39DFE4DF" w14:textId="7377D6F3" w:rsidR="00205AB1" w:rsidRDefault="00205AB1" w:rsidP="001A0C58">
      <w:pPr>
        <w:pStyle w:val="Body2"/>
        <w:ind w:firstLine="720"/>
        <w:rPr>
          <w:lang w:val="lt-LT"/>
        </w:rPr>
      </w:pPr>
    </w:p>
    <w:p w14:paraId="577E2E9F" w14:textId="1ECF7DD4" w:rsidR="003177E2" w:rsidRDefault="003177E2" w:rsidP="001A0C58">
      <w:pPr>
        <w:pStyle w:val="Body2"/>
        <w:ind w:firstLine="720"/>
        <w:rPr>
          <w:lang w:val="lt-LT"/>
        </w:rPr>
      </w:pPr>
    </w:p>
    <w:p w14:paraId="191AEF5B" w14:textId="6441285A" w:rsidR="003177E2" w:rsidRPr="00370648" w:rsidRDefault="003177E2" w:rsidP="003177E2">
      <w:pPr>
        <w:pStyle w:val="Body2"/>
        <w:ind w:firstLine="720"/>
        <w:jc w:val="center"/>
        <w:rPr>
          <w:lang w:val="lt-LT"/>
        </w:rPr>
      </w:pPr>
      <w:r>
        <w:rPr>
          <w:lang w:val="lt-LT"/>
        </w:rPr>
        <w:t>___________________</w:t>
      </w:r>
    </w:p>
    <w:p w14:paraId="5D5C078A" w14:textId="77777777" w:rsidR="005E5855" w:rsidRDefault="005E5855"/>
    <w:sectPr w:rsidR="005E5855">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42F6" w14:textId="77777777" w:rsidR="001F3B00" w:rsidRDefault="001F3B00">
      <w:r>
        <w:separator/>
      </w:r>
    </w:p>
  </w:endnote>
  <w:endnote w:type="continuationSeparator" w:id="0">
    <w:p w14:paraId="25CB7BC1" w14:textId="77777777" w:rsidR="001F3B00" w:rsidRDefault="001F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93518" w:rsidRDefault="001F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93518" w:rsidRDefault="001F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E39E6" w14:textId="77777777" w:rsidR="001F3B00" w:rsidRDefault="001F3B00">
      <w:r>
        <w:separator/>
      </w:r>
    </w:p>
  </w:footnote>
  <w:footnote w:type="continuationSeparator" w:id="0">
    <w:p w14:paraId="16054474" w14:textId="77777777" w:rsidR="001F3B00" w:rsidRDefault="001F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7E65A4" w:rsidRDefault="001F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7E65A4" w:rsidRDefault="001F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D6873"/>
    <w:rsid w:val="001125E3"/>
    <w:rsid w:val="001A0C58"/>
    <w:rsid w:val="001F3B00"/>
    <w:rsid w:val="00205AB1"/>
    <w:rsid w:val="0024483D"/>
    <w:rsid w:val="003177E2"/>
    <w:rsid w:val="00337501"/>
    <w:rsid w:val="00355F96"/>
    <w:rsid w:val="005E5855"/>
    <w:rsid w:val="00604EE2"/>
    <w:rsid w:val="007C39A3"/>
    <w:rsid w:val="0099639A"/>
    <w:rsid w:val="00AC4198"/>
    <w:rsid w:val="00D76C41"/>
    <w:rsid w:val="00E24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AC4198"/>
    <w:rPr>
      <w:u w:val="single"/>
    </w:rPr>
  </w:style>
  <w:style w:type="character" w:customStyle="1" w:styleId="apple-style-span">
    <w:name w:val="apple-style-span"/>
    <w:rsid w:val="0033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gidija.indrulioniene@kauno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7045</Words>
  <Characters>40160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Egidija Indrulionienė</cp:lastModifiedBy>
  <cp:revision>9</cp:revision>
  <dcterms:created xsi:type="dcterms:W3CDTF">2021-02-08T14:42:00Z</dcterms:created>
  <dcterms:modified xsi:type="dcterms:W3CDTF">2025-02-07T10:50:00Z</dcterms:modified>
</cp:coreProperties>
</file>