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10F2357" w14:textId="77777777" w:rsidR="001B14FA" w:rsidRPr="001B14FA" w:rsidRDefault="001B14FA" w:rsidP="001B14FA">
      <w:pPr>
        <w:autoSpaceDE w:val="0"/>
        <w:autoSpaceDN w:val="0"/>
        <w:adjustRightInd w:val="0"/>
        <w:jc w:val="center"/>
        <w:rPr>
          <w:rFonts w:eastAsia="TimesNewRomanPS-BoldMT"/>
          <w:b/>
          <w:bCs/>
          <w:sz w:val="22"/>
          <w:szCs w:val="22"/>
          <w14:ligatures w14:val="standardContextual"/>
        </w:rPr>
      </w:pPr>
      <w:r w:rsidRPr="001B14FA">
        <w:rPr>
          <w:rFonts w:eastAsia="TimesNewRomanPS-BoldMT"/>
          <w:b/>
          <w:bCs/>
          <w:sz w:val="22"/>
          <w:szCs w:val="22"/>
          <w14:ligatures w14:val="standardContextual"/>
        </w:rPr>
        <w:t>VIENKARTINĖS PRIEMONĖS UROLOGIJAI</w:t>
      </w:r>
    </w:p>
    <w:p w14:paraId="17C41F51" w14:textId="21E74D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1.2.4.</w:t>
      </w:r>
      <w:r w:rsidRPr="00C27303">
        <w:rPr>
          <w:rFonts w:eastAsia="Arial"/>
          <w:sz w:val="20"/>
        </w:rPr>
        <w:tab/>
        <w:t xml:space="preserve">Darbo diena Sutartyje reiškia bet kurią dieną, išskyrus šeštadienį, sekmadienį ir švenčių dienas Lietuvoje, </w:t>
      </w:r>
      <w:r w:rsidRPr="00C27303">
        <w:rPr>
          <w:rFonts w:eastAsia="Arial"/>
          <w:sz w:val="20"/>
        </w:rPr>
        <w:lastRenderedPageBreak/>
        <w:t>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3.1.1.4.</w:t>
      </w:r>
      <w:r w:rsidRPr="00C27303">
        <w:rPr>
          <w:rFonts w:eastAsia="Arial"/>
          <w:sz w:val="20"/>
        </w:rPr>
        <w:tab/>
        <w:t xml:space="preserve">užtikrintų nustatytų kokybės vadybos sistemos ir (arba) aplinkos apsaugos vadybos sistemos standartų taikymą, </w:t>
      </w:r>
      <w:r w:rsidRPr="00C27303">
        <w:rPr>
          <w:rFonts w:eastAsia="Arial"/>
          <w:sz w:val="20"/>
        </w:rPr>
        <w:lastRenderedPageBreak/>
        <w:t>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F510B5">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598E8D61" w14:textId="77777777" w:rsidR="002B2A32" w:rsidRPr="002B2A32" w:rsidRDefault="002B2A32" w:rsidP="002B2A32">
            <w:pPr>
              <w:autoSpaceDE w:val="0"/>
              <w:autoSpaceDN w:val="0"/>
              <w:adjustRightInd w:val="0"/>
              <w:jc w:val="center"/>
              <w:rPr>
                <w:rFonts w:eastAsia="TimesNewRomanPS-BoldMT"/>
                <w:b/>
                <w:bCs/>
                <w:szCs w:val="24"/>
                <w14:ligatures w14:val="standardContextual"/>
              </w:rPr>
            </w:pPr>
            <w:r w:rsidRPr="002B2A32">
              <w:rPr>
                <w:rFonts w:eastAsia="TimesNewRomanPS-BoldMT"/>
                <w:b/>
                <w:bCs/>
                <w:szCs w:val="24"/>
                <w14:ligatures w14:val="standardContextual"/>
              </w:rPr>
              <w:t>VIENKARTINĖS PRIEMONĖS UROLOGIJAI</w:t>
            </w:r>
          </w:p>
          <w:p w14:paraId="6BE3D9EE" w14:textId="08344D85" w:rsidR="00537F17" w:rsidRPr="000D5DA0"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98E769B" w:rsidR="00A66954" w:rsidRPr="00874B3C" w:rsidRDefault="00A66954" w:rsidP="00A66954">
            <w:pPr>
              <w:jc w:val="both"/>
              <w:rPr>
                <w:kern w:val="2"/>
                <w:sz w:val="22"/>
                <w:szCs w:val="22"/>
              </w:rPr>
            </w:pPr>
            <w:r w:rsidRPr="000D629B">
              <w:rPr>
                <w:kern w:val="2"/>
                <w:sz w:val="22"/>
                <w:szCs w:val="22"/>
              </w:rPr>
              <w:t>846 396502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4955BB35" w:rsidR="00A66954" w:rsidRPr="00874B3C" w:rsidRDefault="001B7A06" w:rsidP="00A66954">
            <w:pPr>
              <w:jc w:val="both"/>
              <w:rPr>
                <w:kern w:val="2"/>
                <w:sz w:val="22"/>
                <w:szCs w:val="22"/>
              </w:rPr>
            </w:pPr>
            <w:hyperlink r:id="rId6" w:history="1">
              <w:r w:rsidRPr="004F6B7C">
                <w:rPr>
                  <w:rStyle w:val="Hipersaitas"/>
                  <w:kern w:val="2"/>
                  <w:sz w:val="22"/>
                  <w:szCs w:val="22"/>
                </w:rPr>
                <w:t>kulig</w:t>
              </w:r>
              <w:r w:rsidRPr="004F6B7C">
                <w:rPr>
                  <w:rStyle w:val="Hipersaitas"/>
                  <w:kern w:val="2"/>
                  <w:sz w:val="22"/>
                  <w:szCs w:val="22"/>
                  <w:lang w:val="en-US"/>
                </w:rPr>
                <w:t>@</w:t>
              </w:r>
              <w:proofErr w:type="spellStart"/>
              <w:r w:rsidRPr="004F6B7C">
                <w:rPr>
                  <w:rStyle w:val="Hipersaitas"/>
                  <w:kern w:val="2"/>
                  <w:sz w:val="22"/>
                  <w:szCs w:val="22"/>
                </w:rPr>
                <w:t>kulig.lt</w:t>
              </w:r>
              <w:proofErr w:type="spellEnd"/>
            </w:hyperlink>
            <w:r>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874B3C" w:rsidRDefault="00E47E10" w:rsidP="006D1B08">
            <w:pPr>
              <w:rPr>
                <w:kern w:val="2"/>
                <w:sz w:val="22"/>
                <w:szCs w:val="22"/>
              </w:rPr>
            </w:pPr>
            <w:r>
              <w:rPr>
                <w:rFonts w:eastAsia="Calibri"/>
                <w:sz w:val="22"/>
                <w:szCs w:val="22"/>
              </w:rPr>
              <w:t>D</w:t>
            </w:r>
            <w:r w:rsidR="00A66954" w:rsidRPr="000D629B">
              <w:rPr>
                <w:rFonts w:eastAsia="Calibri"/>
                <w:sz w:val="22"/>
                <w:szCs w:val="22"/>
              </w:rPr>
              <w:t>irektor</w:t>
            </w:r>
            <w:r>
              <w:rPr>
                <w:rFonts w:eastAsia="Calibri"/>
                <w:sz w:val="22"/>
                <w:szCs w:val="22"/>
              </w:rPr>
              <w:t xml:space="preserve">ė </w:t>
            </w:r>
            <w:r w:rsidR="00A66954" w:rsidRPr="000D629B">
              <w:rPr>
                <w:rFonts w:eastAsia="Calibri"/>
                <w:sz w:val="22"/>
                <w:szCs w:val="22"/>
              </w:rPr>
              <w:t>ekonomikai ir valdymui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874B3C" w:rsidRDefault="00537F17"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6342929E" w14:textId="3523C84F" w:rsidR="0019233A" w:rsidRPr="00667BCE" w:rsidRDefault="002B2A32" w:rsidP="0019233A">
            <w:pPr>
              <w:rPr>
                <w:sz w:val="22"/>
                <w:szCs w:val="22"/>
                <w:lang w:eastAsia="lt-LT"/>
              </w:rPr>
            </w:pPr>
            <w:r w:rsidRPr="002B2A32">
              <w:rPr>
                <w:rFonts w:eastAsia="TimesNewRomanPSMT"/>
                <w:sz w:val="22"/>
                <w:szCs w:val="22"/>
                <w14:ligatures w14:val="standardContextual"/>
              </w:rPr>
              <w:t xml:space="preserve">Nefrologijos klinikos vadybininkė administratorė Jūratė </w:t>
            </w:r>
            <w:proofErr w:type="spellStart"/>
            <w:r w:rsidRPr="002B2A32">
              <w:rPr>
                <w:rFonts w:eastAsia="TimesNewRomanPSMT"/>
                <w:sz w:val="22"/>
                <w:szCs w:val="22"/>
                <w14:ligatures w14:val="standardContextual"/>
              </w:rPr>
              <w:t>Šoparė</w:t>
            </w:r>
            <w:proofErr w:type="spellEnd"/>
            <w:r w:rsidR="00006D10" w:rsidRPr="002B2A32">
              <w:rPr>
                <w:rFonts w:eastAsia="TimesNewRomanPSMT"/>
                <w:sz w:val="22"/>
                <w:szCs w:val="22"/>
                <w14:ligatures w14:val="standardContextual"/>
              </w:rPr>
              <w:t xml:space="preserve">, </w:t>
            </w:r>
            <w:r w:rsidR="00006D10" w:rsidRPr="002B2A32">
              <w:rPr>
                <w:rFonts w:eastAsia="TimesNewRomanPSMT"/>
                <w:sz w:val="22"/>
                <w:szCs w:val="22"/>
              </w:rPr>
              <w:t xml:space="preserve"> tel. +370</w:t>
            </w:r>
            <w:r w:rsidR="00006D10" w:rsidRPr="002B2A32">
              <w:rPr>
                <w:rFonts w:eastAsia="TimesNewRomanPSMT"/>
                <w:sz w:val="22"/>
                <w:szCs w:val="22"/>
                <w14:ligatures w14:val="standardContextual"/>
              </w:rPr>
              <w:t xml:space="preserve"> </w:t>
            </w:r>
            <w:r w:rsidRPr="002B2A32">
              <w:rPr>
                <w:rFonts w:eastAsia="TimesNewRomanPSMT"/>
                <w:sz w:val="22"/>
                <w:szCs w:val="22"/>
                <w14:ligatures w14:val="standardContextual"/>
              </w:rPr>
              <w:t>61558293</w:t>
            </w:r>
            <w:r w:rsidR="00006D10" w:rsidRPr="002B2A32">
              <w:rPr>
                <w:rFonts w:eastAsia="TimesNewRomanPSMT"/>
                <w:sz w:val="22"/>
                <w:szCs w:val="22"/>
              </w:rPr>
              <w:t xml:space="preserve"> , el. paštas </w:t>
            </w:r>
            <w:r w:rsidRPr="002B2A32">
              <w:rPr>
                <w:sz w:val="22"/>
                <w:szCs w:val="22"/>
                <w:lang w:eastAsia="lt-LT"/>
              </w:rPr>
              <w:t>jurate.sopare</w:t>
            </w:r>
            <w:r w:rsidRPr="00667BCE">
              <w:rPr>
                <w:sz w:val="22"/>
                <w:szCs w:val="22"/>
                <w:lang w:eastAsia="lt-LT"/>
              </w:rPr>
              <w:t>@kulig.lt</w:t>
            </w:r>
          </w:p>
          <w:p w14:paraId="0DD5C46D" w14:textId="77777777" w:rsidR="00713E03" w:rsidRPr="002B2A32" w:rsidRDefault="00713E03" w:rsidP="0019233A">
            <w:pPr>
              <w:rPr>
                <w:sz w:val="22"/>
                <w:szCs w:val="22"/>
                <w:lang w:eastAsia="lt-LT"/>
              </w:rPr>
            </w:pPr>
          </w:p>
          <w:p w14:paraId="68F79A64" w14:textId="4F7345CF" w:rsidR="004979B2" w:rsidRPr="002B2A32" w:rsidRDefault="004979B2" w:rsidP="004979B2">
            <w:pPr>
              <w:rPr>
                <w:rStyle w:val="Hipersaitas"/>
                <w:rFonts w:eastAsia="Calibri"/>
                <w:color w:val="auto"/>
                <w:sz w:val="22"/>
                <w:szCs w:val="22"/>
              </w:rPr>
            </w:pPr>
            <w:r w:rsidRPr="002B2A32">
              <w:rPr>
                <w:sz w:val="22"/>
                <w:szCs w:val="22"/>
              </w:rPr>
              <w:t xml:space="preserve">Vaistinės vadovė Žemyna </w:t>
            </w:r>
            <w:proofErr w:type="spellStart"/>
            <w:r w:rsidRPr="002B2A32">
              <w:rPr>
                <w:sz w:val="22"/>
                <w:szCs w:val="22"/>
              </w:rPr>
              <w:t>Bredelienė</w:t>
            </w:r>
            <w:proofErr w:type="spellEnd"/>
            <w:r w:rsidRPr="002B2A32">
              <w:rPr>
                <w:rFonts w:eastAsia="TimesNewRomanPSMT"/>
                <w:sz w:val="22"/>
                <w:szCs w:val="22"/>
              </w:rPr>
              <w:t>, tel. +370</w:t>
            </w:r>
            <w:r w:rsidRPr="002B2A32">
              <w:rPr>
                <w:sz w:val="22"/>
                <w:szCs w:val="22"/>
              </w:rPr>
              <w:t> 46 396510</w:t>
            </w:r>
            <w:r w:rsidRPr="002B2A32">
              <w:rPr>
                <w:rFonts w:eastAsia="TimesNewRomanPSMT"/>
                <w:sz w:val="22"/>
                <w:szCs w:val="22"/>
              </w:rPr>
              <w:t xml:space="preserve">, el. paštas </w:t>
            </w:r>
            <w:proofErr w:type="spellStart"/>
            <w:r w:rsidRPr="002B2A32">
              <w:rPr>
                <w:rFonts w:eastAsia="TimesNewRomanPSMT"/>
                <w:sz w:val="22"/>
                <w:szCs w:val="22"/>
              </w:rPr>
              <w:t>zemyna.bredeliene</w:t>
            </w:r>
            <w:hyperlink r:id="rId7" w:history="1">
              <w:r w:rsidRPr="002B2A32">
                <w:rPr>
                  <w:rStyle w:val="Hipersaitas"/>
                  <w:rFonts w:eastAsia="Calibri"/>
                  <w:color w:val="auto"/>
                  <w:sz w:val="22"/>
                  <w:szCs w:val="22"/>
                </w:rPr>
                <w:t>@kulig.lt</w:t>
              </w:r>
              <w:proofErr w:type="spellEnd"/>
            </w:hyperlink>
            <w:r w:rsidRPr="002B2A32">
              <w:rPr>
                <w:rStyle w:val="Hipersaitas"/>
                <w:rFonts w:eastAsia="Calibri"/>
                <w:color w:val="auto"/>
                <w:sz w:val="22"/>
                <w:szCs w:val="22"/>
              </w:rPr>
              <w:t>;</w:t>
            </w:r>
          </w:p>
          <w:p w14:paraId="2F5469E0" w14:textId="77777777" w:rsidR="00713E03" w:rsidRPr="002B2A32" w:rsidRDefault="00713E03" w:rsidP="004979B2">
            <w:pPr>
              <w:rPr>
                <w:rFonts w:eastAsia="Calibri"/>
                <w:sz w:val="22"/>
                <w:szCs w:val="22"/>
                <w14:ligatures w14:val="standardContextual"/>
              </w:rPr>
            </w:pPr>
          </w:p>
          <w:p w14:paraId="6D5001F3" w14:textId="78A15A6A" w:rsidR="00006D10" w:rsidRPr="002B2A32" w:rsidRDefault="00006D10" w:rsidP="00006D10">
            <w:pPr>
              <w:rPr>
                <w:kern w:val="2"/>
                <w:sz w:val="22"/>
                <w:szCs w:val="22"/>
              </w:rPr>
            </w:pPr>
            <w:r w:rsidRPr="002B2A32">
              <w:rPr>
                <w:rFonts w:eastAsia="Calibri"/>
                <w:sz w:val="22"/>
                <w:szCs w:val="22"/>
                <w14:ligatures w14:val="standardContextual"/>
              </w:rPr>
              <w:t xml:space="preserve">Vyriausioji finansininkė, </w:t>
            </w:r>
            <w:r w:rsidRPr="002B2A32">
              <w:rPr>
                <w:sz w:val="22"/>
                <w:szCs w:val="22"/>
                <w:shd w:val="clear" w:color="auto" w:fill="FFFFFF"/>
              </w:rPr>
              <w:t>Regina </w:t>
            </w:r>
            <w:proofErr w:type="spellStart"/>
            <w:r w:rsidRPr="002B2A32">
              <w:rPr>
                <w:rStyle w:val="Emfaz"/>
                <w:i w:val="0"/>
                <w:iCs w:val="0"/>
                <w:sz w:val="22"/>
                <w:szCs w:val="22"/>
                <w:shd w:val="clear" w:color="auto" w:fill="FFFFFF"/>
              </w:rPr>
              <w:t>Zajančauskytė</w:t>
            </w:r>
            <w:proofErr w:type="spellEnd"/>
            <w:r w:rsidRPr="002B2A32">
              <w:rPr>
                <w:i/>
                <w:iCs/>
                <w:sz w:val="22"/>
                <w:szCs w:val="22"/>
                <w:shd w:val="clear" w:color="auto" w:fill="FFFFFF"/>
              </w:rPr>
              <w:t>,</w:t>
            </w:r>
            <w:r w:rsidRPr="002B2A32">
              <w:rPr>
                <w:sz w:val="22"/>
                <w:szCs w:val="22"/>
                <w:shd w:val="clear" w:color="auto" w:fill="FFFFFF"/>
              </w:rPr>
              <w:t xml:space="preserve"> tel. 846 491004, el. paštas </w:t>
            </w:r>
            <w:hyperlink r:id="rId8" w:history="1">
              <w:r w:rsidRPr="002B2A32">
                <w:rPr>
                  <w:rStyle w:val="Hipersaitas"/>
                  <w:color w:val="auto"/>
                  <w:sz w:val="22"/>
                  <w:szCs w:val="22"/>
                  <w:shd w:val="clear" w:color="auto" w:fill="FFFFFF"/>
                </w:rPr>
                <w:t>regina.zajancauskyte@kulig.lt</w:t>
              </w:r>
            </w:hyperlink>
            <w:r w:rsidRPr="002B2A32">
              <w:rPr>
                <w:rStyle w:val="Hipersaitas"/>
                <w:color w:val="auto"/>
                <w:sz w:val="22"/>
                <w:szCs w:val="22"/>
                <w:shd w:val="clear" w:color="auto" w:fill="FFFFFF"/>
              </w:rPr>
              <w:t xml:space="preserve"> </w:t>
            </w:r>
            <w:r w:rsidRPr="002B2A32">
              <w:rPr>
                <w:sz w:val="22"/>
                <w:szCs w:val="22"/>
                <w:shd w:val="clear" w:color="auto" w:fill="FFFFFF"/>
              </w:rPr>
              <w:t>.</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17F17820" w:rsidR="00006D10" w:rsidRPr="00000CC1" w:rsidRDefault="00006D10" w:rsidP="00006D10">
            <w:pPr>
              <w:jc w:val="both"/>
              <w:rPr>
                <w:rStyle w:val="markedcontent"/>
                <w:sz w:val="22"/>
                <w:szCs w:val="22"/>
                <w:shd w:val="clear" w:color="auto" w:fill="FFFFFF"/>
              </w:rPr>
            </w:pPr>
            <w:r w:rsidRPr="00000CC1">
              <w:rPr>
                <w:rStyle w:val="markedcontent"/>
                <w:sz w:val="22"/>
                <w:szCs w:val="22"/>
                <w:shd w:val="clear" w:color="auto" w:fill="FFFFFF"/>
              </w:rPr>
              <w:t xml:space="preserve">Viešųjų pirkimų skyriaus </w:t>
            </w:r>
            <w:proofErr w:type="spellStart"/>
            <w:r w:rsidRPr="00000CC1">
              <w:rPr>
                <w:rStyle w:val="markedcontent"/>
                <w:sz w:val="22"/>
                <w:szCs w:val="22"/>
                <w:shd w:val="clear" w:color="auto" w:fill="FFFFFF"/>
              </w:rPr>
              <w:t>vyriausiasi</w:t>
            </w:r>
            <w:r w:rsidR="002B2A32">
              <w:rPr>
                <w:rStyle w:val="markedcontent"/>
                <w:sz w:val="22"/>
                <w:szCs w:val="22"/>
                <w:shd w:val="clear" w:color="auto" w:fill="FFFFFF"/>
              </w:rPr>
              <w:t>o</w:t>
            </w:r>
            <w:r w:rsidR="002B2A32">
              <w:rPr>
                <w:rStyle w:val="markedcontent"/>
                <w:shd w:val="clear" w:color="auto" w:fill="FFFFFF"/>
              </w:rPr>
              <w:t>ji</w:t>
            </w:r>
            <w:proofErr w:type="spellEnd"/>
            <w:r w:rsidRPr="00000CC1">
              <w:rPr>
                <w:rStyle w:val="markedcontent"/>
                <w:sz w:val="22"/>
                <w:szCs w:val="22"/>
                <w:shd w:val="clear" w:color="auto" w:fill="FFFFFF"/>
              </w:rPr>
              <w:t xml:space="preserve"> specialist</w:t>
            </w:r>
            <w:r w:rsidR="002B2A32">
              <w:rPr>
                <w:rStyle w:val="markedcontent"/>
                <w:sz w:val="22"/>
                <w:szCs w:val="22"/>
                <w:shd w:val="clear" w:color="auto" w:fill="FFFFFF"/>
              </w:rPr>
              <w:t>ė</w:t>
            </w:r>
            <w:r w:rsidRPr="00000CC1">
              <w:rPr>
                <w:rStyle w:val="markedcontent"/>
                <w:sz w:val="22"/>
                <w:szCs w:val="22"/>
                <w:shd w:val="clear" w:color="auto" w:fill="FFFFFF"/>
              </w:rPr>
              <w:t xml:space="preserve"> </w:t>
            </w:r>
          </w:p>
          <w:p w14:paraId="19DF911F" w14:textId="1D54F422" w:rsidR="00006D10" w:rsidRPr="00000CC1" w:rsidRDefault="00006D10" w:rsidP="00006D10">
            <w:pPr>
              <w:rPr>
                <w:color w:val="4472C4"/>
                <w:kern w:val="2"/>
                <w:sz w:val="22"/>
                <w:szCs w:val="22"/>
              </w:rPr>
            </w:pPr>
            <w:r>
              <w:rPr>
                <w:rStyle w:val="markedcontent"/>
                <w:sz w:val="22"/>
                <w:szCs w:val="22"/>
                <w:shd w:val="clear" w:color="auto" w:fill="FFFFFF"/>
              </w:rPr>
              <w:t>Birutė Navickienė</w:t>
            </w:r>
            <w:r w:rsidRPr="00000CC1">
              <w:rPr>
                <w:rStyle w:val="markedcontent"/>
                <w:sz w:val="22"/>
                <w:szCs w:val="22"/>
                <w:shd w:val="clear" w:color="auto" w:fill="FFFFFF"/>
              </w:rPr>
              <w:t>, tel.: (8 46) 491</w:t>
            </w:r>
            <w:r>
              <w:rPr>
                <w:rStyle w:val="markedcontent"/>
                <w:sz w:val="22"/>
                <w:szCs w:val="22"/>
                <w:shd w:val="clear" w:color="auto" w:fill="FFFFFF"/>
              </w:rPr>
              <w:t>0</w:t>
            </w:r>
            <w:r>
              <w:rPr>
                <w:rStyle w:val="markedcontent"/>
                <w:shd w:val="clear" w:color="auto" w:fill="FFFFFF"/>
              </w:rPr>
              <w:t>14</w:t>
            </w:r>
            <w:r w:rsidRPr="00000CC1">
              <w:rPr>
                <w:rStyle w:val="markedcontent"/>
                <w:sz w:val="22"/>
                <w:szCs w:val="22"/>
                <w:shd w:val="clear" w:color="auto" w:fill="FFFFFF"/>
              </w:rPr>
              <w:t xml:space="preserve">, el. paštas </w:t>
            </w:r>
            <w:hyperlink r:id="rId9" w:history="1">
              <w:r w:rsidRPr="00AD4DD9">
                <w:rPr>
                  <w:rStyle w:val="Hipersaitas"/>
                  <w:sz w:val="22"/>
                  <w:szCs w:val="22"/>
                  <w:shd w:val="clear" w:color="auto" w:fill="FFFFFF"/>
                </w:rPr>
                <w:t>b</w:t>
              </w:r>
              <w:r w:rsidRPr="00AD4DD9">
                <w:rPr>
                  <w:rStyle w:val="Hipersaitas"/>
                  <w:shd w:val="clear" w:color="auto" w:fill="FFFFFF"/>
                </w:rPr>
                <w:t>irute.navickiene</w:t>
              </w:r>
              <w:r w:rsidRPr="00AD4DD9">
                <w:rPr>
                  <w:rStyle w:val="Hipersaitas"/>
                  <w:sz w:val="22"/>
                  <w:szCs w:val="22"/>
                  <w:shd w:val="clear" w:color="auto" w:fill="FFFFFF"/>
                </w:rPr>
                <w:t>@kulig</w:t>
              </w:r>
            </w:hyperlink>
            <w:r w:rsidRPr="00000CC1">
              <w:rPr>
                <w:rStyle w:val="markedcontent"/>
                <w:sz w:val="22"/>
                <w:szCs w:val="22"/>
                <w:shd w:val="clear" w:color="auto" w:fill="FFFFFF"/>
              </w:rPr>
              <w:t xml:space="preserve"> .</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8122FA" w:rsidRDefault="00E04D88" w:rsidP="00B67068">
            <w:pPr>
              <w:spacing w:line="233" w:lineRule="auto"/>
              <w:jc w:val="both"/>
              <w:rPr>
                <w:b/>
                <w:bCs/>
                <w:kern w:val="2"/>
                <w:sz w:val="22"/>
                <w:szCs w:val="22"/>
              </w:rPr>
            </w:pPr>
            <w:r w:rsidRPr="008122FA">
              <w:rPr>
                <w:b/>
                <w:bCs/>
                <w:kern w:val="2"/>
                <w:sz w:val="22"/>
                <w:szCs w:val="22"/>
              </w:rPr>
              <w:t>3.2. Pirkimo numeris</w:t>
            </w:r>
          </w:p>
        </w:tc>
        <w:tc>
          <w:tcPr>
            <w:tcW w:w="6804" w:type="dxa"/>
            <w:gridSpan w:val="2"/>
          </w:tcPr>
          <w:p w14:paraId="046902B9" w14:textId="74C91ED5" w:rsidR="00E04D88" w:rsidRPr="005879AE" w:rsidRDefault="008122FA" w:rsidP="00B67068">
            <w:pPr>
              <w:spacing w:line="233" w:lineRule="auto"/>
              <w:jc w:val="both"/>
              <w:rPr>
                <w:kern w:val="2"/>
                <w:sz w:val="22"/>
                <w:szCs w:val="22"/>
              </w:rPr>
            </w:pPr>
            <w:r>
              <w:rPr>
                <w:kern w:val="2"/>
                <w:sz w:val="22"/>
                <w:szCs w:val="22"/>
              </w:rPr>
              <w:t>1083303</w:t>
            </w: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76ABE46E" w:rsidR="00E04D88" w:rsidRPr="00000CC1" w:rsidRDefault="006D1B08" w:rsidP="00B67068">
            <w:pPr>
              <w:spacing w:line="233" w:lineRule="auto"/>
              <w:jc w:val="both"/>
              <w:rPr>
                <w:kern w:val="2"/>
                <w:sz w:val="22"/>
                <w:szCs w:val="22"/>
              </w:rPr>
            </w:pPr>
            <w:r w:rsidRPr="00667BCE">
              <w:rPr>
                <w:kern w:val="2"/>
                <w:sz w:val="22"/>
                <w:szCs w:val="22"/>
              </w:rPr>
              <w:t xml:space="preserve">Tiekėjas pagal atskirą užsakymą įsipareigoja pristatyti Prekes ne vėliau kaip per </w:t>
            </w:r>
            <w:r w:rsidR="00E72732" w:rsidRPr="00667BCE">
              <w:rPr>
                <w:kern w:val="2"/>
                <w:sz w:val="22"/>
                <w:szCs w:val="22"/>
              </w:rPr>
              <w:t>5</w:t>
            </w:r>
            <w:r w:rsidR="004979B2" w:rsidRPr="00667BCE">
              <w:rPr>
                <w:kern w:val="2"/>
                <w:sz w:val="22"/>
                <w:szCs w:val="22"/>
              </w:rPr>
              <w:t xml:space="preserve"> </w:t>
            </w:r>
            <w:r w:rsidR="00E72732" w:rsidRPr="00667BCE">
              <w:rPr>
                <w:kern w:val="2"/>
                <w:sz w:val="22"/>
                <w:szCs w:val="22"/>
              </w:rPr>
              <w:t>d</w:t>
            </w:r>
            <w:r w:rsidR="00E72732" w:rsidRPr="00667BCE">
              <w:rPr>
                <w:kern w:val="2"/>
              </w:rPr>
              <w:t>arbo</w:t>
            </w:r>
            <w:r w:rsidR="000D5DA0" w:rsidRPr="00667BCE">
              <w:rPr>
                <w:kern w:val="2"/>
                <w:sz w:val="22"/>
                <w:szCs w:val="22"/>
              </w:rPr>
              <w:t xml:space="preserve"> </w:t>
            </w:r>
            <w:r w:rsidRPr="00667BCE">
              <w:rPr>
                <w:kern w:val="2"/>
                <w:sz w:val="22"/>
                <w:szCs w:val="22"/>
              </w:rPr>
              <w:t>dien</w:t>
            </w:r>
            <w:r w:rsidR="000D5DA0" w:rsidRPr="00667BCE">
              <w:rPr>
                <w:kern w:val="2"/>
                <w:sz w:val="22"/>
                <w:szCs w:val="22"/>
              </w:rPr>
              <w:t>as</w:t>
            </w:r>
            <w:r w:rsidRPr="00667BCE">
              <w:rPr>
                <w:kern w:val="2"/>
                <w:sz w:val="22"/>
                <w:szCs w:val="22"/>
              </w:rPr>
              <w:t xml:space="preserve"> </w:t>
            </w:r>
            <w:r w:rsidR="00E04D88" w:rsidRPr="00667BCE">
              <w:rPr>
                <w:kern w:val="2"/>
                <w:sz w:val="22"/>
                <w:szCs w:val="22"/>
              </w:rPr>
              <w:t xml:space="preserve">nuo </w:t>
            </w:r>
            <w:r w:rsidRPr="00667BCE">
              <w:rPr>
                <w:kern w:val="2"/>
                <w:sz w:val="22"/>
                <w:szCs w:val="22"/>
              </w:rPr>
              <w:t>užsakymo pateikimo</w:t>
            </w:r>
            <w:r w:rsidR="00E04D88" w:rsidRPr="00667BCE">
              <w:rPr>
                <w:kern w:val="2"/>
                <w:sz w:val="22"/>
                <w:szCs w:val="22"/>
              </w:rPr>
              <w:t xml:space="preserve"> dienos šiuo adresu: </w:t>
            </w:r>
            <w:r w:rsidR="00B838E6" w:rsidRPr="00667BCE">
              <w:rPr>
                <w:sz w:val="22"/>
                <w:szCs w:val="22"/>
              </w:rPr>
              <w:t>VšĮ Klaipėdos universiteto ligoninė</w:t>
            </w:r>
            <w:r w:rsidRPr="00667BCE">
              <w:rPr>
                <w:sz w:val="22"/>
                <w:szCs w:val="22"/>
              </w:rPr>
              <w:t xml:space="preserve"> vaistinė, Liepojos g. 4</w:t>
            </w:r>
            <w:r w:rsidR="00574B11" w:rsidRPr="00667BCE">
              <w:rPr>
                <w:sz w:val="22"/>
                <w:szCs w:val="22"/>
              </w:rPr>
              <w:t>5</w:t>
            </w:r>
            <w:r w:rsidRPr="00667BCE">
              <w:rPr>
                <w:sz w:val="22"/>
                <w:szCs w:val="22"/>
              </w:rPr>
              <w:t>, LT-92288, Klaipėda</w:t>
            </w:r>
            <w:r w:rsidRPr="00667BCE">
              <w:rPr>
                <w:kern w:val="2"/>
                <w:sz w:val="22"/>
                <w:szCs w:val="22"/>
              </w:rPr>
              <w:t>.</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6F995A60" w:rsidR="00E04D88" w:rsidRPr="00000CC1" w:rsidRDefault="00E04D88" w:rsidP="00B67068">
            <w:pPr>
              <w:spacing w:line="233" w:lineRule="auto"/>
              <w:jc w:val="both"/>
              <w:rPr>
                <w:color w:val="4472C4"/>
                <w:kern w:val="2"/>
                <w:sz w:val="22"/>
                <w:szCs w:val="22"/>
              </w:rPr>
            </w:pPr>
            <w:r w:rsidRPr="00000CC1">
              <w:rPr>
                <w:kern w:val="2"/>
                <w:sz w:val="22"/>
                <w:szCs w:val="22"/>
              </w:rPr>
              <w:t xml:space="preserve">Fiksuoto </w:t>
            </w:r>
            <w:r w:rsidR="006D1B08" w:rsidRPr="00000CC1">
              <w:rPr>
                <w:kern w:val="2"/>
                <w:sz w:val="22"/>
                <w:szCs w:val="22"/>
              </w:rPr>
              <w:t>į</w:t>
            </w:r>
            <w:r w:rsidRPr="00000CC1">
              <w:rPr>
                <w:kern w:val="2"/>
                <w:sz w:val="22"/>
                <w:szCs w:val="22"/>
              </w:rPr>
              <w:t>kain</w:t>
            </w:r>
            <w:r w:rsidR="006D1B08" w:rsidRPr="00000CC1">
              <w:rPr>
                <w:kern w:val="2"/>
                <w:sz w:val="22"/>
                <w:szCs w:val="22"/>
              </w:rPr>
              <w:t>i</w:t>
            </w:r>
            <w:r w:rsidRPr="00000CC1">
              <w:rPr>
                <w:kern w:val="2"/>
                <w:sz w:val="22"/>
                <w:szCs w:val="22"/>
              </w:rPr>
              <w:t>o</w:t>
            </w:r>
            <w:r w:rsidR="00F82C4E" w:rsidRPr="00000CC1">
              <w:rPr>
                <w:kern w:val="2"/>
                <w:sz w:val="22"/>
                <w:szCs w:val="22"/>
              </w:rPr>
              <w:t xml:space="preserve"> su peržiūra</w:t>
            </w:r>
            <w:r w:rsidRPr="00000CC1">
              <w:rPr>
                <w:kern w:val="2"/>
                <w:sz w:val="22"/>
                <w:szCs w:val="22"/>
              </w:rPr>
              <w:t xml:space="preserve"> kainodara</w:t>
            </w:r>
          </w:p>
        </w:tc>
      </w:tr>
      <w:tr w:rsidR="00E04D88" w:rsidRPr="00000CC1" w14:paraId="09F82D61" w14:textId="77777777" w:rsidTr="00000CC1">
        <w:trPr>
          <w:trHeight w:val="20"/>
        </w:trPr>
        <w:tc>
          <w:tcPr>
            <w:tcW w:w="2977" w:type="dxa"/>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 įkainio</w:t>
            </w:r>
            <w:r w:rsidRPr="00B57EE5">
              <w:rPr>
                <w:b/>
                <w:bCs/>
                <w:kern w:val="2"/>
                <w:sz w:val="22"/>
                <w:szCs w:val="22"/>
              </w:rPr>
              <w:t xml:space="preserve"> kainodara</w:t>
            </w:r>
          </w:p>
        </w:tc>
        <w:tc>
          <w:tcPr>
            <w:tcW w:w="6804" w:type="dxa"/>
            <w:gridSpan w:val="2"/>
          </w:tcPr>
          <w:p w14:paraId="5DACC402" w14:textId="77777777" w:rsidR="0085584D" w:rsidRPr="00F54CF4" w:rsidRDefault="0085584D" w:rsidP="0085584D">
            <w:pPr>
              <w:jc w:val="both"/>
              <w:rPr>
                <w:sz w:val="22"/>
                <w:szCs w:val="22"/>
              </w:rPr>
            </w:pPr>
            <w:r w:rsidRPr="00F54CF4">
              <w:rPr>
                <w:sz w:val="22"/>
                <w:szCs w:val="22"/>
              </w:rPr>
              <w:t xml:space="preserve">Pradinės Sutarties vertė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be PVM. </w:t>
            </w:r>
          </w:p>
          <w:p w14:paraId="47E871A5" w14:textId="77777777" w:rsidR="0085584D" w:rsidRPr="00F54CF4" w:rsidRDefault="0085584D" w:rsidP="0085584D">
            <w:pPr>
              <w:jc w:val="both"/>
              <w:rPr>
                <w:sz w:val="22"/>
                <w:szCs w:val="22"/>
              </w:rPr>
            </w:pPr>
            <w:r w:rsidRPr="00F54CF4">
              <w:rPr>
                <w:sz w:val="22"/>
                <w:szCs w:val="22"/>
              </w:rPr>
              <w:t xml:space="preserve">PVM sudaro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w:t>
            </w:r>
          </w:p>
          <w:p w14:paraId="3B5C9684" w14:textId="77777777" w:rsidR="0085584D" w:rsidRPr="00194016" w:rsidRDefault="0085584D" w:rsidP="0085584D">
            <w:pPr>
              <w:jc w:val="both"/>
              <w:rPr>
                <w:sz w:val="22"/>
                <w:szCs w:val="22"/>
              </w:rPr>
            </w:pPr>
            <w:r w:rsidRPr="00F54CF4">
              <w:rPr>
                <w:sz w:val="22"/>
                <w:szCs w:val="22"/>
              </w:rPr>
              <w:t xml:space="preserve">Sutarties kaina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Eur su PVM.</w:t>
            </w:r>
          </w:p>
          <w:p w14:paraId="6675F843" w14:textId="513A71FC" w:rsidR="00B63025" w:rsidRPr="00667BCE" w:rsidRDefault="00B63025" w:rsidP="00B63025">
            <w:pPr>
              <w:pStyle w:val="Komentarotekstas"/>
              <w:rPr>
                <w:sz w:val="22"/>
                <w:szCs w:val="22"/>
              </w:rPr>
            </w:pPr>
            <w:r w:rsidRPr="00667BCE">
              <w:rPr>
                <w:sz w:val="22"/>
                <w:szCs w:val="22"/>
              </w:rPr>
              <w:t>Šioje Sutartyje Pradinės Sutarties vertė yra lygi Tiekėjo pasiūlymo kainai be PVM, apskaičiuotai sudauginus maksimalų Prekių kiekį iš Tiekėjo pasiūlyto įkainio (-</w:t>
            </w:r>
            <w:proofErr w:type="spellStart"/>
            <w:r w:rsidRPr="00667BCE">
              <w:rPr>
                <w:sz w:val="22"/>
                <w:szCs w:val="22"/>
              </w:rPr>
              <w:t>ių</w:t>
            </w:r>
            <w:proofErr w:type="spellEnd"/>
            <w:r w:rsidRPr="00667BCE">
              <w:rPr>
                <w:sz w:val="22"/>
                <w:szCs w:val="22"/>
              </w:rPr>
              <w:t xml:space="preserve">) be PVM, Pirkėjas perka Prekes pagal poreikį Sutarties priede Nr. 1  nurodytais įkainiais, neviršijant jame nurodytos bendros Sutarties dalies kainos.  Sutarties priede Nr. 1  </w:t>
            </w:r>
            <w:r w:rsidRPr="00667BCE">
              <w:rPr>
                <w:color w:val="000000" w:themeColor="text1"/>
                <w:sz w:val="22"/>
                <w:szCs w:val="22"/>
              </w:rPr>
              <w:t>atskirose pirkimo dalies eilutėse nurodytas Prekių kiekis gali būti keičiamas (d</w:t>
            </w:r>
            <w:r w:rsidRPr="00667BCE">
              <w:rPr>
                <w:sz w:val="22"/>
                <w:szCs w:val="22"/>
              </w:rPr>
              <w:t>idėti ar mažėti).</w:t>
            </w:r>
          </w:p>
          <w:p w14:paraId="32BFFA75" w14:textId="64E5E268" w:rsidR="00574B11" w:rsidRPr="00F54CF4" w:rsidRDefault="0085584D" w:rsidP="0085584D">
            <w:pPr>
              <w:spacing w:line="233" w:lineRule="auto"/>
              <w:jc w:val="both"/>
              <w:rPr>
                <w:kern w:val="2"/>
                <w:sz w:val="22"/>
                <w:szCs w:val="22"/>
              </w:rPr>
            </w:pPr>
            <w:r w:rsidRPr="00F54CF4">
              <w:rPr>
                <w:sz w:val="22"/>
                <w:szCs w:val="22"/>
              </w:rPr>
              <w:t>Pirkėjas neįsipareigoja išpirkti maksimalaus Prekių kiekio.</w:t>
            </w:r>
            <w:r w:rsidR="00E04D88" w:rsidRPr="00F54CF4">
              <w:rPr>
                <w:kern w:val="2"/>
                <w:sz w:val="22"/>
                <w:szCs w:val="22"/>
              </w:rPr>
              <w:t xml:space="preserve"> </w:t>
            </w:r>
          </w:p>
        </w:tc>
      </w:tr>
      <w:bookmarkEnd w:id="5"/>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425B1663" w14:textId="77777777" w:rsidR="006D1B08" w:rsidRPr="00F54CF4" w:rsidRDefault="006D1B08" w:rsidP="00B67068">
            <w:pPr>
              <w:spacing w:line="233" w:lineRule="auto"/>
              <w:jc w:val="both"/>
              <w:rPr>
                <w:kern w:val="2"/>
                <w:sz w:val="22"/>
                <w:szCs w:val="22"/>
              </w:rPr>
            </w:pPr>
            <w:r w:rsidRPr="00F54CF4">
              <w:rPr>
                <w:kern w:val="2"/>
                <w:sz w:val="22"/>
                <w:szCs w:val="22"/>
              </w:rPr>
              <w:t>Sutarties kaina / įkainiai bus perskaičiuojami:</w:t>
            </w:r>
          </w:p>
          <w:p w14:paraId="3B76A0FE" w14:textId="77777777" w:rsidR="006D1B08" w:rsidRPr="00F54CF4" w:rsidRDefault="006D1B08" w:rsidP="00B67068">
            <w:pPr>
              <w:spacing w:line="233" w:lineRule="auto"/>
              <w:jc w:val="both"/>
              <w:rPr>
                <w:kern w:val="2"/>
                <w:sz w:val="22"/>
                <w:szCs w:val="22"/>
              </w:rPr>
            </w:pPr>
            <w:r w:rsidRPr="00F54CF4">
              <w:rPr>
                <w:kern w:val="2"/>
                <w:sz w:val="22"/>
                <w:szCs w:val="22"/>
              </w:rPr>
              <w:t>5.3.1. dėl PVM tarifo pasikeitimo;</w:t>
            </w:r>
          </w:p>
          <w:p w14:paraId="19938EFF" w14:textId="510AFF9F" w:rsidR="00E04D88" w:rsidRPr="00F54CF4" w:rsidRDefault="006D1B08" w:rsidP="00B67068">
            <w:pPr>
              <w:spacing w:line="233" w:lineRule="auto"/>
              <w:jc w:val="both"/>
              <w:rPr>
                <w:kern w:val="2"/>
                <w:sz w:val="22"/>
                <w:szCs w:val="22"/>
              </w:rPr>
            </w:pPr>
            <w:r w:rsidRPr="00F54CF4">
              <w:rPr>
                <w:kern w:val="2"/>
                <w:sz w:val="22"/>
                <w:szCs w:val="22"/>
              </w:rPr>
              <w:t>5.3.3. dėl kainų lygio pokyčio;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61A21220" w14:textId="15B994DC" w:rsidR="00E04D88" w:rsidRDefault="00F509E8" w:rsidP="00B67068">
            <w:pPr>
              <w:spacing w:line="233" w:lineRule="auto"/>
              <w:jc w:val="both"/>
              <w:rPr>
                <w:kern w:val="2"/>
                <w:sz w:val="22"/>
                <w:szCs w:val="22"/>
              </w:rPr>
            </w:pPr>
            <w:r>
              <w:rPr>
                <w:kern w:val="2"/>
                <w:sz w:val="22"/>
                <w:szCs w:val="22"/>
              </w:rPr>
              <w:t>5.3.1.</w:t>
            </w:r>
            <w:r w:rsidR="002C27A2">
              <w:rPr>
                <w:kern w:val="2"/>
                <w:sz w:val="22"/>
                <w:szCs w:val="22"/>
              </w:rPr>
              <w:t>2.</w:t>
            </w:r>
            <w:r>
              <w:rPr>
                <w:kern w:val="2"/>
                <w:sz w:val="22"/>
                <w:szCs w:val="22"/>
              </w:rPr>
              <w:t xml:space="preserve"> </w:t>
            </w:r>
            <w:r w:rsidR="00E04D88" w:rsidRPr="00000CC1">
              <w:rPr>
                <w:kern w:val="2"/>
                <w:sz w:val="22"/>
                <w:szCs w:val="22"/>
              </w:rPr>
              <w:t>Jeigu Sutarties vykdymo metu pasikeičia PVM mokėjimą reglamentuojantys teisės aktai, darantys tiesioginę įtaką Tiekėjo tiekiamų Prekių Sutartyje nurodytai kainai/įkainiams, Sutarties kaina/įkainiai perskaičiuojami nekeičiant Prekių kainos/įkainio be PVM.</w:t>
            </w:r>
            <w:r w:rsidR="002C27A2">
              <w:rPr>
                <w:kern w:val="2"/>
                <w:sz w:val="22"/>
                <w:szCs w:val="22"/>
              </w:rPr>
              <w:t xml:space="preserve"> </w:t>
            </w:r>
            <w:r w:rsidR="002C27A2" w:rsidRPr="0017671C">
              <w:rPr>
                <w:kern w:val="3"/>
                <w:sz w:val="22"/>
                <w:szCs w:val="22"/>
                <w:lang w:eastAsia="ko-KR"/>
              </w:rPr>
              <w:t>Kainos perskaičiavimo formulė pasikeitus PVM tarifui:</w:t>
            </w:r>
            <w:r w:rsidR="00E04D88" w:rsidRPr="00000CC1">
              <w:rPr>
                <w:kern w:val="2"/>
                <w:sz w:val="22"/>
                <w:szCs w:val="22"/>
              </w:rPr>
              <w:t xml:space="preserve"> </w:t>
            </w:r>
          </w:p>
          <w:p w14:paraId="20A14B10"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548C12E8" wp14:editId="1CBE36CF">
                  <wp:extent cx="1824000" cy="547200"/>
                  <wp:effectExtent l="0" t="0" r="5080" b="5715"/>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4000" cy="547200"/>
                          </a:xfrm>
                          <a:prstGeom prst="rect">
                            <a:avLst/>
                          </a:prstGeom>
                          <a:noFill/>
                          <a:ln>
                            <a:noFill/>
                          </a:ln>
                        </pic:spPr>
                      </pic:pic>
                    </a:graphicData>
                  </a:graphic>
                </wp:inline>
              </w:drawing>
            </w:r>
          </w:p>
          <w:p w14:paraId="66C9750F"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D4117A">
              <w:rPr>
                <w:noProof/>
                <w:kern w:val="3"/>
                <w:sz w:val="22"/>
                <w:szCs w:val="22"/>
                <w:lang w:eastAsia="lt-LT"/>
              </w:rPr>
              <w:drawing>
                <wp:inline distT="0" distB="0" distL="0" distR="0" wp14:anchorId="48496596" wp14:editId="42CB02C9">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17671C">
              <w:rPr>
                <w:kern w:val="3"/>
                <w:sz w:val="22"/>
                <w:szCs w:val="22"/>
                <w:lang w:eastAsia="lt-LT"/>
              </w:rPr>
              <w:t xml:space="preserve"> - Perskaičiuota Sutarties kaina (su PVM)</w:t>
            </w:r>
          </w:p>
          <w:p w14:paraId="599CAEE4"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0136A3F4" wp14:editId="283C6D55">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17671C">
              <w:rPr>
                <w:kern w:val="3"/>
                <w:sz w:val="22"/>
                <w:szCs w:val="22"/>
                <w:lang w:eastAsia="lt-LT"/>
              </w:rPr>
              <w:t xml:space="preserve"> - Sutarties kaina (su PVM) iki perskaičiavimo</w:t>
            </w:r>
          </w:p>
          <w:p w14:paraId="6AEE56FD"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kern w:val="3"/>
                <w:sz w:val="22"/>
                <w:szCs w:val="22"/>
                <w:lang w:eastAsia="lt-LT"/>
              </w:rPr>
              <w:t>A – suteiktų paslaugų kaina (su PVM) iki perskaičiavimo</w:t>
            </w:r>
          </w:p>
          <w:p w14:paraId="74B5F10E"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6DF805E8" wp14:editId="5F0784A0">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senas PVM tarifas (procentais)</w:t>
            </w:r>
          </w:p>
          <w:p w14:paraId="02ED8AF2"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3E77DBE5" wp14:editId="173BBE01">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naujas PVM tarifas (procentais)</w:t>
            </w:r>
            <w:r w:rsidRPr="0017671C">
              <w:rPr>
                <w:kern w:val="3"/>
                <w:sz w:val="22"/>
                <w:szCs w:val="22"/>
                <w:lang w:eastAsia="ko-KR"/>
              </w:rPr>
              <w:t>.</w:t>
            </w:r>
          </w:p>
          <w:p w14:paraId="2ED4E4F1" w14:textId="77777777" w:rsidR="00F509E8" w:rsidRPr="00000CC1" w:rsidRDefault="00F509E8" w:rsidP="00B67068">
            <w:pPr>
              <w:spacing w:line="233" w:lineRule="auto"/>
              <w:jc w:val="both"/>
              <w:rPr>
                <w:kern w:val="2"/>
                <w:sz w:val="22"/>
                <w:szCs w:val="22"/>
              </w:rPr>
            </w:pPr>
          </w:p>
          <w:p w14:paraId="645F9CBF" w14:textId="4A61E67E" w:rsidR="00E04D88" w:rsidRPr="00000CC1" w:rsidRDefault="002C27A2" w:rsidP="00B67068">
            <w:pPr>
              <w:spacing w:line="233" w:lineRule="auto"/>
              <w:jc w:val="both"/>
              <w:rPr>
                <w:kern w:val="2"/>
                <w:sz w:val="22"/>
                <w:szCs w:val="22"/>
              </w:rPr>
            </w:pPr>
            <w:r>
              <w:rPr>
                <w:iCs/>
                <w:color w:val="000000" w:themeColor="text1"/>
                <w:kern w:val="2"/>
                <w:sz w:val="22"/>
                <w:szCs w:val="22"/>
              </w:rPr>
              <w:t>5.3.1.2.</w:t>
            </w:r>
            <w:r w:rsidR="00E04D88" w:rsidRPr="00000CC1">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0FF225B5" w14:textId="77777777" w:rsidR="005879AE" w:rsidRPr="00785013" w:rsidRDefault="005879AE" w:rsidP="005879AE">
            <w:pPr>
              <w:jc w:val="both"/>
              <w:rPr>
                <w:kern w:val="2"/>
                <w:sz w:val="22"/>
                <w:szCs w:val="22"/>
              </w:rPr>
            </w:pPr>
            <w:r w:rsidRPr="00785013">
              <w:rPr>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79D5876" w14:textId="77777777" w:rsidR="005879AE" w:rsidRPr="00785013" w:rsidRDefault="005879AE" w:rsidP="005879AE">
            <w:pPr>
              <w:jc w:val="both"/>
              <w:rPr>
                <w:kern w:val="2"/>
                <w:sz w:val="22"/>
                <w:szCs w:val="22"/>
                <w:shd w:val="clear" w:color="auto" w:fill="FFFFFF"/>
              </w:rPr>
            </w:pPr>
            <w:r w:rsidRPr="00785013">
              <w:rPr>
                <w:kern w:val="2"/>
                <w:sz w:val="22"/>
                <w:szCs w:val="22"/>
              </w:rPr>
              <w:t>5.3.3.2. Sutarties</w:t>
            </w:r>
            <w:r w:rsidRPr="00785013">
              <w:rPr>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4A577A30"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5.3.3.3. </w:t>
            </w:r>
            <w:r w:rsidRPr="00785013">
              <w:rPr>
                <w:kern w:val="2"/>
                <w:sz w:val="22"/>
                <w:szCs w:val="22"/>
                <w:shd w:val="clear" w:color="auto" w:fill="FFFFFF"/>
              </w:rPr>
              <w:t>Jeigu Prekių tiekimas vėluoja dėl Tiekėjo kaltės, uždelstų pristatyti Prekių įkainiai nėra perskaičiuojami dėl kainų lygio kilimo (negali būti didinami).</w:t>
            </w:r>
          </w:p>
          <w:p w14:paraId="18F75CAE"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5.3.3.4. Atlikdamos Sutarties įkainių peržiūrą </w:t>
            </w:r>
            <w:r w:rsidRPr="00785013">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4AB3F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AFE5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5.3.3.6. Nauja Sutarties įkainiai apskaičiuojami pagal žemiau pateiktą formulę:</w:t>
            </w:r>
          </w:p>
          <w:p w14:paraId="2F04045E" w14:textId="77777777" w:rsidR="005879AE" w:rsidRPr="00785013" w:rsidRDefault="008122FA" w:rsidP="005879AE">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5879AE" w:rsidRPr="00785013">
              <w:rPr>
                <w:kern w:val="2"/>
                <w:sz w:val="22"/>
                <w:szCs w:val="22"/>
              </w:rPr>
              <w:t>, kur a – įkainis (Eur be PVM)) (jei peržiūra jau buvo atlikta, tai po paskutinio perskaičiavimo) </w:t>
            </w:r>
          </w:p>
          <w:p w14:paraId="48284BB6" w14:textId="77777777" w:rsidR="005879AE" w:rsidRPr="00785013" w:rsidRDefault="005879AE" w:rsidP="005879AE">
            <w:pPr>
              <w:jc w:val="both"/>
              <w:textAlignment w:val="baseline"/>
              <w:rPr>
                <w:kern w:val="2"/>
                <w:sz w:val="22"/>
                <w:szCs w:val="22"/>
              </w:rPr>
            </w:pPr>
            <w:r w:rsidRPr="00785013">
              <w:rPr>
                <w:kern w:val="2"/>
                <w:sz w:val="22"/>
                <w:szCs w:val="22"/>
              </w:rPr>
              <w:t>a</w:t>
            </w:r>
            <w:r w:rsidRPr="00785013">
              <w:rPr>
                <w:kern w:val="2"/>
                <w:sz w:val="22"/>
                <w:szCs w:val="22"/>
                <w:vertAlign w:val="subscript"/>
              </w:rPr>
              <w:t>1</w:t>
            </w:r>
            <w:r w:rsidRPr="00785013">
              <w:rPr>
                <w:kern w:val="2"/>
                <w:sz w:val="22"/>
                <w:szCs w:val="22"/>
              </w:rPr>
              <w:t xml:space="preserve"> – perskaičiuota (pakeista) įkainis (Eur be PVM) </w:t>
            </w:r>
          </w:p>
          <w:p w14:paraId="4CED5C7C" w14:textId="77777777" w:rsidR="005879AE" w:rsidRPr="00785013" w:rsidRDefault="005879AE" w:rsidP="005879AE">
            <w:pPr>
              <w:jc w:val="both"/>
              <w:textAlignment w:val="baseline"/>
              <w:rPr>
                <w:kern w:val="2"/>
                <w:sz w:val="22"/>
                <w:szCs w:val="22"/>
              </w:rPr>
            </w:pPr>
            <w:r w:rsidRPr="00785013">
              <w:rPr>
                <w:kern w:val="2"/>
                <w:sz w:val="22"/>
                <w:szCs w:val="22"/>
              </w:rPr>
              <w:t>k – pagal vartotojų kainų indeksą (bendras „Vartojimo prekių ir paslaugų“) apskaičiuotas Vartojimo prekių ir paslaugų kainų pokytis (padidėjimas arba sumažėjimas) (%). „k“ reikšmė skaičiuojama pagal formulę:</w:t>
            </w:r>
          </w:p>
          <w:p w14:paraId="4901D2F1" w14:textId="77777777" w:rsidR="005879AE" w:rsidRPr="00785013" w:rsidRDefault="005879AE" w:rsidP="005879AE">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785013">
              <w:rPr>
                <w:kern w:val="2"/>
                <w:sz w:val="22"/>
                <w:szCs w:val="22"/>
              </w:rPr>
              <w:t>, (proc.) kur</w:t>
            </w:r>
          </w:p>
          <w:p w14:paraId="660655D8" w14:textId="77777777" w:rsidR="005879AE" w:rsidRPr="00785013" w:rsidRDefault="005879AE" w:rsidP="005879AE">
            <w:pPr>
              <w:jc w:val="both"/>
              <w:textAlignment w:val="baseline"/>
              <w:rPr>
                <w:kern w:val="2"/>
                <w:sz w:val="22"/>
                <w:szCs w:val="22"/>
              </w:rPr>
            </w:pPr>
            <w:proofErr w:type="spellStart"/>
            <w:r w:rsidRPr="00785013">
              <w:rPr>
                <w:kern w:val="2"/>
                <w:sz w:val="22"/>
                <w:szCs w:val="22"/>
              </w:rPr>
              <w:t>Ind</w:t>
            </w:r>
            <w:r w:rsidRPr="00785013">
              <w:rPr>
                <w:kern w:val="2"/>
                <w:sz w:val="22"/>
                <w:szCs w:val="22"/>
                <w:vertAlign w:val="subscript"/>
              </w:rPr>
              <w:t>naujausias</w:t>
            </w:r>
            <w:proofErr w:type="spellEnd"/>
            <w:r w:rsidRPr="00785013">
              <w:rPr>
                <w:kern w:val="2"/>
                <w:sz w:val="22"/>
                <w:szCs w:val="22"/>
              </w:rPr>
              <w:t xml:space="preserve"> – kreipimosi dėl įkainių peržiūros išsiuntimo kitai šaliai dieną paskelbtas naujausias vartojimo prekių ir paslaugų indeksas (bendras „Vartojimo prekių ir paslaugų“).</w:t>
            </w:r>
          </w:p>
          <w:p w14:paraId="1C1827B2" w14:textId="77777777" w:rsidR="005879AE" w:rsidRPr="00785013" w:rsidRDefault="005879AE" w:rsidP="005879AE">
            <w:pPr>
              <w:jc w:val="both"/>
              <w:rPr>
                <w:kern w:val="2"/>
                <w:sz w:val="22"/>
                <w:szCs w:val="22"/>
              </w:rPr>
            </w:pPr>
            <w:proofErr w:type="spellStart"/>
            <w:r w:rsidRPr="00785013">
              <w:rPr>
                <w:kern w:val="2"/>
                <w:sz w:val="22"/>
                <w:szCs w:val="22"/>
              </w:rPr>
              <w:t>Ind</w:t>
            </w:r>
            <w:r w:rsidRPr="00785013">
              <w:rPr>
                <w:kern w:val="2"/>
                <w:sz w:val="22"/>
                <w:szCs w:val="22"/>
                <w:vertAlign w:val="subscript"/>
              </w:rPr>
              <w:t>pradžia</w:t>
            </w:r>
            <w:proofErr w:type="spellEnd"/>
            <w:r w:rsidRPr="00785013">
              <w:rPr>
                <w:kern w:val="2"/>
                <w:sz w:val="22"/>
                <w:szCs w:val="22"/>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B7A48A"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5.3.3.7. </w:t>
            </w:r>
            <w:r w:rsidRPr="00785013">
              <w:rPr>
                <w:kern w:val="2"/>
                <w:sz w:val="22"/>
                <w:szCs w:val="22"/>
                <w:shd w:val="clear" w:color="auto" w:fill="FFFFFF"/>
              </w:rPr>
              <w:t xml:space="preserve">Skaičiavimams indeksų reikšmės imamos </w:t>
            </w:r>
            <w:r w:rsidRPr="00785013">
              <w:rPr>
                <w:b/>
                <w:bCs/>
                <w:kern w:val="2"/>
                <w:sz w:val="22"/>
                <w:szCs w:val="22"/>
                <w:shd w:val="clear" w:color="auto" w:fill="FFFFFF"/>
              </w:rPr>
              <w:t>keturių</w:t>
            </w:r>
            <w:r w:rsidRPr="00785013">
              <w:rPr>
                <w:kern w:val="2"/>
                <w:sz w:val="22"/>
                <w:szCs w:val="22"/>
                <w:shd w:val="clear" w:color="auto" w:fill="FFFFFF"/>
              </w:rPr>
              <w:t xml:space="preserve"> skaitmenų po kablelio tikslumu. Apskaičiuotas pokytis (k) tolimesniems skaičiavimams naudojamas suapvalinus iki </w:t>
            </w:r>
            <w:r w:rsidRPr="00785013">
              <w:rPr>
                <w:b/>
                <w:bCs/>
                <w:kern w:val="2"/>
                <w:sz w:val="22"/>
                <w:szCs w:val="22"/>
                <w:shd w:val="clear" w:color="auto" w:fill="FFFFFF"/>
              </w:rPr>
              <w:t>vieno</w:t>
            </w:r>
            <w:r w:rsidRPr="00785013">
              <w:rPr>
                <w:kern w:val="2"/>
                <w:sz w:val="22"/>
                <w:szCs w:val="22"/>
                <w:shd w:val="clear" w:color="auto" w:fill="FFFFFF"/>
              </w:rPr>
              <w:t xml:space="preserve"> (Valstybės duomenų agentūra pokyčius skelbia apvalindama iki vieno skaitmens po kablelio) skaitmens po kablelio, o apskaičiuotas įkainis „a</w:t>
            </w:r>
            <w:r w:rsidRPr="00785013">
              <w:rPr>
                <w:kern w:val="2"/>
                <w:sz w:val="22"/>
                <w:szCs w:val="22"/>
                <w:shd w:val="clear" w:color="auto" w:fill="FFFFFF"/>
                <w:vertAlign w:val="subscript"/>
              </w:rPr>
              <w:t>1</w:t>
            </w:r>
            <w:r w:rsidRPr="00785013">
              <w:rPr>
                <w:kern w:val="2"/>
                <w:sz w:val="22"/>
                <w:szCs w:val="22"/>
                <w:shd w:val="clear" w:color="auto" w:fill="FFFFFF"/>
              </w:rPr>
              <w:t xml:space="preserve">“ suapvalinamas iki </w:t>
            </w:r>
            <w:r w:rsidRPr="00785013">
              <w:rPr>
                <w:b/>
                <w:bCs/>
                <w:kern w:val="2"/>
                <w:sz w:val="22"/>
                <w:szCs w:val="22"/>
                <w:shd w:val="clear" w:color="auto" w:fill="FFFFFF"/>
              </w:rPr>
              <w:t xml:space="preserve">dviejų </w:t>
            </w:r>
            <w:r w:rsidRPr="00785013">
              <w:rPr>
                <w:kern w:val="2"/>
                <w:sz w:val="22"/>
                <w:szCs w:val="22"/>
                <w:shd w:val="clear" w:color="auto" w:fill="FFFFFF"/>
              </w:rPr>
              <w:t>(įrašyti tiek skaitmenų, kiek įkainiams nurodyti naudojama sudarytoje sutartyje) skaitmenų po kablelio.</w:t>
            </w:r>
          </w:p>
          <w:p w14:paraId="513029E8"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85013">
              <w:rPr>
                <w:kern w:val="2"/>
                <w:sz w:val="22"/>
                <w:szCs w:val="22"/>
                <w:bdr w:val="none" w:sz="0" w:space="0" w:color="auto" w:frame="1"/>
              </w:rPr>
              <w:t>kitus oficialius šaltinių duomenis</w:t>
            </w:r>
            <w:r w:rsidRPr="00785013">
              <w:rPr>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3FC49913"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w:t>
            </w:r>
            <w:r w:rsidRPr="00785013">
              <w:rPr>
                <w:kern w:val="2"/>
                <w:sz w:val="22"/>
                <w:szCs w:val="22"/>
              </w:rPr>
              <w:t xml:space="preserve">.3.3.9. </w:t>
            </w:r>
            <w:r w:rsidRPr="00785013">
              <w:rPr>
                <w:kern w:val="2"/>
                <w:sz w:val="22"/>
                <w:szCs w:val="22"/>
                <w:shd w:val="clear" w:color="auto" w:fill="FFFFFF"/>
              </w:rPr>
              <w:t>Susitarimas turi būti sudarytas per 20 dienų nuo Šalies pateikto tinkamo prašymo perskaičiuoti S</w:t>
            </w:r>
            <w:r w:rsidRPr="00785013">
              <w:rPr>
                <w:kern w:val="2"/>
                <w:sz w:val="22"/>
                <w:szCs w:val="22"/>
              </w:rPr>
              <w:t xml:space="preserve">utarties </w:t>
            </w:r>
            <w:r w:rsidRPr="00785013">
              <w:rPr>
                <w:kern w:val="2"/>
                <w:sz w:val="22"/>
                <w:szCs w:val="22"/>
                <w:shd w:val="clear" w:color="auto" w:fill="FFFFFF"/>
              </w:rPr>
              <w:t>įkainius gavimo dienos.</w:t>
            </w:r>
          </w:p>
          <w:p w14:paraId="7431480A" w14:textId="77777777" w:rsidR="005879AE" w:rsidRPr="00785013" w:rsidRDefault="005879AE" w:rsidP="005879AE">
            <w:pPr>
              <w:jc w:val="both"/>
              <w:rPr>
                <w:kern w:val="2"/>
                <w:sz w:val="22"/>
                <w:szCs w:val="22"/>
                <w:bdr w:val="none" w:sz="0" w:space="0" w:color="auto" w:frame="1"/>
              </w:rPr>
            </w:pPr>
            <w:r w:rsidRPr="00785013">
              <w:rPr>
                <w:kern w:val="2"/>
                <w:sz w:val="22"/>
                <w:szCs w:val="22"/>
                <w:shd w:val="clear" w:color="auto" w:fill="FFFFFF"/>
              </w:rPr>
              <w:t xml:space="preserve">5.3.3.10. </w:t>
            </w:r>
            <w:r w:rsidRPr="00785013">
              <w:rPr>
                <w:kern w:val="2"/>
                <w:sz w:val="22"/>
                <w:szCs w:val="22"/>
                <w:bdr w:val="none" w:sz="0" w:space="0" w:color="auto" w:frame="1"/>
              </w:rPr>
              <w:t>Susitarimu Šalys neturi teisės keisti procedūroje nurodytos tvarkos ar kitų Sutarties nuostatų, išskyrus, jei keitimas atliekamas pagal VPĮ nuostatas.</w:t>
            </w:r>
          </w:p>
          <w:p w14:paraId="5C641BA2" w14:textId="3544154E" w:rsidR="005879AE" w:rsidRPr="00000CC1" w:rsidRDefault="005879AE" w:rsidP="005879AE">
            <w:pPr>
              <w:spacing w:line="233" w:lineRule="auto"/>
              <w:jc w:val="both"/>
              <w:rPr>
                <w:color w:val="4472C4"/>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3A261BF" w14:textId="160B0FDC" w:rsidR="00F774C8" w:rsidRPr="00406FEF" w:rsidRDefault="00F774C8" w:rsidP="00F774C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F54CF4">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54B29573" w:rsidR="00B65961" w:rsidRPr="003C4900" w:rsidRDefault="00B65961" w:rsidP="00B67068">
            <w:pPr>
              <w:spacing w:line="233" w:lineRule="auto"/>
              <w:jc w:val="both"/>
              <w:rPr>
                <w:kern w:val="2"/>
                <w:sz w:val="22"/>
                <w:szCs w:val="22"/>
              </w:rPr>
            </w:pP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1D12027A" w:rsidR="009A4871" w:rsidRPr="00667BCE" w:rsidRDefault="009A4871" w:rsidP="0032735C">
            <w:pPr>
              <w:spacing w:line="233" w:lineRule="auto"/>
              <w:jc w:val="both"/>
              <w:rPr>
                <w:color w:val="000000" w:themeColor="text1"/>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w:t>
            </w:r>
            <w:r w:rsidR="00E04D88" w:rsidRPr="00667BCE">
              <w:rPr>
                <w:color w:val="000000" w:themeColor="text1"/>
                <w:kern w:val="2"/>
                <w:szCs w:val="22"/>
              </w:rPr>
              <w:t xml:space="preserve">prievolių įvykdymo, bet jos terminas negali būti ilgesnis </w:t>
            </w:r>
            <w:r w:rsidR="00E04D88" w:rsidRPr="00667BCE">
              <w:rPr>
                <w:b/>
                <w:bCs/>
                <w:color w:val="000000" w:themeColor="text1"/>
                <w:kern w:val="2"/>
                <w:szCs w:val="22"/>
              </w:rPr>
              <w:t>kaip</w:t>
            </w:r>
            <w:r w:rsidR="00121A49" w:rsidRPr="00667BCE">
              <w:rPr>
                <w:b/>
                <w:bCs/>
                <w:color w:val="000000" w:themeColor="text1"/>
                <w:kern w:val="2"/>
                <w:szCs w:val="22"/>
              </w:rPr>
              <w:t xml:space="preserve"> </w:t>
            </w:r>
            <w:r w:rsidR="004601DF" w:rsidRPr="00667BCE">
              <w:rPr>
                <w:b/>
                <w:bCs/>
                <w:color w:val="000000" w:themeColor="text1"/>
                <w:kern w:val="2"/>
                <w:szCs w:val="22"/>
              </w:rPr>
              <w:t>2</w:t>
            </w:r>
            <w:r w:rsidR="0073112C" w:rsidRPr="00667BCE">
              <w:rPr>
                <w:b/>
                <w:bCs/>
                <w:color w:val="000000" w:themeColor="text1"/>
                <w:kern w:val="2"/>
                <w:szCs w:val="22"/>
              </w:rPr>
              <w:t>1</w:t>
            </w:r>
            <w:r w:rsidR="00121A49" w:rsidRPr="00667BCE">
              <w:rPr>
                <w:b/>
                <w:bCs/>
                <w:color w:val="000000" w:themeColor="text1"/>
                <w:kern w:val="2"/>
                <w:szCs w:val="22"/>
              </w:rPr>
              <w:t xml:space="preserve"> </w:t>
            </w:r>
            <w:r w:rsidR="00F54CF4" w:rsidRPr="00667BCE">
              <w:rPr>
                <w:b/>
                <w:bCs/>
                <w:color w:val="000000" w:themeColor="text1"/>
                <w:kern w:val="2"/>
                <w:szCs w:val="22"/>
              </w:rPr>
              <w:t>mėn</w:t>
            </w:r>
            <w:r w:rsidR="00121A49" w:rsidRPr="00667BCE">
              <w:rPr>
                <w:b/>
                <w:bCs/>
                <w:color w:val="000000" w:themeColor="text1"/>
                <w:kern w:val="2"/>
                <w:szCs w:val="22"/>
              </w:rPr>
              <w:t>.</w:t>
            </w:r>
            <w:r w:rsidRPr="00667BCE">
              <w:rPr>
                <w:color w:val="000000" w:themeColor="text1"/>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667BCE">
              <w:rPr>
                <w:rFonts w:ascii="Times New Roman" w:hAnsi="Times New Roman"/>
                <w:color w:val="000000" w:themeColor="text1"/>
                <w:szCs w:val="24"/>
                <w:lang w:val="lt-LT"/>
              </w:rPr>
              <w:t xml:space="preserve">10.1.2. </w:t>
            </w:r>
            <w:r w:rsidR="009A4871" w:rsidRPr="00667BCE">
              <w:rPr>
                <w:rFonts w:ascii="Times New Roman" w:hAnsi="Times New Roman"/>
                <w:color w:val="000000" w:themeColor="text1"/>
                <w:szCs w:val="24"/>
                <w:lang w:val="lt-LT"/>
              </w:rPr>
              <w:t xml:space="preserve">Nutraukus Sutartį ar jai pasibaigus, lieka galioti šios Sutarties nuostatos, susijusios </w:t>
            </w:r>
            <w:r w:rsidR="009A4871" w:rsidRPr="00000CC1">
              <w:rPr>
                <w:rFonts w:ascii="Times New Roman" w:hAnsi="Times New Roman"/>
                <w:szCs w:val="24"/>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5E804AD2" w14:textId="77777777" w:rsidTr="002D34F1">
        <w:trPr>
          <w:trHeight w:val="20"/>
        </w:trPr>
        <w:tc>
          <w:tcPr>
            <w:tcW w:w="9781" w:type="dxa"/>
            <w:gridSpan w:val="3"/>
          </w:tcPr>
          <w:p w14:paraId="0A7C52C7" w14:textId="3418D946" w:rsidR="0086147B" w:rsidRPr="00000CC1" w:rsidRDefault="0086147B" w:rsidP="00757ED6">
            <w:pPr>
              <w:jc w:val="center"/>
              <w:rPr>
                <w:b/>
                <w:bCs/>
                <w:kern w:val="2"/>
                <w:sz w:val="22"/>
                <w:szCs w:val="22"/>
              </w:rPr>
            </w:pPr>
            <w:r w:rsidRPr="00F37BFC">
              <w:rPr>
                <w:b/>
                <w:bCs/>
                <w:kern w:val="2"/>
                <w:sz w:val="22"/>
                <w:szCs w:val="22"/>
              </w:rPr>
              <w:t>13. BENDRŲJŲ SĄLYGŲ PAKEITIMAI IR PAPILDYMAI</w:t>
            </w:r>
          </w:p>
        </w:tc>
      </w:tr>
      <w:tr w:rsidR="0086147B" w:rsidRPr="00000CC1" w14:paraId="5C76A87E" w14:textId="77777777" w:rsidTr="002D34F1">
        <w:trPr>
          <w:trHeight w:val="20"/>
        </w:trPr>
        <w:tc>
          <w:tcPr>
            <w:tcW w:w="2977" w:type="dxa"/>
          </w:tcPr>
          <w:p w14:paraId="7AC352C5" w14:textId="77777777" w:rsidR="0086147B" w:rsidRPr="00000CC1" w:rsidRDefault="0086147B" w:rsidP="002D34F1">
            <w:pPr>
              <w:jc w:val="both"/>
              <w:rPr>
                <w:b/>
                <w:bCs/>
                <w:kern w:val="2"/>
                <w:sz w:val="22"/>
                <w:szCs w:val="22"/>
              </w:rPr>
            </w:pPr>
            <w:r>
              <w:rPr>
                <w:b/>
                <w:bCs/>
                <w:kern w:val="2"/>
                <w:sz w:val="22"/>
                <w:szCs w:val="22"/>
              </w:rPr>
              <w:t>13.1</w:t>
            </w:r>
          </w:p>
        </w:tc>
        <w:tc>
          <w:tcPr>
            <w:tcW w:w="6804" w:type="dxa"/>
            <w:gridSpan w:val="2"/>
          </w:tcPr>
          <w:p w14:paraId="324B52C4"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0EB30525"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04D90B0D"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1589A474" w14:textId="77777777" w:rsidR="0086147B" w:rsidRPr="00000CC1" w:rsidRDefault="0086147B" w:rsidP="002D34F1">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86147B" w:rsidRPr="00000CC1" w14:paraId="36FB2B92" w14:textId="77777777" w:rsidTr="002D34F1">
        <w:trPr>
          <w:trHeight w:val="20"/>
        </w:trPr>
        <w:tc>
          <w:tcPr>
            <w:tcW w:w="9781" w:type="dxa"/>
            <w:gridSpan w:val="3"/>
          </w:tcPr>
          <w:p w14:paraId="4F2AC602" w14:textId="77777777" w:rsidR="0086147B" w:rsidRPr="002D34F1" w:rsidRDefault="0086147B" w:rsidP="002D34F1">
            <w:pPr>
              <w:jc w:val="center"/>
              <w:rPr>
                <w:b/>
                <w:kern w:val="2"/>
                <w:sz w:val="22"/>
                <w:szCs w:val="22"/>
              </w:rPr>
            </w:pPr>
            <w:r w:rsidRPr="002D34F1">
              <w:rPr>
                <w:b/>
                <w:kern w:val="2"/>
                <w:sz w:val="22"/>
                <w:szCs w:val="22"/>
              </w:rPr>
              <w:t>14.SUTARTIES PRIEDAI</w:t>
            </w:r>
          </w:p>
        </w:tc>
      </w:tr>
      <w:tr w:rsidR="0086147B" w:rsidRPr="00000CC1" w14:paraId="452D18AE" w14:textId="77777777" w:rsidTr="002D34F1">
        <w:trPr>
          <w:trHeight w:val="20"/>
        </w:trPr>
        <w:tc>
          <w:tcPr>
            <w:tcW w:w="2977" w:type="dxa"/>
          </w:tcPr>
          <w:p w14:paraId="5CC348A5" w14:textId="0BD7D6EC"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6B9D7246"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2D34F1">
        <w:trPr>
          <w:trHeight w:val="20"/>
        </w:trPr>
        <w:tc>
          <w:tcPr>
            <w:tcW w:w="2977" w:type="dxa"/>
          </w:tcPr>
          <w:p w14:paraId="5D30DB90" w14:textId="34B43543"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2D34F1">
        <w:trPr>
          <w:trHeight w:val="20"/>
        </w:trPr>
        <w:tc>
          <w:tcPr>
            <w:tcW w:w="9781" w:type="dxa"/>
            <w:gridSpan w:val="3"/>
          </w:tcPr>
          <w:p w14:paraId="2470F191" w14:textId="77777777" w:rsidR="0086147B" w:rsidRPr="00000CC1" w:rsidRDefault="0086147B" w:rsidP="002D34F1">
            <w:pPr>
              <w:jc w:val="center"/>
              <w:rPr>
                <w:b/>
                <w:bCs/>
                <w:kern w:val="2"/>
                <w:sz w:val="22"/>
                <w:szCs w:val="22"/>
              </w:rPr>
            </w:pPr>
            <w:r w:rsidRPr="00000CC1">
              <w:rPr>
                <w:b/>
                <w:bCs/>
                <w:kern w:val="2"/>
                <w:sz w:val="22"/>
                <w:szCs w:val="22"/>
              </w:rPr>
              <w:t>15.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2AFE"/>
    <w:rsid w:val="00090C5C"/>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A7CA4"/>
    <w:rsid w:val="001B14FA"/>
    <w:rsid w:val="001B5701"/>
    <w:rsid w:val="001B7A06"/>
    <w:rsid w:val="001C023A"/>
    <w:rsid w:val="00205A3D"/>
    <w:rsid w:val="00210CF1"/>
    <w:rsid w:val="00210CF2"/>
    <w:rsid w:val="002230BD"/>
    <w:rsid w:val="002255F6"/>
    <w:rsid w:val="00247270"/>
    <w:rsid w:val="00272C99"/>
    <w:rsid w:val="00282049"/>
    <w:rsid w:val="00293138"/>
    <w:rsid w:val="002B2A32"/>
    <w:rsid w:val="002C27A2"/>
    <w:rsid w:val="002C34FC"/>
    <w:rsid w:val="002D7719"/>
    <w:rsid w:val="0032735C"/>
    <w:rsid w:val="003813A3"/>
    <w:rsid w:val="00387E4B"/>
    <w:rsid w:val="00396984"/>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527E62"/>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D1B08"/>
    <w:rsid w:val="006F4C55"/>
    <w:rsid w:val="006F7E87"/>
    <w:rsid w:val="00706B28"/>
    <w:rsid w:val="00711913"/>
    <w:rsid w:val="00713E03"/>
    <w:rsid w:val="00714D48"/>
    <w:rsid w:val="00723109"/>
    <w:rsid w:val="0073112C"/>
    <w:rsid w:val="0074212D"/>
    <w:rsid w:val="00747B1B"/>
    <w:rsid w:val="00751609"/>
    <w:rsid w:val="00757ED6"/>
    <w:rsid w:val="0077739D"/>
    <w:rsid w:val="007B0354"/>
    <w:rsid w:val="007F5779"/>
    <w:rsid w:val="00800FF0"/>
    <w:rsid w:val="008122FA"/>
    <w:rsid w:val="00814F9F"/>
    <w:rsid w:val="00831CED"/>
    <w:rsid w:val="0085584D"/>
    <w:rsid w:val="00857585"/>
    <w:rsid w:val="0086147B"/>
    <w:rsid w:val="00870C68"/>
    <w:rsid w:val="00874B3C"/>
    <w:rsid w:val="008A05BC"/>
    <w:rsid w:val="008A64CF"/>
    <w:rsid w:val="008B6D1A"/>
    <w:rsid w:val="008E0475"/>
    <w:rsid w:val="008E4CBB"/>
    <w:rsid w:val="008F1294"/>
    <w:rsid w:val="0091333F"/>
    <w:rsid w:val="00916C58"/>
    <w:rsid w:val="00924063"/>
    <w:rsid w:val="00936DEB"/>
    <w:rsid w:val="009A276C"/>
    <w:rsid w:val="009A4871"/>
    <w:rsid w:val="009A4A33"/>
    <w:rsid w:val="009D58F7"/>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E472B"/>
    <w:rsid w:val="00C10F8A"/>
    <w:rsid w:val="00C27303"/>
    <w:rsid w:val="00C42996"/>
    <w:rsid w:val="00C74812"/>
    <w:rsid w:val="00C85B03"/>
    <w:rsid w:val="00C87FD8"/>
    <w:rsid w:val="00CD046E"/>
    <w:rsid w:val="00D124CF"/>
    <w:rsid w:val="00D1431C"/>
    <w:rsid w:val="00D322E1"/>
    <w:rsid w:val="00D57809"/>
    <w:rsid w:val="00D943C7"/>
    <w:rsid w:val="00DB0918"/>
    <w:rsid w:val="00DB3A90"/>
    <w:rsid w:val="00DC0504"/>
    <w:rsid w:val="00DC5A34"/>
    <w:rsid w:val="00DD4C56"/>
    <w:rsid w:val="00DE174F"/>
    <w:rsid w:val="00E04D88"/>
    <w:rsid w:val="00E36979"/>
    <w:rsid w:val="00E42508"/>
    <w:rsid w:val="00E47E10"/>
    <w:rsid w:val="00E6257E"/>
    <w:rsid w:val="00E66CFF"/>
    <w:rsid w:val="00E66DBA"/>
    <w:rsid w:val="00E72732"/>
    <w:rsid w:val="00EA28F0"/>
    <w:rsid w:val="00EB746E"/>
    <w:rsid w:val="00ED3902"/>
    <w:rsid w:val="00EF44C6"/>
    <w:rsid w:val="00F123C6"/>
    <w:rsid w:val="00F21D57"/>
    <w:rsid w:val="00F44CBF"/>
    <w:rsid w:val="00F509E8"/>
    <w:rsid w:val="00F54CF4"/>
    <w:rsid w:val="00F7236D"/>
    <w:rsid w:val="00F774C8"/>
    <w:rsid w:val="00F82C4E"/>
    <w:rsid w:val="00F947F1"/>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hyperlink" Target="mailto:aurimas.knokneris@kulig.lt" TargetMode="Externa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lig@kulig.lt"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birute.navickiene@kulig"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64711</Words>
  <Characters>36886</Characters>
  <Application>Microsoft Office Word</Application>
  <DocSecurity>0</DocSecurity>
  <Lines>307</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6</cp:revision>
  <dcterms:created xsi:type="dcterms:W3CDTF">2025-02-04T17:42:00Z</dcterms:created>
  <dcterms:modified xsi:type="dcterms:W3CDTF">2025-02-06T13:09:00Z</dcterms:modified>
</cp:coreProperties>
</file>