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C9D61" w14:textId="53F27BFE" w:rsidR="00DB6154" w:rsidRDefault="00DB6154" w:rsidP="00DB6154">
      <w:pPr>
        <w:spacing w:after="0" w:line="240" w:lineRule="auto"/>
        <w:rPr>
          <w:b/>
          <w:bCs/>
          <w:iCs/>
        </w:rPr>
      </w:pPr>
      <w:r w:rsidRPr="00E53268">
        <w:rPr>
          <w:b/>
          <w:bCs/>
          <w:iCs/>
        </w:rPr>
        <w:t>Viešųjų pirkimų nuolatinė komisija teikia atsakymus į tiekėjų pateikt</w:t>
      </w:r>
      <w:r>
        <w:rPr>
          <w:b/>
          <w:bCs/>
          <w:iCs/>
        </w:rPr>
        <w:t>ą</w:t>
      </w:r>
      <w:r w:rsidRPr="00E53268">
        <w:rPr>
          <w:b/>
          <w:bCs/>
          <w:iCs/>
        </w:rPr>
        <w:t xml:space="preserve"> </w:t>
      </w:r>
      <w:r>
        <w:rPr>
          <w:b/>
          <w:bCs/>
          <w:iCs/>
        </w:rPr>
        <w:t>pretenzija</w:t>
      </w:r>
      <w:r w:rsidRPr="00E53268">
        <w:rPr>
          <w:b/>
          <w:bCs/>
          <w:iCs/>
        </w:rPr>
        <w:t xml:space="preserve"> pirkime „</w:t>
      </w:r>
      <w:r w:rsidRPr="00DB6154">
        <w:rPr>
          <w:b/>
          <w:bCs/>
          <w:iCs/>
        </w:rPr>
        <w:t>Hematologinio analizatoriaus pirkimas</w:t>
      </w:r>
      <w:r w:rsidRPr="00E53268">
        <w:rPr>
          <w:b/>
          <w:bCs/>
          <w:iCs/>
        </w:rPr>
        <w:t xml:space="preserve">“ CVP IS pirkimo </w:t>
      </w:r>
      <w:r>
        <w:rPr>
          <w:b/>
          <w:bCs/>
          <w:iCs/>
        </w:rPr>
        <w:t>ID</w:t>
      </w:r>
      <w:r w:rsidRPr="00E53268">
        <w:rPr>
          <w:b/>
          <w:bCs/>
          <w:iCs/>
        </w:rPr>
        <w:t xml:space="preserve">. </w:t>
      </w:r>
      <w:r w:rsidRPr="00DB6154">
        <w:rPr>
          <w:b/>
          <w:bCs/>
          <w:iCs/>
        </w:rPr>
        <w:t>959156</w:t>
      </w:r>
      <w:r w:rsidRPr="00E53268">
        <w:rPr>
          <w:b/>
          <w:bCs/>
          <w:iCs/>
        </w:rPr>
        <w:t>:</w:t>
      </w:r>
    </w:p>
    <w:p w14:paraId="77017044" w14:textId="77777777" w:rsidR="00DB6154" w:rsidRPr="00DB6154" w:rsidRDefault="00DB6154" w:rsidP="00DB6154">
      <w:pPr>
        <w:spacing w:after="0" w:line="240" w:lineRule="auto"/>
        <w:rPr>
          <w:b/>
          <w:bCs/>
          <w:iCs/>
        </w:rPr>
      </w:pPr>
    </w:p>
    <w:p w14:paraId="2B71C7BA" w14:textId="52439E43" w:rsidR="002C733C" w:rsidRPr="00DB6154" w:rsidRDefault="002C733C" w:rsidP="00FE4600">
      <w:pPr>
        <w:spacing w:before="100" w:beforeAutospacing="1" w:after="100" w:afterAutospacing="1" w:line="240" w:lineRule="auto"/>
        <w:jc w:val="both"/>
        <w:rPr>
          <w:rFonts w:eastAsia="Times New Roman"/>
          <w:b/>
          <w:bCs/>
          <w:kern w:val="0"/>
          <w:lang w:eastAsia="lt-LT"/>
          <w14:ligatures w14:val="none"/>
        </w:rPr>
      </w:pPr>
      <w:r w:rsidRPr="00DB6154">
        <w:rPr>
          <w:rFonts w:eastAsia="Times New Roman"/>
          <w:b/>
          <w:bCs/>
          <w:kern w:val="0"/>
          <w:lang w:eastAsia="lt-LT"/>
          <w14:ligatures w14:val="none"/>
        </w:rPr>
        <w:t xml:space="preserve">Dėl </w:t>
      </w:r>
      <w:r w:rsidR="00DB6154" w:rsidRPr="00DB6154">
        <w:rPr>
          <w:rFonts w:eastAsia="Times New Roman"/>
          <w:b/>
          <w:bCs/>
          <w:kern w:val="0"/>
          <w:lang w:eastAsia="lt-LT"/>
          <w14:ligatures w14:val="none"/>
        </w:rPr>
        <w:t xml:space="preserve">techninės specifikacijos </w:t>
      </w:r>
      <w:r w:rsidRPr="00DB6154">
        <w:rPr>
          <w:rFonts w:eastAsia="Times New Roman"/>
          <w:b/>
          <w:bCs/>
          <w:kern w:val="0"/>
          <w:lang w:eastAsia="lt-LT"/>
          <w14:ligatures w14:val="none"/>
        </w:rPr>
        <w:t>3 p</w:t>
      </w:r>
      <w:r w:rsidR="00DB6154" w:rsidRPr="00DB6154">
        <w:rPr>
          <w:rFonts w:eastAsia="Times New Roman"/>
          <w:b/>
          <w:bCs/>
          <w:kern w:val="0"/>
          <w:lang w:eastAsia="lt-LT"/>
          <w14:ligatures w14:val="none"/>
        </w:rPr>
        <w:t>unkto.</w:t>
      </w:r>
    </w:p>
    <w:p w14:paraId="2F6952B2" w14:textId="198F1282" w:rsidR="002E600A" w:rsidRPr="0032478A" w:rsidRDefault="003647B1" w:rsidP="002E600A">
      <w:pPr>
        <w:spacing w:before="100" w:beforeAutospacing="1" w:after="100" w:afterAutospacing="1" w:line="240" w:lineRule="auto"/>
        <w:jc w:val="both"/>
        <w:rPr>
          <w:rFonts w:eastAsia="Times New Roman"/>
          <w:kern w:val="0"/>
          <w:lang w:eastAsia="lt-LT"/>
          <w14:ligatures w14:val="none"/>
        </w:rPr>
      </w:pPr>
      <w:r>
        <w:t>Atsakydami į tiekėjo prašymą ir a</w:t>
      </w:r>
      <w:r w:rsidR="002E600A" w:rsidRPr="0032478A">
        <w:rPr>
          <w:rFonts w:eastAsia="Times New Roman"/>
          <w:kern w:val="0"/>
          <w:lang w:eastAsia="lt-LT"/>
          <w14:ligatures w14:val="none"/>
        </w:rPr>
        <w:t xml:space="preserve">tsižvelgdami į išdėstytą argumentaciją, techninės specifikacijos </w:t>
      </w:r>
      <w:r w:rsidR="002E600A">
        <w:rPr>
          <w:rFonts w:eastAsia="Times New Roman"/>
          <w:kern w:val="0"/>
          <w:lang w:eastAsia="lt-LT"/>
          <w14:ligatures w14:val="none"/>
        </w:rPr>
        <w:t>3</w:t>
      </w:r>
      <w:r w:rsidR="002E600A" w:rsidRPr="0032478A">
        <w:rPr>
          <w:rFonts w:eastAsia="Times New Roman"/>
          <w:kern w:val="0"/>
          <w:lang w:eastAsia="lt-LT"/>
          <w14:ligatures w14:val="none"/>
        </w:rPr>
        <w:t xml:space="preserve"> punktą koreguoti planuojame taip:</w:t>
      </w:r>
      <w:r w:rsidR="002E600A">
        <w:rPr>
          <w:rFonts w:eastAsia="Times New Roman"/>
          <w:kern w:val="0"/>
          <w:lang w:eastAsia="lt-LT"/>
          <w14:ligatures w14:val="none"/>
        </w:rPr>
        <w:t xml:space="preserve"> 18. </w:t>
      </w:r>
      <w:r w:rsidR="002E600A" w:rsidRPr="00FE4600">
        <w:rPr>
          <w:rFonts w:eastAsia="Times New Roman"/>
          <w:kern w:val="0"/>
          <w:lang w:eastAsia="lt-LT"/>
          <w14:ligatures w14:val="none"/>
        </w:rPr>
        <w:t>„RDW arba RDW-CV ir RDW-SD“</w:t>
      </w:r>
    </w:p>
    <w:p w14:paraId="345C4963" w14:textId="69FD2E91" w:rsidR="0074004A" w:rsidRPr="00DB6154" w:rsidRDefault="002C733C" w:rsidP="00AB54C9">
      <w:pPr>
        <w:spacing w:line="240" w:lineRule="auto"/>
        <w:rPr>
          <w:b/>
          <w:bCs/>
        </w:rPr>
      </w:pPr>
      <w:r w:rsidRPr="00DB6154">
        <w:rPr>
          <w:b/>
          <w:bCs/>
        </w:rPr>
        <w:t xml:space="preserve">Dėl </w:t>
      </w:r>
      <w:r w:rsidR="00DB6154" w:rsidRPr="00DB6154">
        <w:rPr>
          <w:rFonts w:eastAsia="Times New Roman"/>
          <w:b/>
          <w:bCs/>
          <w:kern w:val="0"/>
          <w:lang w:eastAsia="lt-LT"/>
          <w14:ligatures w14:val="none"/>
        </w:rPr>
        <w:t xml:space="preserve">techninės specifikacijos </w:t>
      </w:r>
      <w:r w:rsidRPr="00DB6154">
        <w:rPr>
          <w:b/>
          <w:bCs/>
        </w:rPr>
        <w:t>4 p</w:t>
      </w:r>
      <w:r w:rsidR="00DB6154" w:rsidRPr="00DB6154">
        <w:rPr>
          <w:b/>
          <w:bCs/>
        </w:rPr>
        <w:t>unkto</w:t>
      </w:r>
      <w:r w:rsidRPr="00DB6154">
        <w:rPr>
          <w:b/>
          <w:bCs/>
        </w:rPr>
        <w:t>.</w:t>
      </w:r>
    </w:p>
    <w:p w14:paraId="67527DC3" w14:textId="77777777" w:rsidR="002C733C" w:rsidRDefault="002C733C" w:rsidP="002C733C">
      <w:pPr>
        <w:pStyle w:val="prastasiniatinklio"/>
      </w:pPr>
      <w:r>
        <w:t>Atsakydami į tiekėjo prašymą dėl techninės specifikacijos 4 punkto („Tikslumas“) koregavimo, informuojame, kad Perkančioji organizacija, įvertinusi šį prašymą, nusprendė jo netenkinti ir palikti šį reikalavimą nepakitusį.</w:t>
      </w:r>
    </w:p>
    <w:p w14:paraId="0ECAE2FA" w14:textId="77777777" w:rsidR="00AE38B7" w:rsidRDefault="002C733C" w:rsidP="00AE38B7">
      <w:pPr>
        <w:pStyle w:val="prastasiniatinklio"/>
        <w:jc w:val="both"/>
      </w:pPr>
      <w:r>
        <w:t>Leukocitų subpopuliacijų tikslumo rodikliai (</w:t>
      </w:r>
      <w:r w:rsidRPr="002C733C">
        <w:rPr>
          <w:rStyle w:val="Grietas"/>
          <w:rFonts w:eastAsiaTheme="majorEastAsia"/>
          <w:b w:val="0"/>
          <w:bCs w:val="0"/>
        </w:rPr>
        <w:t>LYM%, MON%, GRA%</w:t>
      </w:r>
      <w:r w:rsidRPr="002C733C">
        <w:rPr>
          <w:b/>
          <w:bCs/>
        </w:rPr>
        <w:t>)</w:t>
      </w:r>
      <w:r>
        <w:t xml:space="preserve"> yra esminiai hematologinių tyrimų kokybei, nes jų nukrypimai gali turėti tiesioginės įtakos įvairių hematologinių, infekcinių bei uždegiminių ligų diagnostikai. Šių parametrų tikslumo reikalavimai leidžia užtikrinti pakankamą tyrimų patikimumą bei pakartojamumą. Perkančioji organizacija, rengdama pirkimo dokumentus, vadovavosi gerąja praktika ir tarptautiniais standartais, kurie taikomi hematologiniams analizatoriams. Įprastai tikslumo reikalavimai apima ne tik pagrindinius kraujo rodiklius (</w:t>
      </w:r>
      <w:r w:rsidRPr="00AE38B7">
        <w:rPr>
          <w:rStyle w:val="Grietas"/>
          <w:rFonts w:eastAsiaTheme="majorEastAsia"/>
          <w:b w:val="0"/>
          <w:bCs w:val="0"/>
        </w:rPr>
        <w:t>WBC, RBC, HGB, HCT, PLT</w:t>
      </w:r>
      <w:r>
        <w:t>), bet ir leukocitų subpopuliacijas, todėl šis reikalavimas nėra perteklinis, o atitinka šiuolaikinius laboratorinės diagnostikos standartus.</w:t>
      </w:r>
    </w:p>
    <w:p w14:paraId="51E75A2A" w14:textId="422B3632" w:rsidR="002C733C" w:rsidRDefault="002C733C" w:rsidP="00AE38B7">
      <w:pPr>
        <w:pStyle w:val="prastasiniatinklio"/>
        <w:jc w:val="both"/>
      </w:pPr>
      <w:r>
        <w:t>Reikalavimų pašalinimas galėtų dirbtinai praplėsti dalyvių ratą, tačiau tuo pačiu metu sumažintų įsigyjamos įrangos kokybę. Atsisakius šių tikslumo parametrų, įsigytas analizatorius gali neatitikti reikiamų medicininių standartų, todėl laikome nepagrįstu siūlomą reikalavimų keitimą.</w:t>
      </w:r>
    </w:p>
    <w:p w14:paraId="67CDED82" w14:textId="1A26F1F7" w:rsidR="002C733C" w:rsidRPr="00DB6154" w:rsidRDefault="00DD1BE9" w:rsidP="00AB54C9">
      <w:pPr>
        <w:spacing w:line="240" w:lineRule="auto"/>
        <w:rPr>
          <w:b/>
          <w:bCs/>
        </w:rPr>
      </w:pPr>
      <w:r w:rsidRPr="00DB6154">
        <w:rPr>
          <w:b/>
          <w:bCs/>
        </w:rPr>
        <w:t xml:space="preserve">Dėl </w:t>
      </w:r>
      <w:r w:rsidR="00DB6154" w:rsidRPr="00DB6154">
        <w:rPr>
          <w:rFonts w:eastAsia="Times New Roman"/>
          <w:b/>
          <w:bCs/>
          <w:kern w:val="0"/>
          <w:lang w:eastAsia="lt-LT"/>
          <w14:ligatures w14:val="none"/>
        </w:rPr>
        <w:t xml:space="preserve">techninės specifikacijos </w:t>
      </w:r>
      <w:r w:rsidRPr="00DB6154">
        <w:rPr>
          <w:b/>
          <w:bCs/>
        </w:rPr>
        <w:t>5 p</w:t>
      </w:r>
      <w:r w:rsidR="00DB6154" w:rsidRPr="00DB6154">
        <w:rPr>
          <w:b/>
          <w:bCs/>
        </w:rPr>
        <w:t>unkto</w:t>
      </w:r>
      <w:r w:rsidRPr="00DB6154">
        <w:rPr>
          <w:b/>
          <w:bCs/>
        </w:rPr>
        <w:t>.</w:t>
      </w:r>
    </w:p>
    <w:p w14:paraId="1B84D0F3" w14:textId="2D80B00A" w:rsidR="00DD1BE9" w:rsidRDefault="00DD1BE9" w:rsidP="0032478A">
      <w:pPr>
        <w:spacing w:after="0" w:line="240" w:lineRule="auto"/>
        <w:jc w:val="both"/>
        <w:rPr>
          <w:rFonts w:eastAsia="Times New Roman"/>
          <w:kern w:val="0"/>
          <w:lang w:eastAsia="lt-LT"/>
          <w14:ligatures w14:val="none"/>
        </w:rPr>
      </w:pPr>
      <w:r w:rsidRPr="00DD1BE9">
        <w:rPr>
          <w:rFonts w:eastAsia="Times New Roman"/>
          <w:kern w:val="0"/>
          <w:lang w:eastAsia="lt-LT"/>
          <w14:ligatures w14:val="none"/>
        </w:rPr>
        <w:t xml:space="preserve">Perkančioji organizacija </w:t>
      </w:r>
      <w:r>
        <w:rPr>
          <w:rFonts w:eastAsia="Times New Roman"/>
          <w:kern w:val="0"/>
          <w:lang w:eastAsia="lt-LT"/>
          <w14:ligatures w14:val="none"/>
        </w:rPr>
        <w:t>vertina</w:t>
      </w:r>
      <w:r w:rsidRPr="00DD1BE9">
        <w:rPr>
          <w:rFonts w:eastAsia="Times New Roman"/>
          <w:kern w:val="0"/>
          <w:lang w:eastAsia="lt-LT"/>
          <w14:ligatures w14:val="none"/>
        </w:rPr>
        <w:t xml:space="preserve"> šį siūlymą kaip nepagrįstą, nes HCT reikšmės mažinimas iki 67% nėra mediciniškai pagrįstas ir gali riboti analizatoriaus funkcionalumą kritinėse klinikinėse situacijose.  Reikalavimo keitimas nėra objektyviai būtinas ir galėtų neigiamai paveikti pacientų diagnostiką bei sumažinti perkamų įrenginių konkurencingumą.</w:t>
      </w:r>
    </w:p>
    <w:p w14:paraId="686B83AF" w14:textId="41791ED9" w:rsidR="00FE4600" w:rsidRDefault="0032478A" w:rsidP="00B532C2">
      <w:pPr>
        <w:spacing w:after="0" w:line="240" w:lineRule="auto"/>
        <w:jc w:val="both"/>
        <w:rPr>
          <w:rFonts w:eastAsia="Times New Roman"/>
          <w:kern w:val="0"/>
          <w:lang w:eastAsia="lt-LT"/>
          <w14:ligatures w14:val="none"/>
        </w:rPr>
      </w:pPr>
      <w:r w:rsidRPr="0032478A">
        <w:rPr>
          <w:rFonts w:eastAsia="Times New Roman"/>
          <w:kern w:val="0"/>
          <w:lang w:eastAsia="lt-LT"/>
          <w14:ligatures w14:val="none"/>
        </w:rPr>
        <w:t>ISO ir CLSI laboratorijų standartai rekomenduoja, kad hematologiniai analizatoriai turėtų kuo platesnes matavimo ribas, siekiant išvengti diagnostinių klaidų</w:t>
      </w:r>
      <w:r>
        <w:rPr>
          <w:rFonts w:eastAsia="Times New Roman"/>
          <w:kern w:val="0"/>
          <w:lang w:eastAsia="lt-LT"/>
          <w14:ligatures w14:val="none"/>
        </w:rPr>
        <w:t xml:space="preserve">. </w:t>
      </w:r>
      <w:r w:rsidRPr="0032478A">
        <w:rPr>
          <w:rFonts w:eastAsia="Times New Roman"/>
          <w:kern w:val="0"/>
          <w:lang w:eastAsia="lt-LT"/>
          <w14:ligatures w14:val="none"/>
        </w:rPr>
        <w:t xml:space="preserve">Hematokrito matavimo viršutinė riba </w:t>
      </w:r>
      <w:r w:rsidRPr="0032478A">
        <w:rPr>
          <w:rFonts w:eastAsia="Times New Roman"/>
          <w:b/>
          <w:bCs/>
          <w:kern w:val="0"/>
          <w:lang w:eastAsia="lt-LT"/>
          <w14:ligatures w14:val="none"/>
        </w:rPr>
        <w:t>70%</w:t>
      </w:r>
      <w:r w:rsidRPr="0032478A">
        <w:rPr>
          <w:rFonts w:eastAsia="Times New Roman"/>
          <w:kern w:val="0"/>
          <w:lang w:eastAsia="lt-LT"/>
          <w14:ligatures w14:val="none"/>
        </w:rPr>
        <w:t xml:space="preserve"> nėra nereikalinga – ji yra būtina pacientams, sergantiems tam tikromis ligomis,</w:t>
      </w:r>
      <w:r>
        <w:rPr>
          <w:rFonts w:eastAsia="Times New Roman"/>
          <w:kern w:val="0"/>
          <w:lang w:eastAsia="lt-LT"/>
          <w14:ligatures w14:val="none"/>
        </w:rPr>
        <w:t xml:space="preserve"> k</w:t>
      </w:r>
      <w:r w:rsidRPr="0032478A">
        <w:rPr>
          <w:rFonts w:eastAsia="Times New Roman"/>
          <w:kern w:val="0"/>
          <w:lang w:eastAsia="lt-LT"/>
          <w14:ligatures w14:val="none"/>
        </w:rPr>
        <w:t>ai kurių sunkių dehidratacijos būsenų metu hematokritas taip pat gali būti labai aukštas (&gt;70%).</w:t>
      </w:r>
      <w:r>
        <w:rPr>
          <w:rFonts w:eastAsia="Times New Roman"/>
          <w:kern w:val="0"/>
          <w:lang w:eastAsia="lt-LT"/>
          <w14:ligatures w14:val="none"/>
        </w:rPr>
        <w:t xml:space="preserve"> </w:t>
      </w:r>
      <w:r w:rsidRPr="0032478A">
        <w:rPr>
          <w:rFonts w:eastAsia="Times New Roman"/>
          <w:kern w:val="0"/>
          <w:lang w:eastAsia="lt-LT"/>
          <w14:ligatures w14:val="none"/>
        </w:rPr>
        <w:t>Aukštesnė matavimo riba suteikia galimybę tiksliau įvertinti pacientų būklę ekstremaliais atvejais.</w:t>
      </w:r>
      <w:r>
        <w:rPr>
          <w:rFonts w:eastAsia="Times New Roman"/>
          <w:kern w:val="0"/>
          <w:lang w:eastAsia="lt-LT"/>
          <w14:ligatures w14:val="none"/>
        </w:rPr>
        <w:t xml:space="preserve"> </w:t>
      </w:r>
      <w:r w:rsidRPr="0032478A">
        <w:rPr>
          <w:rFonts w:eastAsia="Times New Roman"/>
          <w:kern w:val="0"/>
          <w:lang w:eastAsia="lt-LT"/>
          <w14:ligatures w14:val="none"/>
        </w:rPr>
        <w:t>Keitimas į 67% be aiškaus klinikinio pagrindimo gali lemti mažiau tikslius laboratorinius rezultatus ir susiaurinti rinkoje prieinamų įrenginių pasirinkimą.</w:t>
      </w:r>
    </w:p>
    <w:p w14:paraId="6947C983" w14:textId="77777777" w:rsidR="00B532C2" w:rsidRPr="00B532C2" w:rsidRDefault="00B532C2" w:rsidP="00B532C2">
      <w:pPr>
        <w:spacing w:after="0" w:line="240" w:lineRule="auto"/>
        <w:jc w:val="both"/>
        <w:rPr>
          <w:rFonts w:eastAsia="Times New Roman"/>
          <w:kern w:val="0"/>
          <w:lang w:eastAsia="lt-LT"/>
          <w14:ligatures w14:val="none"/>
        </w:rPr>
      </w:pPr>
    </w:p>
    <w:p w14:paraId="61B10E9B" w14:textId="29C3BF09" w:rsidR="00FE4600" w:rsidRPr="00DB6154" w:rsidRDefault="0032478A" w:rsidP="0032478A">
      <w:pPr>
        <w:spacing w:line="240" w:lineRule="auto"/>
        <w:jc w:val="both"/>
        <w:rPr>
          <w:b/>
          <w:bCs/>
        </w:rPr>
      </w:pPr>
      <w:r w:rsidRPr="00DB6154">
        <w:rPr>
          <w:b/>
          <w:bCs/>
        </w:rPr>
        <w:t>Dėl</w:t>
      </w:r>
      <w:r w:rsidR="00DB6154" w:rsidRPr="00DB6154">
        <w:rPr>
          <w:b/>
          <w:bCs/>
        </w:rPr>
        <w:t xml:space="preserve"> </w:t>
      </w:r>
      <w:r w:rsidR="00DB6154" w:rsidRPr="00DB6154">
        <w:rPr>
          <w:rFonts w:eastAsia="Times New Roman"/>
          <w:b/>
          <w:bCs/>
          <w:kern w:val="0"/>
          <w:lang w:eastAsia="lt-LT"/>
          <w14:ligatures w14:val="none"/>
        </w:rPr>
        <w:t>techninės specifikacijos</w:t>
      </w:r>
      <w:r w:rsidRPr="00DB6154">
        <w:rPr>
          <w:b/>
          <w:bCs/>
        </w:rPr>
        <w:t xml:space="preserve"> 9 p</w:t>
      </w:r>
      <w:r w:rsidR="00DB6154" w:rsidRPr="00DB6154">
        <w:rPr>
          <w:b/>
          <w:bCs/>
        </w:rPr>
        <w:t>unkto</w:t>
      </w:r>
      <w:r w:rsidRPr="00DB6154">
        <w:rPr>
          <w:b/>
          <w:bCs/>
        </w:rPr>
        <w:t>.</w:t>
      </w:r>
    </w:p>
    <w:p w14:paraId="165FADB2" w14:textId="77777777" w:rsidR="0032478A" w:rsidRPr="0032478A" w:rsidRDefault="0032478A" w:rsidP="0032478A">
      <w:pPr>
        <w:spacing w:before="100" w:beforeAutospacing="1" w:after="100" w:afterAutospacing="1" w:line="240" w:lineRule="auto"/>
        <w:jc w:val="both"/>
        <w:rPr>
          <w:rFonts w:eastAsia="Times New Roman"/>
          <w:kern w:val="0"/>
          <w:lang w:eastAsia="lt-LT"/>
          <w14:ligatures w14:val="none"/>
        </w:rPr>
      </w:pPr>
      <w:r w:rsidRPr="0032478A">
        <w:rPr>
          <w:rFonts w:eastAsia="Times New Roman"/>
          <w:kern w:val="0"/>
          <w:lang w:eastAsia="lt-LT"/>
          <w14:ligatures w14:val="none"/>
        </w:rPr>
        <w:t>Atsakydami į Jūsų siūlymą koreguoti techninės specifikacijos 9 punkte numatytą reikalavimą, informuojame:</w:t>
      </w:r>
    </w:p>
    <w:p w14:paraId="19A2500B" w14:textId="77777777" w:rsidR="00B532C2" w:rsidRDefault="0032478A" w:rsidP="0032478A">
      <w:pPr>
        <w:spacing w:before="100" w:beforeAutospacing="1" w:after="100" w:afterAutospacing="1" w:line="240" w:lineRule="auto"/>
        <w:jc w:val="both"/>
        <w:rPr>
          <w:rFonts w:eastAsia="Times New Roman"/>
          <w:kern w:val="0"/>
          <w:lang w:eastAsia="lt-LT"/>
          <w14:ligatures w14:val="none"/>
        </w:rPr>
      </w:pPr>
      <w:r w:rsidRPr="0032478A">
        <w:rPr>
          <w:rFonts w:eastAsia="Times New Roman"/>
          <w:kern w:val="0"/>
          <w:lang w:eastAsia="lt-LT"/>
          <w14:ligatures w14:val="none"/>
        </w:rPr>
        <w:t>Dėl saugos duomenų lapų (SDS) pateikimo – sutinkame, kad tiekėjai turėtų pateikti reagentų saugos duomenų lapus, kad būtų įrodyta jų sudėtis ir atitiktis ES cheminių medžiagų saugos reglamentams (REACH, CLP).</w:t>
      </w:r>
    </w:p>
    <w:p w14:paraId="6A12D4EE" w14:textId="77777777" w:rsidR="00B532C2" w:rsidRDefault="00B532C2" w:rsidP="0032478A">
      <w:pPr>
        <w:spacing w:before="100" w:beforeAutospacing="1" w:after="100" w:afterAutospacing="1" w:line="240" w:lineRule="auto"/>
        <w:jc w:val="both"/>
        <w:rPr>
          <w:rFonts w:eastAsia="Times New Roman"/>
          <w:kern w:val="0"/>
          <w:lang w:eastAsia="lt-LT"/>
          <w14:ligatures w14:val="none"/>
        </w:rPr>
      </w:pPr>
    </w:p>
    <w:p w14:paraId="0D519B7C" w14:textId="77777777" w:rsidR="00B532C2" w:rsidRDefault="00B532C2" w:rsidP="0032478A">
      <w:pPr>
        <w:spacing w:before="100" w:beforeAutospacing="1" w:after="100" w:afterAutospacing="1" w:line="240" w:lineRule="auto"/>
        <w:jc w:val="both"/>
        <w:rPr>
          <w:rFonts w:eastAsia="Times New Roman"/>
          <w:kern w:val="0"/>
          <w:lang w:eastAsia="lt-LT"/>
          <w14:ligatures w14:val="none"/>
        </w:rPr>
      </w:pPr>
    </w:p>
    <w:p w14:paraId="794254EA" w14:textId="014D9D90" w:rsidR="0032478A" w:rsidRPr="0032478A" w:rsidRDefault="0032478A" w:rsidP="0032478A">
      <w:pPr>
        <w:spacing w:before="100" w:beforeAutospacing="1" w:after="100" w:afterAutospacing="1" w:line="240" w:lineRule="auto"/>
        <w:jc w:val="both"/>
        <w:rPr>
          <w:rFonts w:eastAsia="Times New Roman"/>
          <w:kern w:val="0"/>
          <w:lang w:eastAsia="lt-LT"/>
          <w14:ligatures w14:val="none"/>
        </w:rPr>
      </w:pPr>
      <w:r w:rsidRPr="0032478A">
        <w:rPr>
          <w:rFonts w:eastAsia="Times New Roman"/>
          <w:kern w:val="0"/>
          <w:lang w:eastAsia="lt-LT"/>
          <w14:ligatures w14:val="none"/>
        </w:rPr>
        <w:t>Atsižvelgdami į išdėstytą argumentaciją, techninės specifikacijos 9 punktą koreguoti planuojame taip:</w:t>
      </w:r>
    </w:p>
    <w:p w14:paraId="2759E80C" w14:textId="02E5685A" w:rsidR="0032478A" w:rsidRPr="00B532C2" w:rsidRDefault="0032478A" w:rsidP="00B532C2">
      <w:pPr>
        <w:spacing w:beforeAutospacing="1" w:after="100" w:afterAutospacing="1" w:line="240" w:lineRule="auto"/>
        <w:jc w:val="both"/>
        <w:rPr>
          <w:rFonts w:eastAsia="Times New Roman"/>
          <w:kern w:val="0"/>
          <w:lang w:eastAsia="lt-LT"/>
          <w14:ligatures w14:val="none"/>
        </w:rPr>
      </w:pPr>
      <w:r w:rsidRPr="0032478A">
        <w:rPr>
          <w:rFonts w:eastAsia="Times New Roman"/>
          <w:i/>
          <w:iCs/>
          <w:kern w:val="0"/>
          <w:lang w:eastAsia="lt-LT"/>
          <w14:ligatures w14:val="none"/>
        </w:rPr>
        <w:t>„Tiekėjai turi pateikti visų siūlomų diagnostinių reagentų saugos duomenų lapus (SDS). Diagnostiniai reagentai negali turėti cianido. Naudojami reagentai turi būti sertifikuoti ir validuoti naudoti su siūlomu analizatoriumi.“</w:t>
      </w:r>
    </w:p>
    <w:p w14:paraId="757A7F48" w14:textId="1A1AC372" w:rsidR="0032478A" w:rsidRPr="00DB6154" w:rsidRDefault="0032478A" w:rsidP="0032478A">
      <w:pPr>
        <w:spacing w:line="240" w:lineRule="auto"/>
        <w:jc w:val="both"/>
        <w:rPr>
          <w:b/>
          <w:bCs/>
        </w:rPr>
      </w:pPr>
      <w:r w:rsidRPr="00DB6154">
        <w:rPr>
          <w:b/>
          <w:bCs/>
        </w:rPr>
        <w:t xml:space="preserve">Dėl </w:t>
      </w:r>
      <w:r w:rsidR="00DB6154" w:rsidRPr="00DB6154">
        <w:rPr>
          <w:rFonts w:eastAsia="Times New Roman"/>
          <w:b/>
          <w:bCs/>
          <w:kern w:val="0"/>
          <w:lang w:eastAsia="lt-LT"/>
          <w14:ligatures w14:val="none"/>
        </w:rPr>
        <w:t xml:space="preserve">techninės specifikacijos </w:t>
      </w:r>
      <w:r w:rsidRPr="00DB6154">
        <w:rPr>
          <w:b/>
          <w:bCs/>
        </w:rPr>
        <w:t>14 p</w:t>
      </w:r>
      <w:r w:rsidR="00DB6154" w:rsidRPr="00DB6154">
        <w:rPr>
          <w:b/>
          <w:bCs/>
        </w:rPr>
        <w:t>unkto</w:t>
      </w:r>
      <w:r w:rsidRPr="00DB6154">
        <w:rPr>
          <w:b/>
          <w:bCs/>
        </w:rPr>
        <w:t>.</w:t>
      </w:r>
    </w:p>
    <w:p w14:paraId="51BD673F" w14:textId="1515A580" w:rsidR="002E600A" w:rsidRDefault="0032478A" w:rsidP="00B532C2">
      <w:r w:rsidRPr="0032478A">
        <w:t>Taip, tuo punktu norima nurodyti, kad galima programuoti kraujo normų ribas pagal lytį ir amžių.</w:t>
      </w:r>
    </w:p>
    <w:p w14:paraId="549DB6C2" w14:textId="77777777" w:rsidR="00B532C2" w:rsidRDefault="00B532C2" w:rsidP="00B532C2"/>
    <w:p w14:paraId="72EC4A25" w14:textId="77777777" w:rsidR="00B532C2" w:rsidRDefault="00B532C2" w:rsidP="00B532C2"/>
    <w:p w14:paraId="2BC02E33" w14:textId="77777777" w:rsidR="00B532C2" w:rsidRDefault="00B532C2" w:rsidP="00B532C2"/>
    <w:p w14:paraId="096893D8" w14:textId="77777777" w:rsidR="00B532C2" w:rsidRDefault="00B532C2" w:rsidP="00B532C2"/>
    <w:p w14:paraId="6DB344DD" w14:textId="77777777" w:rsidR="00B532C2" w:rsidRDefault="00B532C2" w:rsidP="00B532C2"/>
    <w:p w14:paraId="066643E8" w14:textId="77777777" w:rsidR="00B532C2" w:rsidRDefault="00B532C2" w:rsidP="00B532C2"/>
    <w:p w14:paraId="0BC503C7" w14:textId="77777777" w:rsidR="00B532C2" w:rsidRDefault="00B532C2" w:rsidP="00B532C2"/>
    <w:p w14:paraId="39940878" w14:textId="77777777" w:rsidR="00B532C2" w:rsidRDefault="00B532C2" w:rsidP="00B532C2"/>
    <w:p w14:paraId="7EA40D6B" w14:textId="77777777" w:rsidR="00B532C2" w:rsidRDefault="00B532C2" w:rsidP="00B532C2"/>
    <w:p w14:paraId="013CBCF7" w14:textId="77777777" w:rsidR="00B532C2" w:rsidRDefault="00B532C2" w:rsidP="00B532C2"/>
    <w:p w14:paraId="72E6419C" w14:textId="77777777" w:rsidR="00B532C2" w:rsidRDefault="00B532C2" w:rsidP="00B532C2"/>
    <w:p w14:paraId="11F3D605" w14:textId="77777777" w:rsidR="00B532C2" w:rsidRDefault="00B532C2" w:rsidP="00B532C2"/>
    <w:p w14:paraId="3666B172" w14:textId="77777777" w:rsidR="00B532C2" w:rsidRDefault="00B532C2" w:rsidP="00B532C2"/>
    <w:p w14:paraId="78A52A7C" w14:textId="77777777" w:rsidR="00B532C2" w:rsidRDefault="00B532C2" w:rsidP="00B532C2"/>
    <w:p w14:paraId="267FD6DD" w14:textId="77777777" w:rsidR="00B532C2" w:rsidRDefault="00B532C2" w:rsidP="00B532C2"/>
    <w:p w14:paraId="0E00F434" w14:textId="77777777" w:rsidR="00B532C2" w:rsidRDefault="00B532C2" w:rsidP="00B532C2"/>
    <w:p w14:paraId="3C99F102" w14:textId="77777777" w:rsidR="00B532C2" w:rsidRDefault="00B532C2" w:rsidP="00B532C2"/>
    <w:p w14:paraId="6D7B11CB" w14:textId="77777777" w:rsidR="00B532C2" w:rsidRDefault="00B532C2" w:rsidP="00B532C2"/>
    <w:p w14:paraId="6A5187AE" w14:textId="77777777" w:rsidR="00B532C2" w:rsidRDefault="00B532C2" w:rsidP="00B532C2"/>
    <w:p w14:paraId="25EBDB6B" w14:textId="77777777" w:rsidR="00B532C2" w:rsidRDefault="00B532C2" w:rsidP="00B532C2"/>
    <w:p w14:paraId="07BD1F90" w14:textId="77777777" w:rsidR="00B532C2" w:rsidRDefault="00B532C2" w:rsidP="00B532C2"/>
    <w:p w14:paraId="62D3CA2E" w14:textId="77777777" w:rsidR="00B532C2" w:rsidRDefault="00B532C2" w:rsidP="00B532C2"/>
    <w:p w14:paraId="0D96A8BD" w14:textId="77777777" w:rsidR="00B532C2" w:rsidRDefault="00B532C2" w:rsidP="00B532C2"/>
    <w:p w14:paraId="4D012875" w14:textId="77777777" w:rsidR="00B532C2" w:rsidRDefault="00B532C2" w:rsidP="00B532C2"/>
    <w:p w14:paraId="4A99F0AC" w14:textId="6785DE71" w:rsidR="00320FDF" w:rsidRPr="00DB6154" w:rsidRDefault="00320FDF" w:rsidP="00AB54C9">
      <w:pPr>
        <w:spacing w:line="240" w:lineRule="auto"/>
        <w:rPr>
          <w:b/>
          <w:bCs/>
        </w:rPr>
      </w:pPr>
      <w:r w:rsidRPr="00DB6154">
        <w:rPr>
          <w:b/>
          <w:bCs/>
        </w:rPr>
        <w:t>Papildomai norime atkreipti dėmesį:</w:t>
      </w:r>
    </w:p>
    <w:p w14:paraId="48D0D3B8" w14:textId="343E2F45" w:rsidR="00AB54C9" w:rsidRPr="00AB54C9" w:rsidRDefault="00AB54C9" w:rsidP="00AB54C9">
      <w:pPr>
        <w:pStyle w:val="Pagrindinistekstas"/>
        <w:numPr>
          <w:ilvl w:val="0"/>
          <w:numId w:val="1"/>
        </w:numPr>
        <w:tabs>
          <w:tab w:val="left" w:pos="870"/>
        </w:tabs>
        <w:spacing w:after="140" w:line="240" w:lineRule="auto"/>
        <w:ind w:firstLine="580"/>
        <w:jc w:val="both"/>
        <w:rPr>
          <w:sz w:val="24"/>
          <w:szCs w:val="24"/>
        </w:rPr>
      </w:pPr>
      <w:r w:rsidRPr="00AB54C9">
        <w:rPr>
          <w:rStyle w:val="PagrindinistekstasDiagrama"/>
          <w:rFonts w:eastAsiaTheme="majorEastAsia"/>
          <w:sz w:val="24"/>
          <w:szCs w:val="24"/>
        </w:rPr>
        <w:t xml:space="preserve">Viešųjų pirkimų tarnyba 2016-09-20 rašte Nr.4S-3117 „Dėl išvados civilinėje byloje Nr.e2- 576-544/2016“ konstatavo, kad Perkančioji organizacija siekdama įsigyti jai reikalingų prekių ir rengdama pirkimo dokumentus atsižvelgia į perkamos prekės pobūdį, svarbą, pirkimo objekto ypatingumą ir (ar) kitus reikšmingus kriterijus...“. „Pažymėtina, kad tik pačios perkančiosios organizacijos nustato savo poreikius, norimas ir reikalingas įsigyti prekes ar paslaugas ir pagal savo poreikius parengia viešųjų pirkimų dokumentus“; „Europos Bendrijų Teisingumo Teismo praktikoje plėtojama lygiaverčių standartų doktrina, pagal kurią konkretaus prekę apibūdinančio kriterijaus ... naudojimas yra išimtinis ir turi būti pateisinamas sutarties dalyko specifika (Direktyvos 2004/18 23 straipsnis) (Europos Sąjungos Teisingumo Teismo 1995 m. sausio 24 d. sprendimas Komisija prieš Nyderlandus, C-359/93, Rink. 1995, p.1-157). Taigi, pripažįstama, kad techninės specifikacijos naudojimas turi būti pateisinamas sutarties dalyko specifika.“ Šiuo atveju pirkimo objekto specifika neabejotinai yra susijusi su viena iš pagrindinių visuomenės vertybių - t. y. sveikatos priežiūra ir visuomenės sveikatos </w:t>
      </w:r>
      <w:r w:rsidR="00663FB9">
        <w:rPr>
          <w:rStyle w:val="PagrindinistekstasDiagrama"/>
          <w:rFonts w:eastAsiaTheme="majorEastAsia"/>
          <w:sz w:val="24"/>
          <w:szCs w:val="24"/>
        </w:rPr>
        <w:t>apsauga, o paslaugos teikėjas -t, y.</w:t>
      </w:r>
      <w:r w:rsidRPr="00AB54C9">
        <w:rPr>
          <w:rStyle w:val="PagrindinistekstasDiagrama"/>
          <w:rFonts w:eastAsiaTheme="majorEastAsia"/>
          <w:sz w:val="24"/>
          <w:szCs w:val="24"/>
        </w:rPr>
        <w:t xml:space="preserve"> įstaiga</w:t>
      </w:r>
      <w:r w:rsidR="00663FB9">
        <w:rPr>
          <w:rStyle w:val="PagrindinistekstasDiagrama"/>
          <w:rFonts w:eastAsiaTheme="majorEastAsia"/>
          <w:sz w:val="24"/>
          <w:szCs w:val="24"/>
        </w:rPr>
        <w:t>, kuriai perkamas analizatorius,</w:t>
      </w:r>
      <w:r w:rsidRPr="00AB54C9">
        <w:rPr>
          <w:rStyle w:val="PagrindinistekstasDiagrama"/>
          <w:rFonts w:eastAsiaTheme="majorEastAsia"/>
          <w:sz w:val="24"/>
          <w:szCs w:val="24"/>
        </w:rPr>
        <w:t xml:space="preserve"> turi užtikrinti ne tik kokybiškų ir savalaikių sveikatos priežiūros paslaugų teikimą (Lietuvos teismų praktikoje jau seniai suformuluota taisyklė, kad šioms paslaugoms yra taikomi padidintos atsakomybės ir rūpestingumo standartai, pvz.: Lietuvos Aukščiausiojo Teismo 2003 m. kovo 31d. civilinė byla Nr.3K-3-438/2003, 2005 m. balandžio 25 civilinė byla Nr. 3K-3-222/2005, 2009 m. spalio 13 d. civilinė byla Nr.3K-3- 408/2009 ir t.t.), bet ir valdyti, naudoti ir disponuoti valstybės ir savivaldybių turtą vadovaujantis visuomeninės naudos, efektyvumo ir racionalumo principais, nustatytais Lietuvos Respublikos valstybės ir savivaldybės turto valdymo, naudojimo ir disponavimo juo įstatymo 9 str.</w:t>
      </w:r>
    </w:p>
    <w:p w14:paraId="0E5706F3" w14:textId="77777777" w:rsidR="00AB54C9" w:rsidRPr="00AB54C9" w:rsidRDefault="00AB54C9" w:rsidP="00AB54C9">
      <w:pPr>
        <w:pStyle w:val="Pagrindinistekstas"/>
        <w:numPr>
          <w:ilvl w:val="0"/>
          <w:numId w:val="1"/>
        </w:numPr>
        <w:tabs>
          <w:tab w:val="left" w:pos="870"/>
        </w:tabs>
        <w:spacing w:after="140" w:line="240" w:lineRule="auto"/>
        <w:ind w:firstLine="560"/>
        <w:jc w:val="both"/>
        <w:rPr>
          <w:sz w:val="24"/>
          <w:szCs w:val="24"/>
        </w:rPr>
      </w:pPr>
      <w:r w:rsidRPr="00AB54C9">
        <w:rPr>
          <w:rStyle w:val="PagrindinistekstasDiagrama"/>
          <w:rFonts w:eastAsiaTheme="majorEastAsia"/>
          <w:sz w:val="24"/>
          <w:szCs w:val="24"/>
        </w:rPr>
        <w:t>Europos Sąjungos Teisingumo Teismas nurodė, kad viešojo pirkimo sąlyga, nustatanti atrankos kriterijų, kurį gali atitikti tik mažas skaičius tiekėjų, nėra pakankamas pagrindas pripažinti tiekėjų lygiateisiškumo principo pažeidimą (2002 m. rugsėjo 17 d. Sprendimas Concordia Bus Finland, C-513/99, Rink. 2002, p. 1-7213). Vadovaujantis šiomis nuostatomis, konstatuotina, kad dėl paskelbtų pirkimo sąlygų kokiam nors tiekėjui nesudaromos sąlygos dalyvauti viešojo pirkimo konkurse ir/ar dėl to ribojama konkurencija - neturi jokio teisinio pagrindo. Tokiu būdu, Jūsų siūlymai pakeisti pirkimo dokumentus vien tam, kad Jūs, kaip tiekėjas, galėtumėte siūlyti savo turimą prekę, perkančiajai organizacijai yra nepriimtinas. Dar kartą akcentuojame, kad techninės specifikacijos sudaromos pagal perkančiosios organizacijos, o ne pagal tiekėjų, poreikius.</w:t>
      </w:r>
    </w:p>
    <w:p w14:paraId="3BB2483B" w14:textId="77777777" w:rsidR="00AB54C9" w:rsidRPr="00AB54C9" w:rsidRDefault="00AB54C9" w:rsidP="00AB54C9">
      <w:pPr>
        <w:pStyle w:val="Pagrindinistekstas"/>
        <w:numPr>
          <w:ilvl w:val="0"/>
          <w:numId w:val="1"/>
        </w:numPr>
        <w:tabs>
          <w:tab w:val="left" w:pos="870"/>
        </w:tabs>
        <w:spacing w:after="140" w:line="240" w:lineRule="auto"/>
        <w:ind w:firstLine="560"/>
        <w:jc w:val="both"/>
        <w:rPr>
          <w:sz w:val="24"/>
          <w:szCs w:val="24"/>
        </w:rPr>
      </w:pPr>
      <w:r w:rsidRPr="00AB54C9">
        <w:rPr>
          <w:rStyle w:val="PagrindinistekstasDiagrama"/>
          <w:rFonts w:eastAsiaTheme="majorEastAsia"/>
          <w:sz w:val="24"/>
          <w:szCs w:val="24"/>
        </w:rPr>
        <w:t>Taip pat Lietuvos Aukščiausiasis Teismas pažymėjo, jog Įstatyme numatytas viešųjų pirkimų tikslas reiškia reikalavimą atsižvelgti ne tik į siūlomos prekės kainą, bet ir į jos kokybę, ir į tai, kad jos būtų tinkamos ir galimos naudoti pagal paskirtį bei atitiktų kitus įstatymų reikalavimus. Įsigyjant gyvybiškai reikalingas medicinos priemones ir atsižvelgiant į tai, jog žmogaus gyvybė yra svarbiausia vertybė, viešasis interesas reikalauja užtikrinti maksimalią įsigyjamų priemonių kokybę bei pirkti praktikoje patikrintas veiksmingas priemones. Tokiu būdu, tinkamas techninės specifikacijos parengimas sudaro prielaidas perkančiajai organizacijai įsigyti būtent tai, kas jai yra reikalinga, o ne tai, ką gali parduoti konkretus tiekėjas (šiuo atveju Jūs).</w:t>
      </w:r>
    </w:p>
    <w:p w14:paraId="4189E2DD" w14:textId="41C9AC4C" w:rsidR="00AB54C9" w:rsidRPr="00AB54C9" w:rsidRDefault="00AB54C9" w:rsidP="00AB54C9">
      <w:pPr>
        <w:pStyle w:val="Pagrindinistekstas"/>
        <w:numPr>
          <w:ilvl w:val="0"/>
          <w:numId w:val="1"/>
        </w:numPr>
        <w:tabs>
          <w:tab w:val="left" w:pos="870"/>
        </w:tabs>
        <w:spacing w:after="140" w:line="240" w:lineRule="auto"/>
        <w:ind w:firstLine="560"/>
        <w:jc w:val="both"/>
        <w:rPr>
          <w:sz w:val="24"/>
          <w:szCs w:val="24"/>
        </w:rPr>
      </w:pPr>
      <w:r w:rsidRPr="00AB54C9">
        <w:rPr>
          <w:rStyle w:val="PagrindinistekstasDiagrama"/>
          <w:rFonts w:eastAsiaTheme="majorEastAsia"/>
          <w:sz w:val="24"/>
          <w:szCs w:val="24"/>
        </w:rPr>
        <w:t xml:space="preserve">Pabrėžiame, kad šio pirkimo techninės specifikacijos, yra: 1) pritaikytos VšĮ </w:t>
      </w:r>
      <w:r w:rsidR="00FE4600">
        <w:rPr>
          <w:rStyle w:val="PagrindinistekstasDiagrama"/>
          <w:rFonts w:eastAsiaTheme="majorEastAsia"/>
          <w:sz w:val="24"/>
          <w:szCs w:val="24"/>
        </w:rPr>
        <w:t xml:space="preserve">Šilalės </w:t>
      </w:r>
      <w:r w:rsidRPr="00AB54C9">
        <w:rPr>
          <w:rStyle w:val="PagrindinistekstasDiagrama"/>
          <w:rFonts w:eastAsiaTheme="majorEastAsia"/>
          <w:sz w:val="24"/>
          <w:szCs w:val="24"/>
        </w:rPr>
        <w:t>rajono savivaldybės sveikatos centro poreikiams; 2) pagrįstos šiuolaikinio mokslo duomenimis bei technologiniais pasiekimais (vadovaujamasi moksliniais straipsniais tarptautiniuose leidiniuose, taip pat LST EN ISO 15189 (Medicinos laboratorijos. Ypatingieji kokybės ir kompetencijos reikalavimai) standartu); 3) pagrįstos Lietuvos Respublikos Sveikatos apsaugos ministro įsakymais.</w:t>
      </w:r>
    </w:p>
    <w:p w14:paraId="61D1138C" w14:textId="456A7BAD" w:rsidR="00AB54C9" w:rsidRPr="00AB54C9" w:rsidRDefault="00AB54C9" w:rsidP="00AB54C9">
      <w:pPr>
        <w:pStyle w:val="Pagrindinistekstas"/>
        <w:numPr>
          <w:ilvl w:val="0"/>
          <w:numId w:val="1"/>
        </w:numPr>
        <w:tabs>
          <w:tab w:val="left" w:pos="870"/>
        </w:tabs>
        <w:spacing w:after="140" w:line="240" w:lineRule="auto"/>
        <w:ind w:firstLine="560"/>
        <w:jc w:val="both"/>
        <w:rPr>
          <w:sz w:val="24"/>
          <w:szCs w:val="24"/>
        </w:rPr>
      </w:pPr>
      <w:r w:rsidRPr="00AB54C9">
        <w:rPr>
          <w:rStyle w:val="PagrindinistekstasDiagrama"/>
          <w:rFonts w:eastAsiaTheme="majorEastAsia"/>
          <w:sz w:val="24"/>
          <w:szCs w:val="24"/>
        </w:rPr>
        <w:t>Pažymėtina, kad tam tikrais atvejais licencija asmens sveikatos priežiūros paslaugų teikimui nėra išduodama arba nėra patikslinama, jeigu</w:t>
      </w:r>
      <w:r w:rsidR="00D63C19">
        <w:rPr>
          <w:rStyle w:val="PagrindinistekstasDiagrama"/>
          <w:rFonts w:eastAsiaTheme="majorEastAsia"/>
          <w:sz w:val="24"/>
          <w:szCs w:val="24"/>
        </w:rPr>
        <w:t xml:space="preserve"> ASPĮ (šiuo atveju - Perkančioji</w:t>
      </w:r>
      <w:r w:rsidRPr="00AB54C9">
        <w:rPr>
          <w:rStyle w:val="PagrindinistekstasDiagrama"/>
          <w:rFonts w:eastAsiaTheme="majorEastAsia"/>
          <w:sz w:val="24"/>
          <w:szCs w:val="24"/>
        </w:rPr>
        <w:t xml:space="preserve"> organizacija) neturi savo diagnostikos laboratorijos arba neturi sutarties su atitinkama laboratorija. Šiuo atveju </w:t>
      </w:r>
      <w:r w:rsidRPr="00AB54C9">
        <w:rPr>
          <w:rStyle w:val="PagrindinistekstasDiagrama"/>
          <w:rFonts w:eastAsiaTheme="majorEastAsia"/>
          <w:sz w:val="24"/>
          <w:szCs w:val="24"/>
        </w:rPr>
        <w:lastRenderedPageBreak/>
        <w:t>reikalavimai laboratorinei diagnostikai (procedūrų paskirčiai, apimčiai, eigai, naudojamai įrangai bei medžiagoms):</w:t>
      </w:r>
    </w:p>
    <w:p w14:paraId="2CE7C4D7" w14:textId="77777777" w:rsidR="00AB54C9" w:rsidRPr="00AB54C9" w:rsidRDefault="00AB54C9" w:rsidP="00AB54C9">
      <w:pPr>
        <w:pStyle w:val="Pagrindinistekstas"/>
        <w:spacing w:after="140" w:line="240" w:lineRule="auto"/>
        <w:ind w:firstLine="1300"/>
        <w:jc w:val="both"/>
        <w:rPr>
          <w:sz w:val="24"/>
          <w:szCs w:val="24"/>
        </w:rPr>
      </w:pPr>
      <w:r w:rsidRPr="00AB54C9">
        <w:rPr>
          <w:rStyle w:val="PagrindinistekstasDiagrama"/>
          <w:rFonts w:eastAsiaTheme="majorEastAsia"/>
          <w:sz w:val="24"/>
          <w:szCs w:val="24"/>
        </w:rPr>
        <w:t>neatsiejami nuo konsultacinių arba intervencinių paslaugų teikimo kokybės (nustatomas tiesioginis ryšys tarp konkretaus paciento laboratorinio tyrimo rezultato ir šį pacientą konsultuojančio ar operuojančio gydytojo pasirenkamo gydymo būdo, gydymo eigos, kitų terapinių sprendimų, taip pat kitų būtinų veiksmų atlikimo);</w:t>
      </w:r>
    </w:p>
    <w:p w14:paraId="527743EC" w14:textId="77777777" w:rsidR="00AB54C9" w:rsidRPr="00AB54C9" w:rsidRDefault="00AB54C9" w:rsidP="00AB54C9">
      <w:pPr>
        <w:pStyle w:val="Pagrindinistekstas"/>
        <w:spacing w:after="140" w:line="240" w:lineRule="auto"/>
        <w:ind w:firstLine="1320"/>
        <w:jc w:val="both"/>
        <w:rPr>
          <w:sz w:val="24"/>
          <w:szCs w:val="24"/>
        </w:rPr>
      </w:pPr>
      <w:r w:rsidRPr="00AB54C9">
        <w:rPr>
          <w:rStyle w:val="PagrindinistekstasDiagrama"/>
          <w:rFonts w:eastAsiaTheme="majorEastAsia"/>
          <w:sz w:val="24"/>
          <w:szCs w:val="24"/>
        </w:rPr>
        <w:t>turi būti pagrįsti šiuolaikinio mokslo duomenimis bei technologiniais pasiekimais (vadovaujamasi moksliniais straipsniais tarptautiniuose bei nacionaliniuose leidiniuose, tarptautinių konferencijų ir (arba) kongresų medžiaga, PSO bei kitų tarptautinių organizacijų, institucijų duomenimis bei rekomendacijomis);</w:t>
      </w:r>
    </w:p>
    <w:p w14:paraId="44758A14" w14:textId="77777777" w:rsidR="00AB54C9" w:rsidRPr="00AB54C9" w:rsidRDefault="00AB54C9" w:rsidP="00AB54C9">
      <w:pPr>
        <w:pStyle w:val="Pagrindinistekstas"/>
        <w:spacing w:after="140" w:line="240" w:lineRule="auto"/>
        <w:ind w:firstLine="1320"/>
        <w:jc w:val="both"/>
        <w:rPr>
          <w:sz w:val="24"/>
          <w:szCs w:val="24"/>
        </w:rPr>
      </w:pPr>
      <w:r w:rsidRPr="00AB54C9">
        <w:rPr>
          <w:rStyle w:val="PagrindinistekstasDiagrama"/>
          <w:rFonts w:eastAsiaTheme="majorEastAsia"/>
          <w:sz w:val="24"/>
          <w:szCs w:val="24"/>
        </w:rPr>
        <w:t>turi būti pritaikyti konkrečios ASPĮ poreikiams (atsižvelgiama į aptarnaujamą pacientų skaičių, jų sergamumą (pagrindinės ligos, dažniausiai besikartojančios ligos, papildomi rizikos faktoriai, laboratorinės diagnostikos tyrimų spektras, jų dažnumas, sudėtingumas ir kiti ASPĮ būtini žinoti tyrimų rezultatai. Šie reikalavimai nustatomi apibendrinant ASPĮ pacientų duomenis bei laboratorijos atliekamų tyrimų statistiką).</w:t>
      </w:r>
    </w:p>
    <w:p w14:paraId="6C3EF6D5" w14:textId="624D6C6F" w:rsidR="00AB54C9" w:rsidRPr="00AB54C9" w:rsidRDefault="00AB54C9" w:rsidP="00AB54C9">
      <w:pPr>
        <w:pStyle w:val="Pagrindinistekstas"/>
        <w:spacing w:line="240" w:lineRule="auto"/>
        <w:ind w:firstLine="580"/>
        <w:jc w:val="both"/>
        <w:rPr>
          <w:sz w:val="24"/>
          <w:szCs w:val="24"/>
        </w:rPr>
      </w:pPr>
      <w:r w:rsidRPr="00AB54C9">
        <w:rPr>
          <w:rStyle w:val="PagrindinistekstasDiagrama"/>
          <w:rFonts w:eastAsiaTheme="majorEastAsia"/>
          <w:sz w:val="24"/>
          <w:szCs w:val="24"/>
        </w:rPr>
        <w:t xml:space="preserve">Šie reikalavimai kildinami iš visos eilės teisės aktų (Lietuvos Respublikos sveikatos sistemos įstatymo, Lietuvos Respublikos medicinos praktikos įstatymo, Lietuvos Respublikos pacientų teisių ir žalos atlyginimo įstatymo, Medicinos normų, įtvirtinančių gydytojų teises, pareigas bei atsakomybę), o taip pat teismų praktikos. Lietuvos teismų praktikoje jau seniai yra suformuluota taisyklė, kad asmens sveikatos priežiūros paslaugoms yra taikomi padidintos atsakomybės ir rūpestingumo standartai, kurie apima ir </w:t>
      </w:r>
      <w:r w:rsidR="00663FB9">
        <w:rPr>
          <w:rStyle w:val="PagrindinistekstasDiagrama"/>
          <w:rFonts w:eastAsiaTheme="majorEastAsia"/>
          <w:sz w:val="24"/>
          <w:szCs w:val="24"/>
        </w:rPr>
        <w:t>laboratorinės diagnostikos dalį.</w:t>
      </w:r>
    </w:p>
    <w:p w14:paraId="469033DA" w14:textId="26CD61B0" w:rsidR="00AB54C9" w:rsidRPr="00AB54C9" w:rsidRDefault="00AB54C9" w:rsidP="00AB54C9">
      <w:pPr>
        <w:pStyle w:val="Pagrindinistekstas"/>
        <w:spacing w:line="240" w:lineRule="auto"/>
        <w:ind w:firstLine="1320"/>
        <w:jc w:val="both"/>
        <w:rPr>
          <w:sz w:val="24"/>
          <w:szCs w:val="24"/>
        </w:rPr>
      </w:pPr>
      <w:r w:rsidRPr="00AB54C9">
        <w:rPr>
          <w:rStyle w:val="PagrindinistekstasDiagrama"/>
          <w:rFonts w:eastAsiaTheme="majorEastAsia"/>
          <w:sz w:val="24"/>
          <w:szCs w:val="24"/>
        </w:rPr>
        <w:t>Pagrindinė gydytojo pareiga - teikti kvalifikuotą ir rūpestingą medicinos pagalbą ligoniui. LAT 2003 m. kovo 31 d. civilinė byla</w:t>
      </w:r>
      <w:r w:rsidR="003B6B5E">
        <w:rPr>
          <w:rStyle w:val="PagrindinistekstasDiagrama"/>
          <w:rFonts w:eastAsiaTheme="majorEastAsia"/>
          <w:sz w:val="24"/>
          <w:szCs w:val="24"/>
        </w:rPr>
        <w:t xml:space="preserve"> </w:t>
      </w:r>
      <w:r w:rsidRPr="00AB54C9">
        <w:rPr>
          <w:rStyle w:val="PagrindinistekstasDiagrama"/>
          <w:rFonts w:eastAsiaTheme="majorEastAsia"/>
          <w:sz w:val="24"/>
          <w:szCs w:val="24"/>
        </w:rPr>
        <w:t>Nr. 3K-3-438/2003 bei 2005 m. balandžio 25 civilinė byla Nr. 3K-3-222/2005);</w:t>
      </w:r>
    </w:p>
    <w:p w14:paraId="25221062" w14:textId="43ED0FF1" w:rsidR="00AB54C9" w:rsidRPr="00AB54C9" w:rsidRDefault="00AB54C9" w:rsidP="00AB54C9">
      <w:pPr>
        <w:pStyle w:val="Pagrindinistekstas"/>
        <w:spacing w:line="240" w:lineRule="auto"/>
        <w:ind w:firstLine="1320"/>
        <w:jc w:val="both"/>
        <w:rPr>
          <w:sz w:val="24"/>
          <w:szCs w:val="24"/>
        </w:rPr>
      </w:pPr>
      <w:r w:rsidRPr="00AB54C9">
        <w:rPr>
          <w:rStyle w:val="PagrindinistekstasDiagrama"/>
          <w:rFonts w:eastAsiaTheme="majorEastAsia"/>
          <w:sz w:val="24"/>
          <w:szCs w:val="24"/>
        </w:rPr>
        <w:t>Gydytojo profesinės atsakomybės pobūdis yra nulemtas sveikatos priežiūros, kaip visuomenės veiklos srities reikšmingumo ir su tuo susijusios būtinybės garantuoti tinkamą sveikatos priežiūros paslaugų teikimą visuomenei. Gydytojas, kaip profesionalas, turi specialiųjų žinių, t. y. žmogui gyvybiškai svarbiais klausimais žino ir gali daugiau negu kiti, be to, jis turi pripažintą tei</w:t>
      </w:r>
      <w:r w:rsidR="00663FB9">
        <w:rPr>
          <w:rStyle w:val="PagrindinistekstasDiagrama"/>
          <w:rFonts w:eastAsiaTheme="majorEastAsia"/>
          <w:sz w:val="24"/>
          <w:szCs w:val="24"/>
        </w:rPr>
        <w:t>sę taikyti specialiąsias žinias</w:t>
      </w:r>
      <w:r w:rsidRPr="00AB54C9">
        <w:rPr>
          <w:rStyle w:val="PagrindinistekstasDiagrama"/>
          <w:rFonts w:eastAsiaTheme="majorEastAsia"/>
          <w:sz w:val="24"/>
          <w:szCs w:val="24"/>
        </w:rPr>
        <w:t xml:space="preserve"> ir kvalifikaciją patvirtinančius dokumentus; specialisto turima kvalifikacija sukuria teikiamų paslaugų kokybės prezumpciją, žmogus, pasikliovęs specialistu, turi jaustis saugus, todėl atitinkamos profesijos asmeniui yra taikomi griežtesni atidumo, atsargumo bei rūpestingumo reikalavimai. LAT 2009 m. spalio 13 d. civilinė bylaNr. 3K-3- 408/2009;</w:t>
      </w:r>
    </w:p>
    <w:p w14:paraId="26DB3F71" w14:textId="77777777" w:rsidR="00AB54C9" w:rsidRPr="00AB54C9" w:rsidRDefault="00AB54C9" w:rsidP="00AB54C9">
      <w:pPr>
        <w:pStyle w:val="Pagrindinistekstas"/>
        <w:spacing w:line="240" w:lineRule="auto"/>
        <w:ind w:firstLine="1320"/>
        <w:jc w:val="both"/>
        <w:rPr>
          <w:sz w:val="24"/>
          <w:szCs w:val="24"/>
        </w:rPr>
      </w:pPr>
      <w:r w:rsidRPr="00AB54C9">
        <w:rPr>
          <w:rStyle w:val="PagrindinistekstasDiagrama"/>
          <w:rFonts w:eastAsiaTheme="majorEastAsia"/>
          <w:sz w:val="24"/>
          <w:szCs w:val="24"/>
        </w:rPr>
        <w:t>Teismas, spręsdamas sveikatos priežiūros įstaigos atsakomybės už paciento sveikatai padarytą žalą klausimą, gydytojų veiksmus turi vertinti ne jų rezultato, o proceso aspektu, t. y. ar konkrečioje situacijoje medicinos paslaugos buvo teiktos dedant maksimalias pastangas, imantis visų galimų ir reikalingų priemonių ir jas naudojant atidžiai, rūpestingai ir kvalifikuotai. LAT 2011 m. vasario 21d. civilinė byla Nr. 3K-3- 59/2011</w:t>
      </w:r>
    </w:p>
    <w:p w14:paraId="441DA299" w14:textId="77777777" w:rsidR="00AB54C9" w:rsidRPr="00AB54C9" w:rsidRDefault="00AB54C9" w:rsidP="00AB54C9">
      <w:pPr>
        <w:pStyle w:val="Pagrindinistekstas"/>
        <w:numPr>
          <w:ilvl w:val="0"/>
          <w:numId w:val="1"/>
        </w:numPr>
        <w:tabs>
          <w:tab w:val="left" w:pos="870"/>
        </w:tabs>
        <w:spacing w:line="240" w:lineRule="auto"/>
        <w:ind w:firstLine="580"/>
        <w:jc w:val="both"/>
        <w:rPr>
          <w:sz w:val="24"/>
          <w:szCs w:val="24"/>
        </w:rPr>
      </w:pPr>
      <w:r w:rsidRPr="00AB54C9">
        <w:rPr>
          <w:rStyle w:val="PagrindinistekstasDiagrama"/>
          <w:rFonts w:eastAsiaTheme="majorEastAsia"/>
          <w:sz w:val="24"/>
          <w:szCs w:val="24"/>
        </w:rPr>
        <w:t xml:space="preserve">Lietuvos Respublikos Aukščiausiasis Teismas konstatavo, kad tiekėjų sąžininga konkurencija negali būti garantuojama </w:t>
      </w:r>
      <w:r w:rsidRPr="00AB54C9">
        <w:rPr>
          <w:rStyle w:val="PagrindinistekstasDiagrama"/>
          <w:rFonts w:eastAsiaTheme="majorEastAsia"/>
          <w:b/>
          <w:bCs/>
          <w:sz w:val="24"/>
          <w:szCs w:val="24"/>
        </w:rPr>
        <w:t xml:space="preserve">tik kiekybiniu tiekėjų </w:t>
      </w:r>
      <w:r w:rsidRPr="00AB54C9">
        <w:rPr>
          <w:rStyle w:val="PagrindinistekstasDiagrama"/>
          <w:rFonts w:eastAsiaTheme="majorEastAsia"/>
          <w:sz w:val="24"/>
          <w:szCs w:val="24"/>
        </w:rPr>
        <w:t xml:space="preserve">dalyvavimo pirkimo procedūrose kriterijumi (kuo daugiau atitinkamos srities tiekėjų), neatsižvelgiant į </w:t>
      </w:r>
      <w:r w:rsidRPr="00AB54C9">
        <w:rPr>
          <w:rStyle w:val="PagrindinistekstasDiagrama"/>
          <w:rFonts w:eastAsiaTheme="majorEastAsia"/>
          <w:b/>
          <w:bCs/>
          <w:sz w:val="24"/>
          <w:szCs w:val="24"/>
        </w:rPr>
        <w:t xml:space="preserve">kokybinį </w:t>
      </w:r>
      <w:r w:rsidRPr="00AB54C9">
        <w:rPr>
          <w:rStyle w:val="PagrindinistekstasDiagrama"/>
          <w:rFonts w:eastAsiaTheme="majorEastAsia"/>
          <w:sz w:val="24"/>
          <w:szCs w:val="24"/>
        </w:rPr>
        <w:t xml:space="preserve">kriterijų - tiekėjų kvalifikacijos, jų naudojamų įrenginių ir siūlomo pirkimo objekto atitiktį </w:t>
      </w:r>
      <w:r w:rsidRPr="00AB54C9">
        <w:rPr>
          <w:rStyle w:val="PagrindinistekstasDiagrama"/>
          <w:rFonts w:eastAsiaTheme="majorEastAsia"/>
          <w:b/>
          <w:bCs/>
          <w:sz w:val="24"/>
          <w:szCs w:val="24"/>
        </w:rPr>
        <w:t xml:space="preserve">pirkinio sąlygoms, </w:t>
      </w:r>
      <w:r w:rsidRPr="00AB54C9">
        <w:rPr>
          <w:rStyle w:val="PagrindinistekstasDiagrama"/>
          <w:rFonts w:eastAsiaTheme="majorEastAsia"/>
          <w:sz w:val="24"/>
          <w:szCs w:val="24"/>
        </w:rPr>
        <w:t>VPĮ bei kitoms imperatyviosioms įstatymų nuostatoms. Europos Sąjungos Teisingumo Teismas nurodė, kad viešojo pirkimo sąlyga, nustatanti atrankos kriterijų, kurį gali atitikti tik mažas skaičius tiekėjų, nėra pakankamas pagrindas pripažinti tiekėjų lygiateisiškumo principo pažeidimą. Vadovaujantis šiomis nuostatomis, bet kurio tiekėjo pretenzija, kad dėl paskelbtų pirkimo sąlygų šiam tiekėjui nesudaromos sąlygos dalyvauti viešojo pirkimo konkurse ir/ar dėl to ribojama konkurencija - neturi jokio teisinio pagrindo.</w:t>
      </w:r>
    </w:p>
    <w:p w14:paraId="2C07F864" w14:textId="77777777" w:rsidR="00AB54C9" w:rsidRPr="00AB54C9" w:rsidRDefault="00AB54C9" w:rsidP="00AB54C9">
      <w:pPr>
        <w:spacing w:line="240" w:lineRule="auto"/>
      </w:pPr>
    </w:p>
    <w:sectPr w:rsidR="00AB54C9" w:rsidRPr="00AB54C9" w:rsidSect="0032478A">
      <w:pgSz w:w="11906" w:h="16838"/>
      <w:pgMar w:top="993"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71330"/>
    <w:multiLevelType w:val="multilevel"/>
    <w:tmpl w:val="7FFA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0A3244"/>
    <w:multiLevelType w:val="multilevel"/>
    <w:tmpl w:val="1DBC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345F5"/>
    <w:multiLevelType w:val="multilevel"/>
    <w:tmpl w:val="2B72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E7517"/>
    <w:multiLevelType w:val="multilevel"/>
    <w:tmpl w:val="8ADE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24F90"/>
    <w:multiLevelType w:val="multilevel"/>
    <w:tmpl w:val="0C3A5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017D87"/>
    <w:multiLevelType w:val="multilevel"/>
    <w:tmpl w:val="F006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455357">
    <w:abstractNumId w:val="0"/>
  </w:num>
  <w:num w:numId="2" w16cid:durableId="911043358">
    <w:abstractNumId w:val="5"/>
  </w:num>
  <w:num w:numId="3" w16cid:durableId="2057580057">
    <w:abstractNumId w:val="1"/>
  </w:num>
  <w:num w:numId="4" w16cid:durableId="1331256705">
    <w:abstractNumId w:val="2"/>
  </w:num>
  <w:num w:numId="5" w16cid:durableId="509948666">
    <w:abstractNumId w:val="3"/>
  </w:num>
  <w:num w:numId="6" w16cid:durableId="1434285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DF"/>
    <w:rsid w:val="000B1E11"/>
    <w:rsid w:val="0026330B"/>
    <w:rsid w:val="002C733C"/>
    <w:rsid w:val="002E600A"/>
    <w:rsid w:val="00320FDF"/>
    <w:rsid w:val="0032478A"/>
    <w:rsid w:val="003647B1"/>
    <w:rsid w:val="003B6B5E"/>
    <w:rsid w:val="00554C40"/>
    <w:rsid w:val="00663FB9"/>
    <w:rsid w:val="0074004A"/>
    <w:rsid w:val="007425E7"/>
    <w:rsid w:val="007741DF"/>
    <w:rsid w:val="00915E94"/>
    <w:rsid w:val="00A31844"/>
    <w:rsid w:val="00AB54C9"/>
    <w:rsid w:val="00AE38B7"/>
    <w:rsid w:val="00B532C2"/>
    <w:rsid w:val="00D63C19"/>
    <w:rsid w:val="00DB6154"/>
    <w:rsid w:val="00DD1BE9"/>
    <w:rsid w:val="00FE46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5B79"/>
  <w15:chartTrackingRefBased/>
  <w15:docId w15:val="{D7D7476F-B381-4F38-8F0E-1C73C57B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4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4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7741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41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41D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741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41D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741D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41D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41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41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7741D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41D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41D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741D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41D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741D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41D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74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41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41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41D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41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41DF"/>
    <w:rPr>
      <w:i/>
      <w:iCs/>
      <w:color w:val="404040" w:themeColor="text1" w:themeTint="BF"/>
    </w:rPr>
  </w:style>
  <w:style w:type="paragraph" w:styleId="Sraopastraipa">
    <w:name w:val="List Paragraph"/>
    <w:basedOn w:val="prastasis"/>
    <w:uiPriority w:val="34"/>
    <w:qFormat/>
    <w:rsid w:val="007741DF"/>
    <w:pPr>
      <w:ind w:left="720"/>
      <w:contextualSpacing/>
    </w:pPr>
  </w:style>
  <w:style w:type="character" w:styleId="Rykuspabraukimas">
    <w:name w:val="Intense Emphasis"/>
    <w:basedOn w:val="Numatytasispastraiposriftas"/>
    <w:uiPriority w:val="21"/>
    <w:qFormat/>
    <w:rsid w:val="007741DF"/>
    <w:rPr>
      <w:i/>
      <w:iCs/>
      <w:color w:val="0F4761" w:themeColor="accent1" w:themeShade="BF"/>
    </w:rPr>
  </w:style>
  <w:style w:type="paragraph" w:styleId="Iskirtacitata">
    <w:name w:val="Intense Quote"/>
    <w:basedOn w:val="prastasis"/>
    <w:next w:val="prastasis"/>
    <w:link w:val="IskirtacitataDiagrama"/>
    <w:uiPriority w:val="30"/>
    <w:qFormat/>
    <w:rsid w:val="00774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41DF"/>
    <w:rPr>
      <w:i/>
      <w:iCs/>
      <w:color w:val="0F4761" w:themeColor="accent1" w:themeShade="BF"/>
    </w:rPr>
  </w:style>
  <w:style w:type="character" w:styleId="Rykinuoroda">
    <w:name w:val="Intense Reference"/>
    <w:basedOn w:val="Numatytasispastraiposriftas"/>
    <w:uiPriority w:val="32"/>
    <w:qFormat/>
    <w:rsid w:val="007741DF"/>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AB54C9"/>
    <w:rPr>
      <w:rFonts w:eastAsia="Times New Roman"/>
      <w:sz w:val="22"/>
      <w:szCs w:val="22"/>
    </w:rPr>
  </w:style>
  <w:style w:type="paragraph" w:styleId="Pagrindinistekstas">
    <w:name w:val="Body Text"/>
    <w:basedOn w:val="prastasis"/>
    <w:link w:val="PagrindinistekstasDiagrama"/>
    <w:qFormat/>
    <w:rsid w:val="00AB54C9"/>
    <w:pPr>
      <w:widowControl w:val="0"/>
      <w:spacing w:after="0" w:line="394" w:lineRule="auto"/>
      <w:ind w:firstLine="400"/>
    </w:pPr>
    <w:rPr>
      <w:rFonts w:eastAsia="Times New Roman"/>
      <w:sz w:val="22"/>
      <w:szCs w:val="22"/>
    </w:rPr>
  </w:style>
  <w:style w:type="character" w:customStyle="1" w:styleId="BodyTextChar1">
    <w:name w:val="Body Text Char1"/>
    <w:basedOn w:val="Numatytasispastraiposriftas"/>
    <w:uiPriority w:val="99"/>
    <w:semiHidden/>
    <w:rsid w:val="00AB54C9"/>
  </w:style>
  <w:style w:type="paragraph" w:styleId="prastasiniatinklio">
    <w:name w:val="Normal (Web)"/>
    <w:basedOn w:val="prastasis"/>
    <w:uiPriority w:val="99"/>
    <w:semiHidden/>
    <w:unhideWhenUsed/>
    <w:rsid w:val="00FE4600"/>
    <w:pPr>
      <w:spacing w:before="100" w:beforeAutospacing="1" w:after="100" w:afterAutospacing="1" w:line="240" w:lineRule="auto"/>
    </w:pPr>
    <w:rPr>
      <w:rFonts w:eastAsia="Times New Roman"/>
      <w:kern w:val="0"/>
      <w:lang w:eastAsia="lt-LT"/>
      <w14:ligatures w14:val="none"/>
    </w:rPr>
  </w:style>
  <w:style w:type="character" w:styleId="Grietas">
    <w:name w:val="Strong"/>
    <w:basedOn w:val="Numatytasispastraiposriftas"/>
    <w:uiPriority w:val="22"/>
    <w:qFormat/>
    <w:rsid w:val="00FE4600"/>
    <w:rPr>
      <w:b/>
      <w:bCs/>
    </w:rPr>
  </w:style>
  <w:style w:type="character" w:styleId="Emfaz">
    <w:name w:val="Emphasis"/>
    <w:basedOn w:val="Numatytasispastraiposriftas"/>
    <w:uiPriority w:val="20"/>
    <w:qFormat/>
    <w:rsid w:val="003247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375251">
      <w:bodyDiv w:val="1"/>
      <w:marLeft w:val="0"/>
      <w:marRight w:val="0"/>
      <w:marTop w:val="0"/>
      <w:marBottom w:val="0"/>
      <w:divBdr>
        <w:top w:val="none" w:sz="0" w:space="0" w:color="auto"/>
        <w:left w:val="none" w:sz="0" w:space="0" w:color="auto"/>
        <w:bottom w:val="none" w:sz="0" w:space="0" w:color="auto"/>
        <w:right w:val="none" w:sz="0" w:space="0" w:color="auto"/>
      </w:divBdr>
    </w:div>
    <w:div w:id="375545178">
      <w:bodyDiv w:val="1"/>
      <w:marLeft w:val="0"/>
      <w:marRight w:val="0"/>
      <w:marTop w:val="0"/>
      <w:marBottom w:val="0"/>
      <w:divBdr>
        <w:top w:val="none" w:sz="0" w:space="0" w:color="auto"/>
        <w:left w:val="none" w:sz="0" w:space="0" w:color="auto"/>
        <w:bottom w:val="none" w:sz="0" w:space="0" w:color="auto"/>
        <w:right w:val="none" w:sz="0" w:space="0" w:color="auto"/>
      </w:divBdr>
    </w:div>
    <w:div w:id="477384253">
      <w:bodyDiv w:val="1"/>
      <w:marLeft w:val="0"/>
      <w:marRight w:val="0"/>
      <w:marTop w:val="0"/>
      <w:marBottom w:val="0"/>
      <w:divBdr>
        <w:top w:val="none" w:sz="0" w:space="0" w:color="auto"/>
        <w:left w:val="none" w:sz="0" w:space="0" w:color="auto"/>
        <w:bottom w:val="none" w:sz="0" w:space="0" w:color="auto"/>
        <w:right w:val="none" w:sz="0" w:space="0" w:color="auto"/>
      </w:divBdr>
    </w:div>
    <w:div w:id="545338928">
      <w:bodyDiv w:val="1"/>
      <w:marLeft w:val="0"/>
      <w:marRight w:val="0"/>
      <w:marTop w:val="0"/>
      <w:marBottom w:val="0"/>
      <w:divBdr>
        <w:top w:val="none" w:sz="0" w:space="0" w:color="auto"/>
        <w:left w:val="none" w:sz="0" w:space="0" w:color="auto"/>
        <w:bottom w:val="none" w:sz="0" w:space="0" w:color="auto"/>
        <w:right w:val="none" w:sz="0" w:space="0" w:color="auto"/>
      </w:divBdr>
    </w:div>
    <w:div w:id="1184906177">
      <w:bodyDiv w:val="1"/>
      <w:marLeft w:val="0"/>
      <w:marRight w:val="0"/>
      <w:marTop w:val="0"/>
      <w:marBottom w:val="0"/>
      <w:divBdr>
        <w:top w:val="none" w:sz="0" w:space="0" w:color="auto"/>
        <w:left w:val="none" w:sz="0" w:space="0" w:color="auto"/>
        <w:bottom w:val="none" w:sz="0" w:space="0" w:color="auto"/>
        <w:right w:val="none" w:sz="0" w:space="0" w:color="auto"/>
      </w:divBdr>
      <w:divsChild>
        <w:div w:id="380133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7550</Words>
  <Characters>4305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Žaliauskienė</dc:creator>
  <cp:keywords/>
  <dc:description/>
  <cp:lastModifiedBy>LINA VAIČIULYTĖ</cp:lastModifiedBy>
  <cp:revision>9</cp:revision>
  <dcterms:created xsi:type="dcterms:W3CDTF">2025-02-06T12:09:00Z</dcterms:created>
  <dcterms:modified xsi:type="dcterms:W3CDTF">2025-02-07T13:22:00Z</dcterms:modified>
</cp:coreProperties>
</file>