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1193D560"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AC2FF8" w:rsidRPr="007A6048">
        <w:rPr>
          <w:rFonts w:cstheme="minorHAnsi"/>
          <w:iCs/>
          <w:sz w:val="22"/>
          <w:szCs w:val="22"/>
        </w:rPr>
        <w:t>5</w:t>
      </w:r>
      <w:r w:rsidRPr="007A6048">
        <w:rPr>
          <w:rFonts w:cstheme="minorHAnsi"/>
          <w:iCs/>
          <w:sz w:val="22"/>
          <w:szCs w:val="22"/>
        </w:rPr>
        <w:t xml:space="preserve"> m.</w:t>
      </w:r>
      <w:r w:rsidR="002018FC" w:rsidRPr="007A6048">
        <w:rPr>
          <w:rFonts w:cstheme="minorHAnsi"/>
          <w:iCs/>
          <w:sz w:val="22"/>
          <w:szCs w:val="22"/>
        </w:rPr>
        <w:t xml:space="preserve"> </w:t>
      </w:r>
      <w:r w:rsidR="00AC2FF8" w:rsidRPr="007A6048">
        <w:rPr>
          <w:rFonts w:cstheme="minorHAnsi"/>
          <w:iCs/>
          <w:color w:val="000000" w:themeColor="text1"/>
          <w:sz w:val="22"/>
          <w:szCs w:val="22"/>
        </w:rPr>
        <w:t>vasario</w:t>
      </w:r>
      <w:r w:rsidR="009609A6" w:rsidRPr="007A6048">
        <w:rPr>
          <w:rFonts w:cstheme="minorHAnsi"/>
          <w:iCs/>
          <w:color w:val="000000" w:themeColor="text1"/>
          <w:sz w:val="22"/>
          <w:szCs w:val="22"/>
        </w:rPr>
        <w:t xml:space="preserve"> </w:t>
      </w:r>
      <w:r w:rsidR="00AC2FF8" w:rsidRPr="007A6048">
        <w:rPr>
          <w:rFonts w:cstheme="minorHAnsi"/>
          <w:iCs/>
          <w:color w:val="000000" w:themeColor="text1"/>
          <w:sz w:val="22"/>
          <w:szCs w:val="22"/>
        </w:rPr>
        <w:t>7</w:t>
      </w:r>
      <w:r w:rsidR="009609A6" w:rsidRPr="007A6048">
        <w:rPr>
          <w:rFonts w:cstheme="minorHAnsi"/>
          <w:iCs/>
          <w:color w:val="000000" w:themeColor="text1"/>
          <w:sz w:val="22"/>
          <w:szCs w:val="22"/>
        </w:rPr>
        <w:t xml:space="preserve"> </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2265AFDB" w:rsidR="00927B1F" w:rsidRPr="00183FA1" w:rsidRDefault="00EE1753" w:rsidP="00EE1753">
      <w:pPr>
        <w:spacing w:after="120" w:line="20" w:lineRule="atLeast"/>
        <w:contextualSpacing/>
        <w:jc w:val="right"/>
        <w:rPr>
          <w:rFonts w:cstheme="minorHAnsi"/>
          <w:iCs/>
          <w:sz w:val="22"/>
          <w:szCs w:val="22"/>
        </w:rPr>
      </w:pPr>
      <w:r w:rsidRPr="00183FA1">
        <w:rPr>
          <w:rFonts w:cstheme="minorHAnsi"/>
          <w:iCs/>
          <w:color w:val="000000" w:themeColor="text1"/>
          <w:sz w:val="22"/>
          <w:szCs w:val="22"/>
        </w:rPr>
        <w:t xml:space="preserve">protokolu Nr. </w:t>
      </w:r>
      <w:r w:rsidR="00F21F22" w:rsidRPr="00183FA1">
        <w:rPr>
          <w:rFonts w:cstheme="minorHAnsi"/>
          <w:iCs/>
          <w:sz w:val="22"/>
          <w:szCs w:val="22"/>
        </w:rPr>
        <w:t>1</w:t>
      </w:r>
      <w:r w:rsidR="005C640E">
        <w:rPr>
          <w:rFonts w:cstheme="minorHAnsi"/>
          <w:iCs/>
          <w:sz w:val="22"/>
          <w:szCs w:val="22"/>
        </w:rPr>
        <w:t>7789-1</w:t>
      </w:r>
    </w:p>
    <w:p w14:paraId="4DAA7510" w14:textId="63A027F1"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E23FDE">
        <w:rPr>
          <w:rFonts w:cstheme="minorHAnsi"/>
          <w:iCs/>
          <w:sz w:val="22"/>
          <w:szCs w:val="22"/>
        </w:rPr>
        <w:t>1088940</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4EB1B9CD"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36382C">
            <w:rPr>
              <w:rFonts w:cstheme="minorHAnsi"/>
              <w:b/>
              <w:bCs/>
              <w:sz w:val="28"/>
              <w:szCs w:val="28"/>
            </w:rPr>
            <w:t>Medžiagų smūginio stiprio (</w:t>
          </w:r>
          <w:proofErr w:type="spellStart"/>
          <w:r w:rsidR="0036382C">
            <w:rPr>
              <w:rFonts w:cstheme="minorHAnsi"/>
              <w:b/>
              <w:bCs/>
              <w:sz w:val="28"/>
              <w:szCs w:val="28"/>
            </w:rPr>
            <w:t>charpy</w:t>
          </w:r>
          <w:proofErr w:type="spellEnd"/>
          <w:r w:rsidR="0036382C">
            <w:rPr>
              <w:rFonts w:cstheme="minorHAnsi"/>
              <w:b/>
              <w:bCs/>
              <w:sz w:val="28"/>
              <w:szCs w:val="28"/>
            </w:rPr>
            <w:t>) tyrimų laboratorinė įranga</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2AC94C2D"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3305C917" w14:textId="6CDDB148"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FE57EB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12B0FB7D"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691C04">
        <w:rPr>
          <w:rFonts w:eastAsia="Times New Roman" w:cstheme="minorHAnsi"/>
          <w:b/>
          <w:color w:val="000000" w:themeColor="text1"/>
        </w:rPr>
        <w:t>981431</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67F88F7F"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 xml:space="preserve"> ,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7F0F6843"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9D588A">
        <w:rPr>
          <w:rStyle w:val="Hyperlink"/>
          <w:color w:val="000000" w:themeColor="text1"/>
        </w:rPr>
        <w:t xml:space="preserve">medžiagų </w:t>
      </w:r>
      <w:r w:rsidR="00FF3062">
        <w:rPr>
          <w:rStyle w:val="Hyperlink"/>
          <w:color w:val="000000" w:themeColor="text1"/>
        </w:rPr>
        <w:t>smūginio stiprio (</w:t>
      </w:r>
      <w:proofErr w:type="spellStart"/>
      <w:r w:rsidR="00FF3062">
        <w:rPr>
          <w:rStyle w:val="Hyperlink"/>
          <w:color w:val="000000" w:themeColor="text1"/>
        </w:rPr>
        <w:t>charpy</w:t>
      </w:r>
      <w:proofErr w:type="spellEnd"/>
      <w:r w:rsidR="00FF3062">
        <w:rPr>
          <w:rStyle w:val="Hyperlink"/>
          <w:color w:val="000000" w:themeColor="text1"/>
        </w:rPr>
        <w:t xml:space="preserve">) </w:t>
      </w:r>
      <w:r w:rsidR="009D588A">
        <w:rPr>
          <w:rStyle w:val="Hyperlink"/>
          <w:color w:val="000000" w:themeColor="text1"/>
        </w:rPr>
        <w:t>tyrimų laboratorinę įrangą</w:t>
      </w:r>
      <w:r w:rsidR="00467CDA">
        <w:rPr>
          <w:rStyle w:val="Hyperlink"/>
          <w:color w:val="000000" w:themeColor="text1"/>
        </w:rPr>
        <w:t xml:space="preserve"> </w:t>
      </w:r>
      <w:r w:rsidR="002827CB">
        <w:rPr>
          <w:rStyle w:val="Hyperlink"/>
          <w:color w:val="000000" w:themeColor="text1"/>
        </w:rPr>
        <w:t xml:space="preserve"> </w:t>
      </w:r>
      <w:r w:rsidR="00F61B56" w:rsidRPr="00A70481">
        <w:rPr>
          <w:rStyle w:val="Hyperlink"/>
          <w:color w:val="000000" w:themeColor="text1"/>
        </w:rPr>
        <w:t xml:space="preserve">Kauno technologijos universiteto kuriamam </w:t>
      </w:r>
      <w:proofErr w:type="spellStart"/>
      <w:r w:rsidR="00F61B56" w:rsidRPr="00A70481">
        <w:rPr>
          <w:rStyle w:val="Hyperlink"/>
          <w:color w:val="000000" w:themeColor="text1"/>
        </w:rPr>
        <w:t>SmartEcoTech</w:t>
      </w:r>
      <w:proofErr w:type="spellEnd"/>
      <w:r w:rsidR="00F61B56" w:rsidRPr="00A70481">
        <w:rPr>
          <w:rStyle w:val="Hyperlink"/>
          <w:color w:val="000000" w:themeColor="text1"/>
        </w:rPr>
        <w:t xml:space="preserve">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601796">
        <w:rPr>
          <w:rStyle w:val="Hyperlink"/>
          <w:color w:val="000000" w:themeColor="text1"/>
        </w:rPr>
        <w:t xml:space="preserve">38410000-2, </w:t>
      </w:r>
      <w:r w:rsidR="006C37FC" w:rsidRPr="00A70481">
        <w:rPr>
          <w:rStyle w:val="Hyperlink"/>
          <w:color w:val="000000" w:themeColor="text1"/>
        </w:rPr>
        <w:t xml:space="preserve"> </w:t>
      </w:r>
      <w:bookmarkEnd w:id="9"/>
      <w:r w:rsidR="00601796">
        <w:rPr>
          <w:rStyle w:val="Hyperlink"/>
          <w:color w:val="000000" w:themeColor="text1"/>
        </w:rPr>
        <w:t>Matavimo prietaisai</w:t>
      </w:r>
      <w:r w:rsidR="00D60DCA" w:rsidRPr="00A70481">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33E9B37B" w14:textId="7F073385" w:rsidR="00044795" w:rsidRPr="00044795" w:rsidRDefault="00496E27" w:rsidP="00044795">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044795" w:rsidRPr="00044795">
        <w:rPr>
          <w:rStyle w:val="Hyperlink"/>
          <w:color w:val="000000" w:themeColor="text1"/>
        </w:rPr>
        <w:t xml:space="preserve">Pirkimo objekto į dalis </w:t>
      </w:r>
      <w:r w:rsidR="0085577C">
        <w:rPr>
          <w:rStyle w:val="Hyperlink"/>
          <w:color w:val="000000" w:themeColor="text1"/>
        </w:rPr>
        <w:t>neskaidomas</w:t>
      </w:r>
      <w:r w:rsidR="006011E0">
        <w:rPr>
          <w:rStyle w:val="Hyperlink"/>
          <w:color w:val="000000" w:themeColor="text1"/>
        </w:rPr>
        <w:t xml:space="preserve">, </w:t>
      </w:r>
      <w:r w:rsidR="00432C1A" w:rsidRPr="00432C1A">
        <w:rPr>
          <w:rStyle w:val="Hyperlink"/>
          <w:color w:val="000000" w:themeColor="text1"/>
        </w:rPr>
        <w:t>perkamas vienas prietaisas, kurio visos dalys turi būti tarpusavyje suderintos, užtikrinant nuoseklų darbą bei rezultatų patikimumą ir palyginamumą. Pirkimo objektą skaidant į dalis,  būtų neįmanoma užtikrinti optimalaus sistemos funkcionalumo</w:t>
      </w:r>
      <w:r w:rsidR="00044795" w:rsidRPr="00044795">
        <w:rPr>
          <w:rStyle w:val="Hyperlink"/>
          <w:color w:val="000000" w:themeColor="text1"/>
        </w:rPr>
        <w:t xml:space="preserve">.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1D3E00DB"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10" w:name="_Hlk164087824"/>
      <w:r w:rsidR="009609A6" w:rsidRPr="00A70481">
        <w:rPr>
          <w:rStyle w:val="Hyperlink"/>
          <w:color w:val="000000" w:themeColor="text1"/>
        </w:rPr>
        <w:t xml:space="preserve"> </w:t>
      </w:r>
      <w:bookmarkStart w:id="11" w:name="_Hlk164087859"/>
      <w:bookmarkEnd w:id="10"/>
      <w:r w:rsidR="00F87A48">
        <w:rPr>
          <w:rStyle w:val="Hyperlink"/>
          <w:color w:val="000000" w:themeColor="text1"/>
        </w:rPr>
        <w:t>1</w:t>
      </w:r>
      <w:r w:rsidR="009E3FAA">
        <w:rPr>
          <w:rStyle w:val="Hyperlink"/>
          <w:color w:val="000000" w:themeColor="text1"/>
        </w:rPr>
        <w:t>5</w:t>
      </w:r>
      <w:r w:rsidR="003C4C51">
        <w:rPr>
          <w:rStyle w:val="Hyperlink"/>
          <w:color w:val="000000" w:themeColor="text1"/>
        </w:rPr>
        <w:t xml:space="preserve"> </w:t>
      </w:r>
      <w:r w:rsidR="00F87A48">
        <w:rPr>
          <w:rStyle w:val="Hyperlink"/>
          <w:color w:val="000000" w:themeColor="text1"/>
        </w:rPr>
        <w:t>000</w:t>
      </w:r>
      <w:r w:rsidRPr="00A70481">
        <w:rPr>
          <w:rStyle w:val="Hyperlink"/>
          <w:color w:val="000000" w:themeColor="text1"/>
        </w:rPr>
        <w:t xml:space="preserve">,00 </w:t>
      </w:r>
      <w:bookmarkEnd w:id="11"/>
      <w:r w:rsidRPr="00A70481">
        <w:rPr>
          <w:rStyle w:val="Hyperlink"/>
          <w:color w:val="000000" w:themeColor="text1"/>
        </w:rPr>
        <w:t xml:space="preserve">EUR </w:t>
      </w:r>
      <w:r w:rsidR="003F565A">
        <w:rPr>
          <w:rStyle w:val="Hyperlink"/>
          <w:color w:val="000000" w:themeColor="text1"/>
        </w:rPr>
        <w:t>(</w:t>
      </w:r>
      <w:r w:rsidR="009E3FAA">
        <w:rPr>
          <w:rStyle w:val="Hyperlink"/>
          <w:color w:val="000000" w:themeColor="text1"/>
        </w:rPr>
        <w:t>penkiolikos</w:t>
      </w:r>
      <w:r w:rsidR="003F565A">
        <w:rPr>
          <w:rStyle w:val="Hyperlink"/>
          <w:color w:val="000000" w:themeColor="text1"/>
        </w:rPr>
        <w:t xml:space="preserve"> tūkstančių Eur.,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2"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4404948"/>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1"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752A808" w14:textId="3B426118" w:rsidR="00BA361C" w:rsidRPr="006006DD" w:rsidRDefault="00BA361C" w:rsidP="00BA361C">
      <w:pPr>
        <w:spacing w:after="0" w:line="240" w:lineRule="auto"/>
        <w:ind w:firstLine="567"/>
        <w:jc w:val="both"/>
        <w:rPr>
          <w:color w:val="000000" w:themeColor="text1"/>
        </w:rPr>
      </w:pPr>
      <w:r>
        <w:rPr>
          <w:color w:val="000000" w:themeColor="text1"/>
        </w:rPr>
        <w:t xml:space="preserve">5.3. </w:t>
      </w:r>
      <w:r w:rsidRPr="006006DD">
        <w:rPr>
          <w:color w:val="000000" w:themeColor="text1"/>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006DD">
        <w:rPr>
          <w:color w:val="000000" w:themeColor="text1"/>
        </w:rPr>
        <w:t>us</w:t>
      </w:r>
      <w:proofErr w:type="spellEnd"/>
      <w:r w:rsidRPr="006006DD">
        <w:rPr>
          <w:color w:val="000000" w:themeColor="text1"/>
        </w:rPr>
        <w:t>), kai savininkas (-ai) yra užsienietis (fizinis asmuo) ar užsienyje registruotas juridinis asmuo, numato šį reikalavimą: jeigu pagal numatomą pasirašyti prekių, paslaugų ar darbų pirkimo sutartį lėšų gavėjo tikrasis (-</w:t>
      </w:r>
      <w:proofErr w:type="spellStart"/>
      <w:r w:rsidRPr="006006DD">
        <w:rPr>
          <w:color w:val="000000" w:themeColor="text1"/>
        </w:rPr>
        <w:t>ieji</w:t>
      </w:r>
      <w:proofErr w:type="spellEnd"/>
      <w:r w:rsidRPr="006006DD">
        <w:rPr>
          <w:color w:val="000000" w:themeColor="text1"/>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6006DD">
        <w:rPr>
          <w:color w:val="000000" w:themeColor="text1"/>
        </w:rPr>
        <w:t>ųjų</w:t>
      </w:r>
      <w:proofErr w:type="spellEnd"/>
      <w:r w:rsidRPr="006006DD">
        <w:rPr>
          <w:color w:val="000000" w:themeColor="text1"/>
        </w:rPr>
        <w:t>) savininko (-ų) (turinčio (-</w:t>
      </w:r>
      <w:proofErr w:type="spellStart"/>
      <w:r w:rsidRPr="006006DD">
        <w:rPr>
          <w:color w:val="000000" w:themeColor="text1"/>
        </w:rPr>
        <w:t>ių</w:t>
      </w:r>
      <w:proofErr w:type="spellEnd"/>
      <w:r w:rsidRPr="006006DD">
        <w:rPr>
          <w:color w:val="000000" w:themeColor="text1"/>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AB2878">
        <w:rPr>
          <w:color w:val="000000" w:themeColor="text1"/>
        </w:rPr>
        <w:t>Laimėjusiu nustatytas tiekėjas šiuos duomenis privalo pateikti iki pirkimo sutarties sudarymo. Tiekėjui nepateikus ši</w:t>
      </w:r>
      <w:r w:rsidR="00F369AA">
        <w:rPr>
          <w:color w:val="000000" w:themeColor="text1"/>
        </w:rPr>
        <w:t>ų</w:t>
      </w:r>
      <w:r w:rsidR="00AB2878">
        <w:rPr>
          <w:color w:val="000000" w:themeColor="text1"/>
        </w:rPr>
        <w:t xml:space="preserve"> duomenų, Perkančioji organ</w:t>
      </w:r>
      <w:r w:rsidR="00F369AA">
        <w:rPr>
          <w:color w:val="000000" w:themeColor="text1"/>
        </w:rPr>
        <w:t xml:space="preserve">izacija laikys, kad tiekėjas atsisako sudaryti sutartį. </w:t>
      </w:r>
    </w:p>
    <w:p w14:paraId="19050F0E" w14:textId="77777777" w:rsidR="00BA361C" w:rsidRPr="004F7E04" w:rsidRDefault="00BA361C" w:rsidP="00BA361C">
      <w:pPr>
        <w:spacing w:after="0" w:line="240" w:lineRule="auto"/>
        <w:ind w:firstLine="567"/>
        <w:jc w:val="both"/>
        <w:rPr>
          <w:i/>
          <w:color w:val="000000" w:themeColor="text1"/>
        </w:rPr>
      </w:pPr>
      <w:r w:rsidRPr="004F7E04">
        <w:rPr>
          <w:color w:val="000000" w:themeColor="text1"/>
        </w:rPr>
        <w:t>5.</w:t>
      </w:r>
      <w:r>
        <w:rPr>
          <w:color w:val="000000" w:themeColor="text1"/>
        </w:rPr>
        <w:t>4</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1D41A8" w:rsidRDefault="00245E8F" w:rsidP="00142AB7">
      <w:pPr>
        <w:pStyle w:val="Heading1"/>
        <w:spacing w:line="20" w:lineRule="atLeast"/>
        <w:contextualSpacing/>
        <w:rPr>
          <w:rFonts w:asciiTheme="minorHAnsi" w:hAnsiTheme="minorHAnsi" w:cstheme="minorBidi"/>
        </w:rPr>
      </w:pPr>
      <w:bookmarkStart w:id="24" w:name="_Ref39666794"/>
      <w:bookmarkStart w:id="25" w:name="_Ref39666796"/>
      <w:bookmarkStart w:id="26"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4"/>
      <w:bookmarkEnd w:id="25"/>
      <w:bookmarkEnd w:id="26"/>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lastRenderedPageBreak/>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4ADD0B83" w:rsidR="00CC4429" w:rsidRDefault="00223C97"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F0499F">
        <w:rPr>
          <w:rFonts w:asciiTheme="minorHAnsi" w:hAnsiTheme="minorHAnsi" w:cstheme="minorHAnsi"/>
        </w:rPr>
        <w:t>Pasiūlymo galiojimo užtikrinimas</w:t>
      </w:r>
      <w:bookmarkEnd w:id="32"/>
      <w:bookmarkEnd w:id="33"/>
      <w:bookmarkEnd w:id="34"/>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FD51C2">
        <w:rPr>
          <w:rFonts w:asciiTheme="minorHAnsi" w:hAnsiTheme="minorHAnsi" w:cstheme="minorHAnsi"/>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40"/>
      <w:bookmarkEnd w:id="41"/>
      <w:bookmarkEnd w:id="42"/>
      <w:bookmarkEnd w:id="43"/>
      <w:bookmarkEnd w:id="44"/>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5"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lastRenderedPageBreak/>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9"/>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8E5A" w14:textId="77777777" w:rsidR="00B45096" w:rsidRDefault="00B45096" w:rsidP="00D05666">
      <w:r>
        <w:separator/>
      </w:r>
    </w:p>
  </w:endnote>
  <w:endnote w:type="continuationSeparator" w:id="0">
    <w:p w14:paraId="520101AC" w14:textId="77777777" w:rsidR="00B45096" w:rsidRDefault="00B45096" w:rsidP="00D05666">
      <w:r>
        <w:continuationSeparator/>
      </w:r>
    </w:p>
  </w:endnote>
  <w:endnote w:type="continuationNotice" w:id="1">
    <w:p w14:paraId="11D5BCEF" w14:textId="77777777" w:rsidR="00B45096" w:rsidRDefault="00B45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F8AD" w14:textId="77777777" w:rsidR="00B45096" w:rsidRDefault="00B45096" w:rsidP="00D05666">
      <w:r>
        <w:separator/>
      </w:r>
    </w:p>
  </w:footnote>
  <w:footnote w:type="continuationSeparator" w:id="0">
    <w:p w14:paraId="4DBD8191" w14:textId="77777777" w:rsidR="00B45096" w:rsidRDefault="00B45096" w:rsidP="00D05666">
      <w:r>
        <w:continuationSeparator/>
      </w:r>
    </w:p>
  </w:footnote>
  <w:footnote w:type="continuationNotice" w:id="1">
    <w:p w14:paraId="4B30D54C" w14:textId="77777777" w:rsidR="00B45096" w:rsidRDefault="00B450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1C04"/>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41"/>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F52"/>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934"/>
    <w:rsid w:val="00AC58DB"/>
    <w:rsid w:val="00AC6854"/>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5096"/>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49E9"/>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200"/>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9AA"/>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121A76"/>
    <w:rsid w:val="00140399"/>
    <w:rsid w:val="001406F2"/>
    <w:rsid w:val="00157382"/>
    <w:rsid w:val="001632DA"/>
    <w:rsid w:val="001C6A92"/>
    <w:rsid w:val="001D18BE"/>
    <w:rsid w:val="00200D26"/>
    <w:rsid w:val="0022446C"/>
    <w:rsid w:val="002255E2"/>
    <w:rsid w:val="002265A4"/>
    <w:rsid w:val="00267942"/>
    <w:rsid w:val="002A2AC6"/>
    <w:rsid w:val="002D0E5F"/>
    <w:rsid w:val="002F1B06"/>
    <w:rsid w:val="00301D04"/>
    <w:rsid w:val="0030277A"/>
    <w:rsid w:val="00330EC5"/>
    <w:rsid w:val="003414B0"/>
    <w:rsid w:val="003637BA"/>
    <w:rsid w:val="00367DDD"/>
    <w:rsid w:val="003A4D27"/>
    <w:rsid w:val="003B4ADD"/>
    <w:rsid w:val="003D5954"/>
    <w:rsid w:val="003E1009"/>
    <w:rsid w:val="0040581C"/>
    <w:rsid w:val="004614EC"/>
    <w:rsid w:val="004F3C14"/>
    <w:rsid w:val="00500154"/>
    <w:rsid w:val="00540040"/>
    <w:rsid w:val="0055064A"/>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349E9"/>
    <w:rsid w:val="00D51297"/>
    <w:rsid w:val="00D84200"/>
    <w:rsid w:val="00D93490"/>
    <w:rsid w:val="00DD790A"/>
    <w:rsid w:val="00E3610A"/>
    <w:rsid w:val="00E459F0"/>
    <w:rsid w:val="00E73B7F"/>
    <w:rsid w:val="00E8407C"/>
    <w:rsid w:val="00EA3A53"/>
    <w:rsid w:val="00EE0598"/>
    <w:rsid w:val="00EE068A"/>
    <w:rsid w:val="00F12E4C"/>
    <w:rsid w:val="00F3161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2191</Words>
  <Characters>12489</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205</cp:revision>
  <cp:lastPrinted>2024-01-26T13:40:00Z</cp:lastPrinted>
  <dcterms:created xsi:type="dcterms:W3CDTF">2024-04-15T09:57:00Z</dcterms:created>
  <dcterms:modified xsi:type="dcterms:W3CDTF">2025-02-07T13:10:00Z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