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2024</w:t>
          </w:r>
          <w:r w:rsidRPr="00AF13BA">
            <w:rPr>
              <w:rFonts w:ascii="Times New Roman" w:eastAsia="Times New Roman" w:hAnsi="Times New Roman" w:cs="Times New Roman"/>
              <w:bCs/>
              <w:sz w:val="24"/>
              <w:szCs w:val="24"/>
            </w:rPr>
            <w:t xml:space="preserve"> m.</w:t>
          </w:r>
        </w:p>
        <w:p w:rsidR="00B7229D" w:rsidRPr="00AF13BA" w:rsidRDefault="003A3F16"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F13BA">
            <w:rPr>
              <w:rFonts w:ascii="Times New Roman" w:eastAsia="Times New Roman" w:hAnsi="Times New Roman" w:cs="Times New Roman"/>
              <w:bCs/>
              <w:sz w:val="24"/>
              <w:szCs w:val="24"/>
            </w:rPr>
            <w:t xml:space="preserve"> </w:t>
          </w:r>
          <w:r w:rsidR="00FB40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lapkričio </w:t>
          </w:r>
          <w:r w:rsidR="00FB40BF">
            <w:rPr>
              <w:rFonts w:ascii="Times New Roman" w:eastAsia="Times New Roman" w:hAnsi="Times New Roman" w:cs="Times New Roman"/>
              <w:bCs/>
              <w:sz w:val="24"/>
              <w:szCs w:val="24"/>
            </w:rPr>
            <w:t>29</w:t>
          </w: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FB40BF">
            <w:rPr>
              <w:rFonts w:ascii="Times New Roman" w:eastAsia="Times New Roman" w:hAnsi="Times New Roman" w:cs="Times New Roman"/>
              <w:bCs/>
              <w:sz w:val="24"/>
              <w:szCs w:val="24"/>
            </w:rPr>
            <w:t>83</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E87315" w:rsidRDefault="00C006CB" w:rsidP="003A3F16">
          <w:pPr>
            <w:spacing w:line="240" w:lineRule="auto"/>
            <w:jc w:val="center"/>
            <w:rPr>
              <w:rFonts w:ascii="Times New Roman" w:hAnsi="Times New Roman" w:cs="Times New Roman"/>
              <w:b/>
              <w:bCs/>
              <w:sz w:val="24"/>
              <w:szCs w:val="24"/>
            </w:rPr>
          </w:pPr>
          <w:r w:rsidRPr="00E87315">
            <w:rPr>
              <w:rFonts w:ascii="Times New Roman" w:hAnsi="Times New Roman" w:cs="Times New Roman"/>
              <w:b/>
              <w:bCs/>
              <w:sz w:val="24"/>
              <w:szCs w:val="24"/>
            </w:rPr>
            <w:t xml:space="preserve">MAŽOS VERTĖS </w:t>
          </w:r>
          <w:r w:rsidR="00D526C8" w:rsidRPr="00E87315">
            <w:rPr>
              <w:rFonts w:ascii="Times New Roman" w:hAnsi="Times New Roman" w:cs="Times New Roman"/>
              <w:b/>
              <w:bCs/>
              <w:sz w:val="24"/>
              <w:szCs w:val="24"/>
            </w:rPr>
            <w:t>VIEŠOJO PIRKIMO „</w:t>
          </w:r>
          <w:r w:rsidR="003A3F16" w:rsidRPr="000D4054">
            <w:rPr>
              <w:rFonts w:ascii="Times New Roman" w:eastAsia="Times New Roman" w:hAnsi="Times New Roman" w:cs="Times New Roman"/>
              <w:b/>
              <w:bCs/>
              <w:sz w:val="24"/>
              <w:szCs w:val="24"/>
            </w:rPr>
            <w:t>KAIŠIADORIŲ APYLINKĖS SENIŪNIJOS BENDROJO NAUDOJIMO TERITORIJŲ TVARKYMO, GATVIŲ VALYMO IR BARSTYMO</w:t>
          </w:r>
          <w:r w:rsidR="003A3F16">
            <w:rPr>
              <w:rFonts w:ascii="Times New Roman" w:eastAsia="Times New Roman" w:hAnsi="Times New Roman" w:cs="Times New Roman"/>
              <w:b/>
              <w:bCs/>
              <w:sz w:val="24"/>
              <w:szCs w:val="24"/>
            </w:rPr>
            <w:t xml:space="preserve"> </w:t>
          </w:r>
          <w:r w:rsidR="003A3F16" w:rsidRPr="001322F0">
            <w:rPr>
              <w:rFonts w:ascii="Times New Roman" w:eastAsia="Times New Roman" w:hAnsi="Times New Roman" w:cs="Times New Roman"/>
              <w:b/>
              <w:sz w:val="24"/>
              <w:szCs w:val="24"/>
            </w:rPr>
            <w:t>PASLAUG</w:t>
          </w:r>
          <w:r w:rsidR="003A3F16">
            <w:rPr>
              <w:rFonts w:ascii="Times New Roman" w:eastAsia="Times New Roman" w:hAnsi="Times New Roman" w:cs="Times New Roman"/>
              <w:b/>
              <w:sz w:val="24"/>
              <w:szCs w:val="24"/>
            </w:rPr>
            <w:t>OS</w:t>
          </w:r>
          <w:r w:rsidR="00D526C8" w:rsidRPr="00E87315">
            <w:rPr>
              <w:rFonts w:ascii="Times New Roman" w:hAnsi="Times New Roman" w:cs="Times New Roman"/>
              <w:b/>
              <w:bCs/>
              <w:sz w:val="24"/>
              <w:szCs w:val="24"/>
            </w:rPr>
            <w:t>“</w:t>
          </w:r>
          <w:r w:rsidR="00E87315">
            <w:rPr>
              <w:rFonts w:ascii="Times New Roman" w:hAnsi="Times New Roman" w:cs="Times New Roman"/>
              <w:b/>
              <w:bCs/>
              <w:sz w:val="24"/>
              <w:szCs w:val="24"/>
            </w:rPr>
            <w:t xml:space="preserve"> </w:t>
          </w:r>
          <w:r w:rsidR="00DF1318" w:rsidRPr="00E87315">
            <w:rPr>
              <w:rFonts w:ascii="Times New Roman" w:hAnsi="Times New Roman" w:cs="Times New Roman"/>
              <w:b/>
              <w:bCs/>
              <w:sz w:val="24"/>
              <w:szCs w:val="24"/>
            </w:rPr>
            <w:t>SKELBIAM</w:t>
          </w:r>
          <w:r w:rsidR="0019623B" w:rsidRPr="00E87315">
            <w:rPr>
              <w:rFonts w:ascii="Times New Roman" w:hAnsi="Times New Roman" w:cs="Times New Roman"/>
              <w:b/>
              <w:bCs/>
              <w:sz w:val="24"/>
              <w:szCs w:val="24"/>
            </w:rPr>
            <w:t>OS APKLAUSOS</w:t>
          </w:r>
          <w:r w:rsidR="00D526C8" w:rsidRPr="00E87315">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3A3F16">
          <w:pPr>
            <w:spacing w:line="240" w:lineRule="auto"/>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 „</w:t>
          </w:r>
          <w:r w:rsidR="003A3F16" w:rsidRPr="000D4054">
            <w:rPr>
              <w:rFonts w:ascii="Times New Roman" w:eastAsia="Times New Roman" w:hAnsi="Times New Roman" w:cs="Times New Roman"/>
              <w:b/>
              <w:bCs/>
              <w:sz w:val="24"/>
              <w:szCs w:val="24"/>
            </w:rPr>
            <w:t>KAIŠIADORIŲ APYLINKĖS SENIŪNIJOS BENDROJO NAUDOJIMO TERITORIJŲ TVARKYMO, GATVIŲ VALYMO IR BARSTYMO</w:t>
          </w:r>
          <w:r w:rsidR="003A3F16">
            <w:rPr>
              <w:rFonts w:ascii="Times New Roman" w:eastAsia="Times New Roman" w:hAnsi="Times New Roman" w:cs="Times New Roman"/>
              <w:b/>
              <w:bCs/>
              <w:sz w:val="24"/>
              <w:szCs w:val="24"/>
            </w:rPr>
            <w:t xml:space="preserve"> </w:t>
          </w:r>
          <w:r w:rsidR="003A3F16" w:rsidRPr="001322F0">
            <w:rPr>
              <w:rFonts w:ascii="Times New Roman" w:eastAsia="Times New Roman" w:hAnsi="Times New Roman" w:cs="Times New Roman"/>
              <w:b/>
              <w:sz w:val="24"/>
              <w:szCs w:val="24"/>
            </w:rPr>
            <w:t>PASLAUG</w:t>
          </w:r>
          <w:r w:rsidR="003A3F16">
            <w:rPr>
              <w:rFonts w:ascii="Times New Roman" w:eastAsia="Times New Roman" w:hAnsi="Times New Roman" w:cs="Times New Roman"/>
              <w:b/>
              <w:sz w:val="24"/>
              <w:szCs w:val="24"/>
            </w:rPr>
            <w:t>OS</w:t>
          </w:r>
          <w:r w:rsidRPr="002749D9">
            <w:rPr>
              <w:rFonts w:ascii="Times New Roman" w:hAnsi="Times New Roman" w:cs="Times New Roman"/>
              <w:b/>
              <w:bCs/>
              <w:sz w:val="24"/>
              <w:szCs w:val="24"/>
            </w:rPr>
            <w:t>“</w:t>
          </w:r>
          <w:r w:rsidR="00E87315">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B055DF"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3A3F16">
        <w:rPr>
          <w:rFonts w:ascii="Times New Roman" w:eastAsia="Times New Roman" w:hAnsi="Times New Roman" w:cs="Times New Roman"/>
          <w:sz w:val="24"/>
          <w:szCs w:val="24"/>
        </w:rPr>
        <w:t>Kaišiadorių apylinkės seniūnijos bendrojo naudojimo teritorijų tvarkymo, gatvių valymo ir barstymo</w:t>
      </w:r>
      <w:r w:rsidR="003A3F16" w:rsidRPr="001322F0">
        <w:rPr>
          <w:rFonts w:ascii="Times New Roman" w:eastAsia="Times New Roman" w:hAnsi="Times New Roman" w:cs="Times New Roman"/>
          <w:sz w:val="24"/>
          <w:szCs w:val="24"/>
        </w:rPr>
        <w:t xml:space="preserve"> paslaug</w:t>
      </w:r>
      <w:r w:rsidR="003A3F16">
        <w:rPr>
          <w:rFonts w:ascii="Times New Roman" w:eastAsia="Times New Roman" w:hAnsi="Times New Roman" w:cs="Times New Roman"/>
          <w:sz w:val="24"/>
          <w:szCs w:val="24"/>
        </w:rPr>
        <w:t>os</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3A3F16">
        <w:rPr>
          <w:rFonts w:ascii="Times New Roman" w:hAnsi="Times New Roman" w:cs="Times New Roman"/>
          <w:bCs/>
          <w:i/>
          <w:color w:val="000000" w:themeColor="text1"/>
          <w:sz w:val="24"/>
          <w:szCs w:val="24"/>
        </w:rPr>
        <w:t>paslaugų</w:t>
      </w:r>
      <w:r w:rsidR="003A3F16"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w:t>
      </w:r>
      <w:proofErr w:type="spellStart"/>
      <w:r w:rsidR="00D459E3" w:rsidRPr="005F0327">
        <w:rPr>
          <w:rFonts w:ascii="Times New Roman" w:hAnsi="Times New Roman" w:cs="Times New Roman"/>
          <w:bCs/>
          <w:sz w:val="24"/>
          <w:szCs w:val="24"/>
        </w:rPr>
        <w:t>apaugos</w:t>
      </w:r>
      <w:proofErr w:type="spellEnd"/>
      <w:r w:rsidR="00D459E3" w:rsidRPr="005F0327">
        <w:rPr>
          <w:rFonts w:ascii="Times New Roman" w:hAnsi="Times New Roman" w:cs="Times New Roman"/>
          <w:bCs/>
          <w:sz w:val="24"/>
          <w:szCs w:val="24"/>
        </w:rPr>
        <w:t xml:space="preserve">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3A3F16">
        <w:rPr>
          <w:rFonts w:ascii="Times New Roman" w:hAnsi="Times New Roman" w:cs="Times New Roman"/>
          <w:sz w:val="24"/>
          <w:szCs w:val="24"/>
        </w:rPr>
        <w:t xml:space="preserve"> </w:t>
      </w:r>
      <w:r w:rsidR="003A3F16" w:rsidRPr="003A3F16">
        <w:rPr>
          <w:rFonts w:ascii="Times New Roman" w:eastAsia="Times New Roman" w:hAnsi="Times New Roman" w:cs="Times New Roman"/>
          <w:i/>
          <w:sz w:val="24"/>
          <w:szCs w:val="24"/>
        </w:rPr>
        <w:t>Kaišiadorių apylinkės seniūnijos bendrojo naudojimo teritorijų tvarkymo, gatvių valymo ir barstymo paslaugas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proofErr w:type="spellStart"/>
      <w:r w:rsidR="005D280D" w:rsidRPr="005F0327">
        <w:rPr>
          <w:rFonts w:ascii="Times New Roman" w:hAnsi="Times New Roman" w:cs="Times New Roman"/>
          <w:bCs/>
          <w:sz w:val="24"/>
          <w:szCs w:val="24"/>
        </w:rPr>
        <w:t>subtiekėjų</w:t>
      </w:r>
      <w:proofErr w:type="spellEnd"/>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3724DD" w:rsidRPr="00D046C5" w:rsidRDefault="00EC1EED" w:rsidP="00D046C5">
      <w:pPr>
        <w:pStyle w:val="Sraopastraipa"/>
        <w:spacing w:after="160" w:line="240" w:lineRule="auto"/>
        <w:ind w:left="0" w:firstLine="851"/>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w:t>
      </w:r>
      <w:r w:rsidR="00F947FD">
        <w:rPr>
          <w:rStyle w:val="Antrat1Diagrama"/>
          <w:rFonts w:ascii="Times New Roman" w:hAnsi="Times New Roman" w:cs="Times New Roman"/>
          <w:bCs/>
          <w:sz w:val="24"/>
          <w:szCs w:val="24"/>
        </w:rPr>
        <w:t>užduotis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B055DF"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D046C5" w:rsidRDefault="008C40D2" w:rsidP="00D046C5">
      <w:pPr>
        <w:pStyle w:val="Sraopastraipa"/>
        <w:numPr>
          <w:ilvl w:val="0"/>
          <w:numId w:val="8"/>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D046C5">
        <w:rPr>
          <w:rFonts w:ascii="Times New Roman" w:eastAsia="Times New Roman" w:hAnsi="Times New Roman" w:cs="Times New Roman"/>
          <w:sz w:val="24"/>
          <w:szCs w:val="24"/>
        </w:rPr>
        <w:t>Reikalavimai kvalifikacijai</w:t>
      </w:r>
      <w:r w:rsidR="00D046C5" w:rsidRPr="00D046C5">
        <w:rPr>
          <w:rFonts w:ascii="Times New Roman" w:eastAsia="Times New Roman" w:hAnsi="Times New Roman" w:cs="Times New Roman"/>
          <w:sz w:val="24"/>
          <w:szCs w:val="24"/>
        </w:rPr>
        <w:t xml:space="preserve"> netaikomi.</w:t>
      </w:r>
    </w:p>
    <w:p w:rsidR="00D046C5" w:rsidRPr="00D046C5" w:rsidRDefault="00D046C5" w:rsidP="00D046C5">
      <w:pPr>
        <w:pStyle w:val="Sraopastraipa"/>
        <w:spacing w:before="100" w:beforeAutospacing="1" w:after="100" w:afterAutospacing="1" w:line="240" w:lineRule="auto"/>
        <w:ind w:left="928" w:firstLine="0"/>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D046C5">
              <w:rPr>
                <w:rFonts w:ascii="Times New Roman" w:eastAsia="Calibri" w:hAnsi="Times New Roman" w:cs="Times New Roman"/>
                <w:sz w:val="22"/>
                <w:szCs w:val="22"/>
                <w:lang w:eastAsia="en-US"/>
              </w:rPr>
              <w:t>paslaugoms</w:t>
            </w:r>
            <w:r w:rsidRPr="00935B3F">
              <w:rPr>
                <w:rFonts w:ascii="Times New Roman" w:eastAsia="Calibri" w:hAnsi="Times New Roman" w:cs="Times New Roman"/>
                <w:sz w:val="22"/>
                <w:szCs w:val="22"/>
                <w:lang w:eastAsia="en-US"/>
              </w:rPr>
              <w:t xml:space="preserve"> (</w:t>
            </w:r>
            <w:r w:rsidR="00D046C5">
              <w:rPr>
                <w:rFonts w:ascii="Times New Roman" w:eastAsia="Calibri" w:hAnsi="Times New Roman" w:cs="Times New Roman"/>
                <w:sz w:val="22"/>
                <w:szCs w:val="22"/>
                <w:lang w:eastAsia="en-US"/>
              </w:rPr>
              <w:t>aplinkos tvarkymo</w:t>
            </w:r>
            <w:r w:rsidR="00E05BB3">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w:t>
            </w:r>
            <w:r w:rsidRPr="00935B3F">
              <w:rPr>
                <w:rFonts w:ascii="Times New Roman" w:eastAsia="Times New Roman" w:hAnsi="Times New Roman" w:cs="Times New Roman"/>
                <w:i/>
                <w:color w:val="000000"/>
                <w:sz w:val="22"/>
                <w:szCs w:val="22"/>
                <w:lang w:eastAsia="ar-SA"/>
              </w:rPr>
              <w:lastRenderedPageBreak/>
              <w:t>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„Techninė </w:t>
      </w:r>
      <w:r w:rsidR="00D046C5">
        <w:rPr>
          <w:rFonts w:ascii="Times New Roman" w:hAnsi="Times New Roman" w:cs="Times New Roman"/>
          <w:sz w:val="24"/>
          <w:szCs w:val="24"/>
        </w:rPr>
        <w:t>specifikacija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E94963" w:rsidRDefault="00E94963" w:rsidP="00935B3F">
      <w:pPr>
        <w:spacing w:line="240" w:lineRule="auto"/>
        <w:ind w:firstLine="0"/>
        <w:jc w:val="center"/>
        <w:rPr>
          <w:rFonts w:ascii="Times New Roman" w:eastAsia="Times New Roman" w:hAnsi="Times New Roman" w:cs="Times New Roman"/>
          <w:b/>
          <w:bCs/>
          <w:sz w:val="24"/>
          <w:szCs w:val="24"/>
          <w:lang w:eastAsia="en-US"/>
        </w:rPr>
      </w:pPr>
    </w:p>
    <w:p w:rsidR="00E94963" w:rsidRDefault="00E94963" w:rsidP="00935B3F">
      <w:pPr>
        <w:spacing w:line="240" w:lineRule="auto"/>
        <w:ind w:firstLine="0"/>
        <w:jc w:val="center"/>
        <w:rPr>
          <w:rFonts w:ascii="Times New Roman" w:eastAsia="Times New Roman" w:hAnsi="Times New Roman" w:cs="Times New Roman"/>
          <w:b/>
          <w:bCs/>
          <w:sz w:val="24"/>
          <w:szCs w:val="24"/>
          <w:lang w:eastAsia="en-US"/>
        </w:rPr>
      </w:pPr>
    </w:p>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E94963" w:rsidRDefault="00935B3F" w:rsidP="00D046C5">
      <w:pPr>
        <w:spacing w:line="240" w:lineRule="auto"/>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t xml:space="preserve"> </w:t>
      </w:r>
      <w:r w:rsidR="003A3F16" w:rsidRPr="000D4054">
        <w:rPr>
          <w:rFonts w:ascii="Times New Roman" w:eastAsia="Times New Roman" w:hAnsi="Times New Roman" w:cs="Times New Roman"/>
          <w:b/>
          <w:bCs/>
          <w:sz w:val="24"/>
          <w:szCs w:val="24"/>
        </w:rPr>
        <w:t>KAIŠIADORIŲ APYLINKĖS SENIŪNIJOS BENDROJO NAUDOJIMO TERITORIJŲ TVARKYMO, GATVIŲ VALYMO IR BARSTYMO</w:t>
      </w:r>
      <w:r w:rsidR="003A3F16">
        <w:rPr>
          <w:rFonts w:ascii="Times New Roman" w:eastAsia="Times New Roman" w:hAnsi="Times New Roman" w:cs="Times New Roman"/>
          <w:b/>
          <w:bCs/>
          <w:sz w:val="24"/>
          <w:szCs w:val="24"/>
        </w:rPr>
        <w:t xml:space="preserve"> </w:t>
      </w:r>
      <w:r w:rsidR="003A3F16" w:rsidRPr="001322F0">
        <w:rPr>
          <w:rFonts w:ascii="Times New Roman" w:eastAsia="Times New Roman" w:hAnsi="Times New Roman" w:cs="Times New Roman"/>
          <w:b/>
          <w:sz w:val="24"/>
          <w:szCs w:val="24"/>
        </w:rPr>
        <w:t>PASLAUG</w:t>
      </w:r>
      <w:r w:rsidR="003A3F16">
        <w:rPr>
          <w:rFonts w:ascii="Times New Roman" w:eastAsia="Times New Roman" w:hAnsi="Times New Roman" w:cs="Times New Roman"/>
          <w:b/>
          <w:sz w:val="24"/>
          <w:szCs w:val="24"/>
        </w:rPr>
        <w:t>Ų</w:t>
      </w:r>
    </w:p>
    <w:p w:rsidR="00935B3F" w:rsidRPr="00112129"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 xml:space="preserve">Vykdant sutartį pasitelksiu šiuos </w:t>
      </w:r>
      <w:proofErr w:type="spellStart"/>
      <w:r w:rsidRPr="00935B3F">
        <w:rPr>
          <w:rFonts w:ascii="Times New Roman" w:eastAsia="Times New Roman" w:hAnsi="Times New Roman" w:cs="Times New Roman"/>
          <w:bCs/>
          <w:sz w:val="24"/>
          <w:szCs w:val="24"/>
        </w:rPr>
        <w:t>subtiekėjus</w:t>
      </w:r>
      <w:proofErr w:type="spellEnd"/>
      <w:r w:rsidRPr="00935B3F">
        <w:rPr>
          <w:rFonts w:ascii="Times New Roman" w:eastAsia="Times New Roman" w:hAnsi="Times New Roman" w:cs="Times New Roman"/>
          <w:bCs/>
          <w:sz w:val="24"/>
          <w:szCs w:val="24"/>
        </w:rPr>
        <w:t>:</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proofErr w:type="spellStart"/>
            <w:r w:rsidRPr="00935B3F">
              <w:rPr>
                <w:rFonts w:ascii="Times New Roman" w:eastAsia="Times New Roman" w:hAnsi="Times New Roman" w:cs="Times New Roman"/>
                <w:spacing w:val="-6"/>
                <w:sz w:val="24"/>
                <w:szCs w:val="24"/>
              </w:rPr>
              <w:t>Subtiekėjo</w:t>
            </w:r>
            <w:proofErr w:type="spellEnd"/>
            <w:r w:rsidRPr="00935B3F">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proofErr w:type="spellStart"/>
            <w:r w:rsidRPr="00935B3F">
              <w:rPr>
                <w:rFonts w:ascii="Times New Roman" w:eastAsia="Times New Roman" w:hAnsi="Times New Roman" w:cs="Times New Roman"/>
                <w:spacing w:val="-6"/>
                <w:sz w:val="24"/>
                <w:szCs w:val="24"/>
              </w:rPr>
              <w:t>Subtiekėjo</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265"/>
        <w:gridCol w:w="858"/>
        <w:gridCol w:w="1246"/>
        <w:gridCol w:w="1713"/>
        <w:gridCol w:w="1515"/>
        <w:gridCol w:w="1617"/>
      </w:tblGrid>
      <w:tr w:rsidR="003A3F16" w:rsidRPr="003A3F16" w:rsidTr="00AA44AC">
        <w:trPr>
          <w:trHeight w:val="505"/>
        </w:trPr>
        <w:tc>
          <w:tcPr>
            <w:tcW w:w="709" w:type="dxa"/>
            <w:vMerge w:val="restart"/>
            <w:tcBorders>
              <w:top w:val="single" w:sz="4" w:space="0" w:color="auto"/>
              <w:left w:val="single" w:sz="4" w:space="0" w:color="auto"/>
              <w:right w:val="single" w:sz="4" w:space="0" w:color="auto"/>
            </w:tcBorders>
          </w:tcPr>
          <w:p w:rsidR="003A3F16" w:rsidRPr="003A3F16" w:rsidRDefault="003A3F16" w:rsidP="00AA44AC">
            <w:pPr>
              <w:suppressAutoHyphens/>
              <w:jc w:val="center"/>
              <w:rPr>
                <w:rFonts w:ascii="Times New Roman" w:hAnsi="Times New Roman" w:cs="Times New Roman"/>
                <w:sz w:val="22"/>
                <w:szCs w:val="22"/>
                <w:lang w:eastAsia="ar-SA"/>
              </w:rPr>
            </w:pPr>
            <w:proofErr w:type="spellStart"/>
            <w:r w:rsidRPr="003A3F16">
              <w:rPr>
                <w:rFonts w:ascii="Times New Roman" w:hAnsi="Times New Roman" w:cs="Times New Roman"/>
                <w:sz w:val="22"/>
                <w:szCs w:val="22"/>
                <w:lang w:eastAsia="ar-SA"/>
              </w:rPr>
              <w:t>EEil</w:t>
            </w:r>
            <w:proofErr w:type="spellEnd"/>
            <w:r w:rsidRPr="003A3F16">
              <w:rPr>
                <w:rFonts w:ascii="Times New Roman" w:hAnsi="Times New Roman" w:cs="Times New Roman"/>
                <w:sz w:val="22"/>
                <w:szCs w:val="22"/>
                <w:lang w:eastAsia="ar-SA"/>
              </w:rPr>
              <w:t>.  Nr.</w:t>
            </w:r>
          </w:p>
        </w:tc>
        <w:tc>
          <w:tcPr>
            <w:tcW w:w="2265" w:type="dxa"/>
            <w:vMerge w:val="restart"/>
            <w:tcBorders>
              <w:top w:val="single" w:sz="4" w:space="0" w:color="auto"/>
              <w:left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Paslaugos pavadinimas</w:t>
            </w:r>
          </w:p>
        </w:tc>
        <w:tc>
          <w:tcPr>
            <w:tcW w:w="858" w:type="dxa"/>
            <w:vMerge w:val="restart"/>
            <w:tcBorders>
              <w:top w:val="single" w:sz="4" w:space="0" w:color="auto"/>
              <w:left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Mato vnt.</w:t>
            </w:r>
          </w:p>
        </w:tc>
        <w:tc>
          <w:tcPr>
            <w:tcW w:w="1246" w:type="dxa"/>
            <w:vMerge w:val="restart"/>
            <w:tcBorders>
              <w:top w:val="single" w:sz="4" w:space="0" w:color="auto"/>
              <w:left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Paslaugos įkainis</w:t>
            </w:r>
          </w:p>
          <w:p w:rsidR="003A3F16" w:rsidRPr="003A3F16" w:rsidRDefault="003A3F16" w:rsidP="003A3F16">
            <w:pPr>
              <w:suppressAutoHyphens/>
              <w:ind w:firstLine="0"/>
              <w:rPr>
                <w:rFonts w:ascii="Times New Roman" w:hAnsi="Times New Roman" w:cs="Times New Roman"/>
                <w:sz w:val="22"/>
                <w:szCs w:val="22"/>
                <w:lang w:eastAsia="ar-SA"/>
              </w:rPr>
            </w:pPr>
            <w:proofErr w:type="spellStart"/>
            <w:r w:rsidRPr="003A3F16">
              <w:rPr>
                <w:rFonts w:ascii="Times New Roman" w:hAnsi="Times New Roman" w:cs="Times New Roman"/>
                <w:sz w:val="22"/>
                <w:szCs w:val="22"/>
                <w:lang w:eastAsia="ar-SA"/>
              </w:rPr>
              <w:t>Eur</w:t>
            </w:r>
            <w:proofErr w:type="spellEnd"/>
            <w:r w:rsidRPr="003A3F16">
              <w:rPr>
                <w:rFonts w:ascii="Times New Roman" w:hAnsi="Times New Roman" w:cs="Times New Roman"/>
                <w:sz w:val="22"/>
                <w:szCs w:val="22"/>
                <w:lang w:eastAsia="ar-SA"/>
              </w:rPr>
              <w:t xml:space="preserve"> su PVM</w:t>
            </w:r>
          </w:p>
        </w:tc>
        <w:tc>
          <w:tcPr>
            <w:tcW w:w="1713" w:type="dxa"/>
            <w:vMerge w:val="restart"/>
            <w:tcBorders>
              <w:top w:val="single" w:sz="4" w:space="0" w:color="auto"/>
              <w:left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Plotas/vnt./val.</w:t>
            </w:r>
          </w:p>
        </w:tc>
        <w:tc>
          <w:tcPr>
            <w:tcW w:w="3132" w:type="dxa"/>
            <w:gridSpan w:val="2"/>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Preliminarūs duomenys 12 mėn.</w:t>
            </w:r>
          </w:p>
        </w:tc>
      </w:tr>
      <w:tr w:rsidR="003A3F16" w:rsidRPr="003A3F16" w:rsidTr="00AA44AC">
        <w:trPr>
          <w:trHeight w:val="326"/>
        </w:trPr>
        <w:tc>
          <w:tcPr>
            <w:tcW w:w="709" w:type="dxa"/>
            <w:vMerge/>
            <w:tcBorders>
              <w:left w:val="single" w:sz="4" w:space="0" w:color="auto"/>
              <w:bottom w:val="single" w:sz="4" w:space="0" w:color="auto"/>
              <w:right w:val="single" w:sz="4" w:space="0" w:color="auto"/>
            </w:tcBorders>
          </w:tcPr>
          <w:p w:rsidR="003A3F16" w:rsidRPr="003A3F16" w:rsidRDefault="003A3F16" w:rsidP="00AA44AC">
            <w:pPr>
              <w:suppressAutoHyphens/>
              <w:jc w:val="center"/>
              <w:rPr>
                <w:rFonts w:ascii="Times New Roman" w:hAnsi="Times New Roman" w:cs="Times New Roman"/>
                <w:sz w:val="22"/>
                <w:szCs w:val="22"/>
                <w:lang w:eastAsia="ar-SA"/>
              </w:rPr>
            </w:pPr>
          </w:p>
        </w:tc>
        <w:tc>
          <w:tcPr>
            <w:tcW w:w="2265" w:type="dxa"/>
            <w:vMerge/>
            <w:tcBorders>
              <w:left w:val="single" w:sz="4" w:space="0" w:color="auto"/>
              <w:bottom w:val="single" w:sz="4" w:space="0" w:color="auto"/>
              <w:right w:val="single" w:sz="4" w:space="0" w:color="auto"/>
            </w:tcBorders>
          </w:tcPr>
          <w:p w:rsidR="003A3F16" w:rsidRPr="003A3F16" w:rsidRDefault="003A3F16" w:rsidP="003A3F16">
            <w:pPr>
              <w:suppressAutoHyphens/>
              <w:jc w:val="center"/>
              <w:rPr>
                <w:rFonts w:ascii="Times New Roman" w:hAnsi="Times New Roman" w:cs="Times New Roman"/>
                <w:sz w:val="22"/>
                <w:szCs w:val="22"/>
                <w:lang w:eastAsia="ar-SA"/>
              </w:rPr>
            </w:pPr>
          </w:p>
        </w:tc>
        <w:tc>
          <w:tcPr>
            <w:tcW w:w="858" w:type="dxa"/>
            <w:vMerge/>
            <w:tcBorders>
              <w:left w:val="single" w:sz="4" w:space="0" w:color="auto"/>
              <w:bottom w:val="single" w:sz="4" w:space="0" w:color="auto"/>
              <w:right w:val="single" w:sz="4" w:space="0" w:color="auto"/>
            </w:tcBorders>
          </w:tcPr>
          <w:p w:rsidR="003A3F16" w:rsidRPr="003A3F16" w:rsidRDefault="003A3F16" w:rsidP="003A3F16">
            <w:pPr>
              <w:suppressAutoHyphens/>
              <w:jc w:val="center"/>
              <w:rPr>
                <w:rFonts w:ascii="Times New Roman" w:hAnsi="Times New Roman" w:cs="Times New Roman"/>
                <w:sz w:val="22"/>
                <w:szCs w:val="22"/>
                <w:lang w:eastAsia="ar-SA"/>
              </w:rPr>
            </w:pPr>
          </w:p>
        </w:tc>
        <w:tc>
          <w:tcPr>
            <w:tcW w:w="1246" w:type="dxa"/>
            <w:vMerge/>
            <w:tcBorders>
              <w:left w:val="single" w:sz="4" w:space="0" w:color="auto"/>
              <w:bottom w:val="single" w:sz="4" w:space="0" w:color="auto"/>
              <w:right w:val="single" w:sz="4" w:space="0" w:color="auto"/>
            </w:tcBorders>
          </w:tcPr>
          <w:p w:rsidR="003A3F16" w:rsidRPr="003A3F16" w:rsidRDefault="003A3F16" w:rsidP="003A3F16">
            <w:pPr>
              <w:suppressAutoHyphens/>
              <w:jc w:val="center"/>
              <w:rPr>
                <w:rFonts w:ascii="Times New Roman" w:hAnsi="Times New Roman" w:cs="Times New Roman"/>
                <w:sz w:val="22"/>
                <w:szCs w:val="22"/>
                <w:lang w:eastAsia="ar-SA"/>
              </w:rPr>
            </w:pPr>
          </w:p>
        </w:tc>
        <w:tc>
          <w:tcPr>
            <w:tcW w:w="1713" w:type="dxa"/>
            <w:vMerge/>
            <w:tcBorders>
              <w:left w:val="single" w:sz="4" w:space="0" w:color="auto"/>
              <w:bottom w:val="single" w:sz="4" w:space="0" w:color="auto"/>
              <w:right w:val="single" w:sz="4" w:space="0" w:color="auto"/>
            </w:tcBorders>
          </w:tcPr>
          <w:p w:rsidR="003A3F16" w:rsidRPr="003A3F16" w:rsidRDefault="003A3F16" w:rsidP="003A3F16">
            <w:pPr>
              <w:suppressAutoHyphens/>
              <w:jc w:val="center"/>
              <w:rPr>
                <w:rFonts w:ascii="Times New Roman" w:hAnsi="Times New Roman" w:cs="Times New Roman"/>
                <w:sz w:val="22"/>
                <w:szCs w:val="22"/>
                <w:lang w:eastAsia="ar-SA"/>
              </w:rPr>
            </w:pP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Kiekis/kartai</w:t>
            </w:r>
          </w:p>
          <w:p w:rsidR="003A3F16" w:rsidRPr="003A3F16" w:rsidRDefault="003A3F16" w:rsidP="003A3F16">
            <w:pPr>
              <w:suppressAutoHyphens/>
              <w:jc w:val="center"/>
              <w:rPr>
                <w:rFonts w:ascii="Times New Roman" w:hAnsi="Times New Roman" w:cs="Times New Roman"/>
                <w:sz w:val="22"/>
                <w:szCs w:val="22"/>
                <w:lang w:eastAsia="ar-SA"/>
              </w:rPr>
            </w:pPr>
          </w:p>
        </w:tc>
        <w:tc>
          <w:tcPr>
            <w:tcW w:w="1617" w:type="dxa"/>
            <w:tcBorders>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Suma </w:t>
            </w:r>
            <w:proofErr w:type="spellStart"/>
            <w:r w:rsidRPr="003A3F16">
              <w:rPr>
                <w:rFonts w:ascii="Times New Roman" w:hAnsi="Times New Roman" w:cs="Times New Roman"/>
                <w:sz w:val="22"/>
                <w:szCs w:val="22"/>
                <w:lang w:eastAsia="ar-SA"/>
              </w:rPr>
              <w:t>Eur</w:t>
            </w:r>
            <w:proofErr w:type="spellEnd"/>
            <w:r w:rsidRPr="003A3F16">
              <w:rPr>
                <w:rFonts w:ascii="Times New Roman" w:hAnsi="Times New Roman" w:cs="Times New Roman"/>
                <w:sz w:val="22"/>
                <w:szCs w:val="22"/>
                <w:lang w:eastAsia="ar-SA"/>
              </w:rPr>
              <w:t xml:space="preserve"> su PVM</w:t>
            </w:r>
          </w:p>
          <w:p w:rsidR="003A3F16" w:rsidRPr="003A3F16" w:rsidRDefault="003A3F16" w:rsidP="003A3F16">
            <w:pPr>
              <w:suppressAutoHyphens/>
              <w:jc w:val="center"/>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ind w:firstLine="0"/>
              <w:rPr>
                <w:rFonts w:ascii="Times New Roman" w:hAnsi="Times New Roman" w:cs="Times New Roman"/>
                <w:sz w:val="22"/>
                <w:szCs w:val="22"/>
                <w:lang w:eastAsia="ar-SA"/>
              </w:rPr>
            </w:pPr>
            <w:r>
              <w:rPr>
                <w:rFonts w:ascii="Times New Roman" w:hAnsi="Times New Roman" w:cs="Times New Roman"/>
                <w:sz w:val="22"/>
                <w:szCs w:val="22"/>
                <w:lang w:eastAsia="ar-SA"/>
              </w:rPr>
              <w:t>1</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2</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3</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4</w:t>
            </w: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5</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6</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val="en-US" w:eastAsia="ar-SA"/>
              </w:rPr>
            </w:pPr>
            <w:r w:rsidRPr="003A3F16">
              <w:rPr>
                <w:rFonts w:ascii="Times New Roman" w:hAnsi="Times New Roman" w:cs="Times New Roman"/>
                <w:sz w:val="22"/>
                <w:szCs w:val="22"/>
                <w:lang w:eastAsia="ar-SA"/>
              </w:rPr>
              <w:t xml:space="preserve">7 </w:t>
            </w:r>
            <w:r w:rsidRPr="003A3F16">
              <w:rPr>
                <w:rFonts w:ascii="Times New Roman" w:hAnsi="Times New Roman" w:cs="Times New Roman"/>
                <w:sz w:val="22"/>
                <w:szCs w:val="22"/>
                <w:lang w:val="en-US" w:eastAsia="ar-SA"/>
              </w:rPr>
              <w:t>= 4x5x6</w:t>
            </w: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Rankinis šaligatvių, </w:t>
            </w:r>
            <w:r w:rsidRPr="003A3F16">
              <w:rPr>
                <w:rFonts w:ascii="Times New Roman" w:hAnsi="Times New Roman" w:cs="Times New Roman"/>
                <w:sz w:val="22"/>
                <w:szCs w:val="22"/>
                <w:lang w:eastAsia="ar-SA"/>
              </w:rPr>
              <w:lastRenderedPageBreak/>
              <w:t xml:space="preserve">pėsčiųjų takų, peronų, aikštelių valymas, šlavimas </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vertAlign w:val="superscript"/>
                <w:lang w:eastAsia="ar-SA"/>
              </w:rPr>
            </w:pPr>
            <w:r w:rsidRPr="003A3F16">
              <w:rPr>
                <w:rFonts w:ascii="Times New Roman" w:hAnsi="Times New Roman" w:cs="Times New Roman"/>
                <w:sz w:val="22"/>
                <w:szCs w:val="22"/>
                <w:lang w:eastAsia="ar-SA"/>
              </w:rPr>
              <w:lastRenderedPageBreak/>
              <w:t>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9</w:t>
            </w:r>
            <w:r w:rsidR="00A67009">
              <w:rPr>
                <w:rFonts w:ascii="Times New Roman" w:hAnsi="Times New Roman" w:cs="Times New Roman"/>
                <w:sz w:val="22"/>
                <w:szCs w:val="22"/>
                <w:lang w:eastAsia="ar-SA"/>
              </w:rPr>
              <w:t>944</w:t>
            </w:r>
            <w:r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32</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Rankinis gatvės važiuojamosios dalies ( prie bordiūro esanti dalis </w:t>
            </w:r>
            <w:smartTag w:uri="urn:schemas-microsoft-com:office:smarttags" w:element="metricconverter">
              <w:smartTagPr>
                <w:attr w:name="ProductID" w:val="1 m"/>
              </w:smartTagPr>
              <w:r w:rsidRPr="003A3F16">
                <w:rPr>
                  <w:rFonts w:ascii="Times New Roman" w:hAnsi="Times New Roman" w:cs="Times New Roman"/>
                  <w:sz w:val="22"/>
                  <w:szCs w:val="22"/>
                  <w:lang w:eastAsia="ar-SA"/>
                </w:rPr>
                <w:t>1 m</w:t>
              </w:r>
            </w:smartTag>
            <w:r w:rsidRPr="003A3F16">
              <w:rPr>
                <w:rFonts w:ascii="Times New Roman" w:hAnsi="Times New Roman" w:cs="Times New Roman"/>
                <w:sz w:val="22"/>
                <w:szCs w:val="22"/>
                <w:lang w:eastAsia="ar-SA"/>
              </w:rPr>
              <w:t>) valymas/ šlavimas ( pavasarį, vasarą, rudenį)</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5</w:t>
            </w:r>
            <w:r w:rsidR="00A67009">
              <w:rPr>
                <w:rFonts w:ascii="Times New Roman" w:hAnsi="Times New Roman" w:cs="Times New Roman"/>
                <w:sz w:val="22"/>
                <w:szCs w:val="22"/>
                <w:lang w:eastAsia="ar-SA"/>
              </w:rPr>
              <w:t>074</w:t>
            </w:r>
            <w:r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24</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Užterštos kelio dangos ( prie bordiūro esanti dalis </w:t>
            </w:r>
            <w:smartTag w:uri="urn:schemas-microsoft-com:office:smarttags" w:element="metricconverter">
              <w:smartTagPr>
                <w:attr w:name="ProductID" w:val="1 m"/>
              </w:smartTagPr>
              <w:r w:rsidRPr="003A3F16">
                <w:rPr>
                  <w:rFonts w:ascii="Times New Roman" w:hAnsi="Times New Roman" w:cs="Times New Roman"/>
                  <w:sz w:val="22"/>
                  <w:szCs w:val="22"/>
                  <w:lang w:eastAsia="ar-SA"/>
                </w:rPr>
                <w:t>1 m</w:t>
              </w:r>
            </w:smartTag>
            <w:r w:rsidRPr="003A3F16">
              <w:rPr>
                <w:rFonts w:ascii="Times New Roman" w:hAnsi="Times New Roman" w:cs="Times New Roman"/>
                <w:sz w:val="22"/>
                <w:szCs w:val="22"/>
                <w:lang w:eastAsia="ar-SA"/>
              </w:rPr>
              <w:t>) valymas mechanizuotu būdu (pavasarį, vasarą, rudenį)</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5</w:t>
            </w:r>
            <w:r w:rsidR="00A67009">
              <w:rPr>
                <w:rFonts w:ascii="Times New Roman" w:hAnsi="Times New Roman" w:cs="Times New Roman"/>
                <w:sz w:val="22"/>
                <w:szCs w:val="22"/>
                <w:lang w:eastAsia="ar-SA"/>
              </w:rPr>
              <w:t>074</w:t>
            </w:r>
            <w:r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8</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Sniego valymas nuo šaligatvių ir pėsčiųjų takų mechanizuotu būdu</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7819</w:t>
            </w:r>
            <w:r w:rsidR="003A3F16"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16</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Rankinis  sniego, ledo pašalinimas nuo aikštelių ir peronų</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435</w:t>
            </w:r>
            <w:r w:rsidR="003A3F16"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16</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Šaligatvių, pėsčiųjų takų, peronų barstymas smėlio ir druskos mišiniu</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1m</w:t>
            </w:r>
            <w:r w:rsidRPr="003A3F16">
              <w:rPr>
                <w:rFonts w:ascii="Times New Roman" w:hAnsi="Times New Roman" w:cs="Times New Roman"/>
                <w:sz w:val="22"/>
                <w:szCs w:val="22"/>
                <w:vertAlign w:val="superscript"/>
                <w:lang w:eastAsia="ar-SA"/>
              </w:rPr>
              <w:t>2</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99</w:t>
            </w:r>
            <w:r w:rsidR="00A67009">
              <w:rPr>
                <w:rFonts w:ascii="Times New Roman" w:hAnsi="Times New Roman" w:cs="Times New Roman"/>
                <w:sz w:val="22"/>
                <w:szCs w:val="22"/>
                <w:lang w:eastAsia="ar-SA"/>
              </w:rPr>
              <w:t>44</w:t>
            </w:r>
            <w:r w:rsidRPr="003A3F16">
              <w:rPr>
                <w:rFonts w:ascii="Times New Roman" w:hAnsi="Times New Roman" w:cs="Times New Roman"/>
                <w:sz w:val="22"/>
                <w:szCs w:val="22"/>
                <w:lang w:eastAsia="ar-SA"/>
              </w:rPr>
              <w:t xml:space="preserve"> m²</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16</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Žolės pjovimas, naudojant mažosios mechanizacijos priemones</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ha</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r w:rsidR="00A67009">
              <w:rPr>
                <w:rFonts w:ascii="Times New Roman" w:hAnsi="Times New Roman" w:cs="Times New Roman"/>
                <w:sz w:val="22"/>
                <w:szCs w:val="22"/>
                <w:lang w:eastAsia="ar-SA"/>
              </w:rPr>
              <w:t>224</w:t>
            </w:r>
            <w:r w:rsidRPr="003A3F16">
              <w:rPr>
                <w:rFonts w:ascii="Times New Roman" w:hAnsi="Times New Roman" w:cs="Times New Roman"/>
                <w:sz w:val="22"/>
                <w:szCs w:val="22"/>
                <w:lang w:eastAsia="ar-SA"/>
              </w:rPr>
              <w:t xml:space="preserve"> ha</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12</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rPr>
          <w:trHeight w:val="898"/>
        </w:trPr>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Mechanizuotas žolės pjovimas (traktoriumi-rotacine šienapjove)</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ha</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2,42</w:t>
            </w:r>
            <w:r w:rsidR="003A3F16" w:rsidRPr="003A3F16">
              <w:rPr>
                <w:rFonts w:ascii="Times New Roman" w:hAnsi="Times New Roman" w:cs="Times New Roman"/>
                <w:sz w:val="22"/>
                <w:szCs w:val="22"/>
                <w:lang w:eastAsia="ar-SA"/>
              </w:rPr>
              <w:t xml:space="preserve"> ha</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12</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Žolės, lapų sugrėbimas į krūvas, kai užterštumas vidutinis ir  išvežimas</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w:t>
            </w:r>
            <w:r w:rsidRPr="003A3F16">
              <w:rPr>
                <w:rFonts w:ascii="Times New Roman" w:hAnsi="Times New Roman" w:cs="Times New Roman"/>
                <w:sz w:val="22"/>
                <w:szCs w:val="22"/>
                <w:vertAlign w:val="superscript"/>
                <w:lang w:eastAsia="ar-SA"/>
              </w:rPr>
              <w:t>3</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4</w:t>
            </w:r>
            <w:r w:rsidR="003A3F16" w:rsidRPr="003A3F16">
              <w:rPr>
                <w:rFonts w:ascii="Times New Roman" w:hAnsi="Times New Roman" w:cs="Times New Roman"/>
                <w:sz w:val="22"/>
                <w:szCs w:val="22"/>
                <w:lang w:eastAsia="ar-SA"/>
              </w:rPr>
              <w:t>0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Susikaupusių sąšlavų susėmimas ir išvežimas </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vertAlign w:val="superscript"/>
                <w:lang w:eastAsia="ar-SA"/>
              </w:rPr>
            </w:pPr>
            <w:r w:rsidRPr="003A3F16">
              <w:rPr>
                <w:rFonts w:ascii="Times New Roman" w:hAnsi="Times New Roman" w:cs="Times New Roman"/>
                <w:sz w:val="22"/>
                <w:szCs w:val="22"/>
                <w:lang w:eastAsia="ar-SA"/>
              </w:rPr>
              <w:t xml:space="preserve"> 1 m</w:t>
            </w:r>
            <w:r w:rsidRPr="003A3F16">
              <w:rPr>
                <w:rFonts w:ascii="Times New Roman" w:hAnsi="Times New Roman" w:cs="Times New Roman"/>
                <w:sz w:val="22"/>
                <w:szCs w:val="22"/>
                <w:vertAlign w:val="superscript"/>
                <w:lang w:eastAsia="ar-SA"/>
              </w:rPr>
              <w:t>3</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36</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Smėlio atvežimas (</w:t>
            </w:r>
            <w:proofErr w:type="spellStart"/>
            <w:r w:rsidRPr="003A3F16">
              <w:rPr>
                <w:rFonts w:ascii="Times New Roman" w:hAnsi="Times New Roman" w:cs="Times New Roman"/>
                <w:sz w:val="22"/>
                <w:szCs w:val="22"/>
                <w:lang w:eastAsia="ar-SA"/>
              </w:rPr>
              <w:t>smėliadėžės</w:t>
            </w:r>
            <w:proofErr w:type="spellEnd"/>
            <w:r w:rsidRPr="003A3F16">
              <w:rPr>
                <w:rFonts w:ascii="Times New Roman" w:hAnsi="Times New Roman" w:cs="Times New Roman"/>
                <w:sz w:val="22"/>
                <w:szCs w:val="22"/>
                <w:lang w:eastAsia="ar-SA"/>
              </w:rPr>
              <w:t xml:space="preserve"> vaikų žaidimų aikštelėse </w:t>
            </w:r>
            <w:r w:rsidRPr="003A3F16">
              <w:rPr>
                <w:rFonts w:ascii="Times New Roman" w:hAnsi="Times New Roman" w:cs="Times New Roman"/>
                <w:sz w:val="22"/>
                <w:szCs w:val="22"/>
                <w:lang w:eastAsia="ar-SA"/>
              </w:rPr>
              <w:lastRenderedPageBreak/>
              <w:t xml:space="preserve">Sodų g. ir Instituto g. </w:t>
            </w:r>
            <w:proofErr w:type="spellStart"/>
            <w:r w:rsidRPr="003A3F16">
              <w:rPr>
                <w:rFonts w:ascii="Times New Roman" w:hAnsi="Times New Roman" w:cs="Times New Roman"/>
                <w:sz w:val="22"/>
                <w:szCs w:val="22"/>
                <w:lang w:eastAsia="ar-SA"/>
              </w:rPr>
              <w:t>Gudienos</w:t>
            </w:r>
            <w:proofErr w:type="spellEnd"/>
            <w:r w:rsidRPr="003A3F16">
              <w:rPr>
                <w:rFonts w:ascii="Times New Roman" w:hAnsi="Times New Roman" w:cs="Times New Roman"/>
                <w:sz w:val="22"/>
                <w:szCs w:val="22"/>
                <w:lang w:eastAsia="ar-SA"/>
              </w:rPr>
              <w:t xml:space="preserve"> k., tinklinio </w:t>
            </w:r>
            <w:proofErr w:type="spellStart"/>
            <w:r w:rsidRPr="003A3F16">
              <w:rPr>
                <w:rFonts w:ascii="Times New Roman" w:hAnsi="Times New Roman" w:cs="Times New Roman"/>
                <w:sz w:val="22"/>
                <w:szCs w:val="22"/>
                <w:lang w:eastAsia="ar-SA"/>
              </w:rPr>
              <w:t>aikšelė</w:t>
            </w:r>
            <w:proofErr w:type="spellEnd"/>
            <w:r w:rsidRPr="003A3F16">
              <w:rPr>
                <w:rFonts w:ascii="Times New Roman" w:hAnsi="Times New Roman" w:cs="Times New Roman"/>
                <w:sz w:val="22"/>
                <w:szCs w:val="22"/>
                <w:lang w:eastAsia="ar-SA"/>
              </w:rPr>
              <w:t xml:space="preserve"> ir paplūdimys poilsiavietėje </w:t>
            </w:r>
            <w:proofErr w:type="spellStart"/>
            <w:r w:rsidRPr="003A3F16">
              <w:rPr>
                <w:rFonts w:ascii="Times New Roman" w:hAnsi="Times New Roman" w:cs="Times New Roman"/>
                <w:sz w:val="22"/>
                <w:szCs w:val="22"/>
                <w:lang w:eastAsia="ar-SA"/>
              </w:rPr>
              <w:t>Gudienos</w:t>
            </w:r>
            <w:proofErr w:type="spellEnd"/>
            <w:r w:rsidRPr="003A3F16">
              <w:rPr>
                <w:rFonts w:ascii="Times New Roman" w:hAnsi="Times New Roman" w:cs="Times New Roman"/>
                <w:sz w:val="22"/>
                <w:szCs w:val="22"/>
                <w:lang w:eastAsia="ar-SA"/>
              </w:rPr>
              <w:t xml:space="preserve"> k.)</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lastRenderedPageBreak/>
              <w:t>1 m</w:t>
            </w:r>
            <w:r w:rsidRPr="003A3F16">
              <w:rPr>
                <w:rFonts w:ascii="Times New Roman" w:hAnsi="Times New Roman" w:cs="Times New Roman"/>
                <w:sz w:val="22"/>
                <w:szCs w:val="22"/>
                <w:vertAlign w:val="superscript"/>
                <w:lang w:eastAsia="ar-SA"/>
              </w:rPr>
              <w:t>3</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32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numPr>
                <w:ilvl w:val="0"/>
                <w:numId w:val="21"/>
              </w:numPr>
              <w:suppressAutoHyphens/>
              <w:autoSpaceDE w:val="0"/>
              <w:spacing w:line="240" w:lineRule="auto"/>
              <w:jc w:val="left"/>
              <w:rPr>
                <w:rFonts w:ascii="Times New Roman" w:hAnsi="Times New Roman" w:cs="Times New Roman"/>
                <w:sz w:val="22"/>
                <w:szCs w:val="22"/>
                <w:lang w:eastAsia="ar-SA"/>
              </w:rPr>
            </w:pP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Mechanizuotas smėlio-druskos mišinio barstymas ant asfaltuotų gatvių</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km</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r w:rsidR="00A67009">
              <w:rPr>
                <w:rFonts w:ascii="Times New Roman" w:hAnsi="Times New Roman" w:cs="Times New Roman"/>
                <w:sz w:val="22"/>
                <w:szCs w:val="22"/>
                <w:lang w:eastAsia="ar-SA"/>
              </w:rPr>
              <w:t>2</w:t>
            </w:r>
            <w:r w:rsidRPr="003A3F16">
              <w:rPr>
                <w:rFonts w:ascii="Times New Roman" w:hAnsi="Times New Roman" w:cs="Times New Roman"/>
                <w:sz w:val="22"/>
                <w:szCs w:val="22"/>
                <w:lang w:eastAsia="ar-SA"/>
              </w:rPr>
              <w:t>,3</w:t>
            </w:r>
            <w:r w:rsidR="00A67009">
              <w:rPr>
                <w:rFonts w:ascii="Times New Roman" w:hAnsi="Times New Roman" w:cs="Times New Roman"/>
                <w:sz w:val="22"/>
                <w:szCs w:val="22"/>
                <w:lang w:eastAsia="ar-SA"/>
              </w:rPr>
              <w:t>56</w:t>
            </w:r>
            <w:r w:rsidRPr="003A3F16">
              <w:rPr>
                <w:rFonts w:ascii="Times New Roman" w:hAnsi="Times New Roman" w:cs="Times New Roman"/>
                <w:sz w:val="22"/>
                <w:szCs w:val="22"/>
                <w:lang w:eastAsia="ar-SA"/>
              </w:rPr>
              <w:t xml:space="preserve"> km</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jc w:val="left"/>
              <w:rPr>
                <w:rFonts w:ascii="Times New Roman" w:hAnsi="Times New Roman" w:cs="Times New Roman"/>
                <w:sz w:val="22"/>
                <w:szCs w:val="22"/>
                <w:lang w:eastAsia="ar-SA"/>
              </w:rPr>
            </w:pPr>
            <w:r>
              <w:rPr>
                <w:rFonts w:ascii="Times New Roman" w:hAnsi="Times New Roman" w:cs="Times New Roman"/>
                <w:sz w:val="22"/>
                <w:szCs w:val="22"/>
                <w:lang w:eastAsia="ar-SA"/>
              </w:rPr>
              <w:t>24</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suppressAutoHyphens/>
              <w:autoSpaceDE w:val="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   13.</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Mechanizuotas sniego valymas nuo seniūnijos gatvių  </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67009">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1 </w:t>
            </w:r>
            <w:r w:rsidR="00A67009">
              <w:rPr>
                <w:rFonts w:ascii="Times New Roman" w:hAnsi="Times New Roman" w:cs="Times New Roman"/>
                <w:sz w:val="22"/>
                <w:szCs w:val="22"/>
                <w:lang w:eastAsia="ar-SA"/>
              </w:rPr>
              <w:t>km</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8,969  km</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12</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suppressAutoHyphens/>
              <w:autoSpaceDE w:val="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   14.</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Iškirstų krūmų šakų išvežimas</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m³</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50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suppressAutoHyphens/>
              <w:autoSpaceDE w:val="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   15.</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Bendras kapinių priežiūros įkainis</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mėn.</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12 mėn.</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1</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suppressAutoHyphens/>
              <w:autoSpaceDE w:val="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   16.</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Žaliųjų atliekų rūšiavimas seniūnijos kapinių konteinerių aikštelėse</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m³</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7,7</w:t>
            </w:r>
            <w:r w:rsidR="003A3F16" w:rsidRPr="003A3F16">
              <w:rPr>
                <w:rFonts w:ascii="Times New Roman" w:hAnsi="Times New Roman" w:cs="Times New Roman"/>
                <w:sz w:val="22"/>
                <w:szCs w:val="22"/>
                <w:lang w:eastAsia="ar-SA"/>
              </w:rPr>
              <w:t xml:space="preserve">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jc w:val="left"/>
              <w:rPr>
                <w:rFonts w:ascii="Times New Roman" w:hAnsi="Times New Roman" w:cs="Times New Roman"/>
                <w:sz w:val="22"/>
                <w:szCs w:val="22"/>
                <w:lang w:eastAsia="ar-SA"/>
              </w:rPr>
            </w:pPr>
            <w:r>
              <w:rPr>
                <w:rFonts w:ascii="Times New Roman" w:hAnsi="Times New Roman" w:cs="Times New Roman"/>
                <w:sz w:val="22"/>
                <w:szCs w:val="22"/>
                <w:lang w:eastAsia="ar-SA"/>
              </w:rPr>
              <w:t>10</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709"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widowControl w:val="0"/>
              <w:suppressAutoHyphens/>
              <w:autoSpaceDE w:val="0"/>
              <w:jc w:val="left"/>
              <w:rPr>
                <w:rFonts w:ascii="Times New Roman" w:hAnsi="Times New Roman" w:cs="Times New Roman"/>
                <w:sz w:val="22"/>
                <w:szCs w:val="22"/>
                <w:lang w:eastAsia="ar-SA"/>
              </w:rPr>
            </w:pPr>
            <w:r w:rsidRPr="003A3F16">
              <w:rPr>
                <w:rFonts w:ascii="Times New Roman" w:hAnsi="Times New Roman" w:cs="Times New Roman"/>
                <w:sz w:val="22"/>
                <w:szCs w:val="22"/>
                <w:lang w:eastAsia="ar-SA"/>
              </w:rPr>
              <w:t xml:space="preserve">   17.</w:t>
            </w:r>
          </w:p>
        </w:tc>
        <w:tc>
          <w:tcPr>
            <w:tcW w:w="2265"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ind w:firstLine="0"/>
              <w:rPr>
                <w:rFonts w:ascii="Times New Roman" w:hAnsi="Times New Roman" w:cs="Times New Roman"/>
                <w:sz w:val="22"/>
                <w:szCs w:val="22"/>
                <w:lang w:eastAsia="ar-SA"/>
              </w:rPr>
            </w:pPr>
            <w:r w:rsidRPr="003A3F16">
              <w:rPr>
                <w:rFonts w:ascii="Times New Roman" w:hAnsi="Times New Roman" w:cs="Times New Roman"/>
                <w:sz w:val="22"/>
                <w:szCs w:val="22"/>
                <w:lang w:eastAsia="ar-SA"/>
              </w:rPr>
              <w:t>Išsausėjusių šulinių ir vandens talpos pildymas seniūnijos kapinėse</w:t>
            </w:r>
          </w:p>
        </w:tc>
        <w:tc>
          <w:tcPr>
            <w:tcW w:w="858"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r w:rsidRPr="003A3F16">
              <w:rPr>
                <w:rFonts w:ascii="Times New Roman" w:hAnsi="Times New Roman" w:cs="Times New Roman"/>
                <w:sz w:val="22"/>
                <w:szCs w:val="22"/>
                <w:lang w:eastAsia="ar-SA"/>
              </w:rPr>
              <w:t>1 m³</w:t>
            </w:r>
          </w:p>
        </w:tc>
        <w:tc>
          <w:tcPr>
            <w:tcW w:w="1246"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c>
          <w:tcPr>
            <w:tcW w:w="1713"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ind w:firstLine="0"/>
              <w:jc w:val="left"/>
              <w:rPr>
                <w:rFonts w:ascii="Times New Roman" w:hAnsi="Times New Roman" w:cs="Times New Roman"/>
                <w:sz w:val="22"/>
                <w:szCs w:val="22"/>
                <w:lang w:eastAsia="ar-SA"/>
              </w:rPr>
            </w:pPr>
            <w:r>
              <w:rPr>
                <w:rFonts w:ascii="Times New Roman" w:hAnsi="Times New Roman" w:cs="Times New Roman"/>
                <w:sz w:val="22"/>
                <w:szCs w:val="22"/>
                <w:lang w:eastAsia="ar-SA"/>
              </w:rPr>
              <w:t>3</w:t>
            </w:r>
            <w:r w:rsidR="003A3F16" w:rsidRPr="003A3F16">
              <w:rPr>
                <w:rFonts w:ascii="Times New Roman" w:hAnsi="Times New Roman" w:cs="Times New Roman"/>
                <w:sz w:val="22"/>
                <w:szCs w:val="22"/>
                <w:lang w:eastAsia="ar-SA"/>
              </w:rPr>
              <w:t xml:space="preserve"> m³</w:t>
            </w:r>
          </w:p>
        </w:tc>
        <w:tc>
          <w:tcPr>
            <w:tcW w:w="1515" w:type="dxa"/>
            <w:tcBorders>
              <w:top w:val="single" w:sz="4" w:space="0" w:color="auto"/>
              <w:left w:val="single" w:sz="4" w:space="0" w:color="auto"/>
              <w:bottom w:val="single" w:sz="4" w:space="0" w:color="auto"/>
              <w:right w:val="single" w:sz="4" w:space="0" w:color="auto"/>
            </w:tcBorders>
          </w:tcPr>
          <w:p w:rsidR="003A3F16" w:rsidRPr="003A3F16" w:rsidRDefault="00A67009" w:rsidP="003A3F16">
            <w:pPr>
              <w:suppressAutoHyphens/>
              <w:jc w:val="left"/>
              <w:rPr>
                <w:rFonts w:ascii="Times New Roman" w:hAnsi="Times New Roman" w:cs="Times New Roman"/>
                <w:sz w:val="22"/>
                <w:szCs w:val="22"/>
                <w:lang w:eastAsia="ar-SA"/>
              </w:rPr>
            </w:pPr>
            <w:r>
              <w:rPr>
                <w:rFonts w:ascii="Times New Roman" w:hAnsi="Times New Roman" w:cs="Times New Roman"/>
                <w:sz w:val="22"/>
                <w:szCs w:val="22"/>
                <w:lang w:eastAsia="ar-SA"/>
              </w:rPr>
              <w:t>5</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3A3F16">
            <w:pPr>
              <w:suppressAutoHyphens/>
              <w:jc w:val="left"/>
              <w:rPr>
                <w:rFonts w:ascii="Times New Roman" w:hAnsi="Times New Roman" w:cs="Times New Roman"/>
                <w:sz w:val="22"/>
                <w:szCs w:val="22"/>
                <w:lang w:eastAsia="ar-SA"/>
              </w:rPr>
            </w:pPr>
          </w:p>
        </w:tc>
      </w:tr>
      <w:tr w:rsidR="003A3F16" w:rsidRPr="003A3F16" w:rsidTr="00AA44AC">
        <w:tc>
          <w:tcPr>
            <w:tcW w:w="8306" w:type="dxa"/>
            <w:gridSpan w:val="6"/>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jc w:val="right"/>
              <w:rPr>
                <w:rFonts w:ascii="Times New Roman" w:hAnsi="Times New Roman" w:cs="Times New Roman"/>
                <w:b/>
                <w:sz w:val="22"/>
                <w:szCs w:val="22"/>
                <w:lang w:eastAsia="ar-SA"/>
              </w:rPr>
            </w:pPr>
            <w:r w:rsidRPr="003A3F16">
              <w:rPr>
                <w:rFonts w:ascii="Times New Roman" w:hAnsi="Times New Roman" w:cs="Times New Roman"/>
                <w:b/>
                <w:sz w:val="22"/>
                <w:szCs w:val="22"/>
                <w:lang w:eastAsia="ar-SA"/>
              </w:rPr>
              <w:t>IŠ VISO:</w:t>
            </w:r>
          </w:p>
        </w:tc>
        <w:tc>
          <w:tcPr>
            <w:tcW w:w="1617" w:type="dxa"/>
            <w:tcBorders>
              <w:top w:val="single" w:sz="4" w:space="0" w:color="auto"/>
              <w:left w:val="single" w:sz="4" w:space="0" w:color="auto"/>
              <w:bottom w:val="single" w:sz="4" w:space="0" w:color="auto"/>
              <w:right w:val="single" w:sz="4" w:space="0" w:color="auto"/>
            </w:tcBorders>
          </w:tcPr>
          <w:p w:rsidR="003A3F16" w:rsidRPr="003A3F16" w:rsidRDefault="003A3F16" w:rsidP="00AA44AC">
            <w:pPr>
              <w:suppressAutoHyphens/>
              <w:rPr>
                <w:rFonts w:ascii="Times New Roman" w:hAnsi="Times New Roman" w:cs="Times New Roman"/>
                <w:sz w:val="22"/>
                <w:szCs w:val="22"/>
                <w:lang w:eastAsia="ar-SA"/>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EB0540" w:rsidRDefault="00EB0540" w:rsidP="00506996">
      <w:pPr>
        <w:pStyle w:val="Betarp"/>
        <w:spacing w:line="300" w:lineRule="auto"/>
        <w:ind w:firstLine="0"/>
        <w:contextualSpacing/>
        <w:rPr>
          <w:rFonts w:ascii="Arial" w:eastAsiaTheme="minorHAnsi" w:hAnsi="Arial" w:cs="Arial"/>
          <w:bCs/>
          <w:iCs/>
        </w:rPr>
      </w:pPr>
    </w:p>
    <w:p w:rsidR="00E94963" w:rsidRDefault="00E94963" w:rsidP="00506996">
      <w:pPr>
        <w:pStyle w:val="Betarp"/>
        <w:spacing w:line="300" w:lineRule="auto"/>
        <w:ind w:firstLine="0"/>
        <w:contextualSpacing/>
        <w:rPr>
          <w:rFonts w:ascii="Arial" w:eastAsiaTheme="minorHAnsi" w:hAnsi="Arial" w:cs="Arial"/>
          <w:bCs/>
          <w:iCs/>
        </w:rPr>
      </w:pPr>
    </w:p>
    <w:p w:rsidR="00E94963" w:rsidRDefault="00E94963"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Default="007D6542"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Default="00A67009" w:rsidP="00506996">
      <w:pPr>
        <w:spacing w:line="240" w:lineRule="auto"/>
        <w:ind w:left="7314" w:firstLine="0"/>
        <w:rPr>
          <w:rFonts w:ascii="Times New Roman" w:hAnsi="Times New Roman" w:cs="Times New Roman"/>
          <w:sz w:val="24"/>
          <w:szCs w:val="24"/>
        </w:rPr>
      </w:pPr>
    </w:p>
    <w:p w:rsidR="00A67009" w:rsidRPr="002D3CD4" w:rsidRDefault="00A67009"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EB0540" w:rsidRDefault="00EB0540" w:rsidP="005C6C38">
      <w:pPr>
        <w:ind w:firstLine="0"/>
        <w:rPr>
          <w:rFonts w:ascii="Times New Roman" w:hAnsi="Times New Roman" w:cs="Times New Roman"/>
          <w:sz w:val="24"/>
          <w:szCs w:val="24"/>
        </w:rPr>
      </w:pPr>
    </w:p>
    <w:p w:rsidR="00A67009" w:rsidRDefault="00A67009" w:rsidP="00010244">
      <w:pPr>
        <w:ind w:firstLine="7371"/>
        <w:jc w:val="right"/>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5C6C38" w:rsidRDefault="005C6C38" w:rsidP="002D3CD4">
      <w:pPr>
        <w:widowControl w:val="0"/>
        <w:snapToGrid w:val="0"/>
        <w:spacing w:line="36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Pr="00E84384" w:rsidRDefault="00E84384" w:rsidP="00D046C5">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4"/>
          <w:szCs w:val="24"/>
          <w:lang w:eastAsia="en-US"/>
        </w:rPr>
      </w:pPr>
    </w:p>
    <w:sectPr w:rsidR="00E84384"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79" w:rsidRDefault="00F81579" w:rsidP="00D05666">
      <w:r>
        <w:separator/>
      </w:r>
    </w:p>
  </w:endnote>
  <w:endnote w:type="continuationSeparator" w:id="0">
    <w:p w:rsidR="00F81579" w:rsidRDefault="00F81579" w:rsidP="00D05666">
      <w:r>
        <w:continuationSeparator/>
      </w:r>
    </w:p>
  </w:endnote>
  <w:endnote w:type="continuationNotice" w:id="1">
    <w:p w:rsidR="00F81579" w:rsidRDefault="00F81579">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79" w:rsidRDefault="00F81579" w:rsidP="00D05666">
      <w:r>
        <w:separator/>
      </w:r>
    </w:p>
  </w:footnote>
  <w:footnote w:type="continuationSeparator" w:id="0">
    <w:p w:rsidR="00F81579" w:rsidRDefault="00F81579" w:rsidP="00D05666">
      <w:r>
        <w:continuationSeparator/>
      </w:r>
    </w:p>
  </w:footnote>
  <w:footnote w:type="continuationNotice" w:id="1">
    <w:p w:rsidR="00F81579" w:rsidRDefault="00F81579">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B055DF"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2">
    <w:nsid w:val="01E604F1"/>
    <w:multiLevelType w:val="multilevel"/>
    <w:tmpl w:val="34B08DA0"/>
    <w:lvl w:ilvl="0">
      <w:start w:val="1"/>
      <w:numFmt w:val="decimal"/>
      <w:lvlText w:val="%1."/>
      <w:lvlJc w:val="left"/>
      <w:pPr>
        <w:ind w:left="928"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8">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9">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4"/>
  </w:num>
  <w:num w:numId="2">
    <w:abstractNumId w:val="16"/>
  </w:num>
  <w:num w:numId="3">
    <w:abstractNumId w:val="11"/>
  </w:num>
  <w:num w:numId="4">
    <w:abstractNumId w:val="19"/>
  </w:num>
  <w:num w:numId="5">
    <w:abstractNumId w:val="6"/>
  </w:num>
  <w:num w:numId="6">
    <w:abstractNumId w:val="3"/>
  </w:num>
  <w:num w:numId="7">
    <w:abstractNumId w:val="12"/>
  </w:num>
  <w:num w:numId="8">
    <w:abstractNumId w:val="2"/>
  </w:num>
  <w:num w:numId="9">
    <w:abstractNumId w:val="18"/>
  </w:num>
  <w:num w:numId="10">
    <w:abstractNumId w:val="15"/>
  </w:num>
  <w:num w:numId="11">
    <w:abstractNumId w:val="17"/>
  </w:num>
  <w:num w:numId="12">
    <w:abstractNumId w:val="14"/>
  </w:num>
  <w:num w:numId="13">
    <w:abstractNumId w:val="20"/>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9"/>
  </w:num>
  <w:num w:numId="19">
    <w:abstractNumId w:val="8"/>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14338"/>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815"/>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05"/>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5CC"/>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129"/>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3EA"/>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0B"/>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3E3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4B"/>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B57"/>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3F16"/>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C9"/>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364A"/>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6FDE"/>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A03"/>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C38"/>
    <w:rsid w:val="005C6D8F"/>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149"/>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333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6C"/>
    <w:rsid w:val="00764FD6"/>
    <w:rsid w:val="007654C6"/>
    <w:rsid w:val="00765F24"/>
    <w:rsid w:val="00766211"/>
    <w:rsid w:val="00766A3E"/>
    <w:rsid w:val="00767780"/>
    <w:rsid w:val="00771EC8"/>
    <w:rsid w:val="007720C2"/>
    <w:rsid w:val="007720C7"/>
    <w:rsid w:val="007724D3"/>
    <w:rsid w:val="007731F0"/>
    <w:rsid w:val="007740AD"/>
    <w:rsid w:val="00774FA3"/>
    <w:rsid w:val="0077554C"/>
    <w:rsid w:val="007763E1"/>
    <w:rsid w:val="00777670"/>
    <w:rsid w:val="007809E5"/>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AFC"/>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B50"/>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F45"/>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3729F"/>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093"/>
    <w:rsid w:val="00983A43"/>
    <w:rsid w:val="009841CD"/>
    <w:rsid w:val="00984F6B"/>
    <w:rsid w:val="009855D4"/>
    <w:rsid w:val="00985A84"/>
    <w:rsid w:val="00985BB8"/>
    <w:rsid w:val="00985F55"/>
    <w:rsid w:val="009861F7"/>
    <w:rsid w:val="009867DC"/>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009"/>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06C"/>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4BA2"/>
    <w:rsid w:val="00AF5CF4"/>
    <w:rsid w:val="00AF6074"/>
    <w:rsid w:val="00AF62E6"/>
    <w:rsid w:val="00AF6844"/>
    <w:rsid w:val="00AF76C1"/>
    <w:rsid w:val="00AF7FB3"/>
    <w:rsid w:val="00B004F2"/>
    <w:rsid w:val="00B00C12"/>
    <w:rsid w:val="00B00E6F"/>
    <w:rsid w:val="00B012CF"/>
    <w:rsid w:val="00B01C30"/>
    <w:rsid w:val="00B055DF"/>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BA2"/>
    <w:rsid w:val="00B24214"/>
    <w:rsid w:val="00B2459A"/>
    <w:rsid w:val="00B248F1"/>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74F"/>
    <w:rsid w:val="00B47C05"/>
    <w:rsid w:val="00B47EC3"/>
    <w:rsid w:val="00B50760"/>
    <w:rsid w:val="00B50A49"/>
    <w:rsid w:val="00B50E50"/>
    <w:rsid w:val="00B5221E"/>
    <w:rsid w:val="00B522AC"/>
    <w:rsid w:val="00B52705"/>
    <w:rsid w:val="00B5429E"/>
    <w:rsid w:val="00B549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27DE4"/>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F46"/>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6C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1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87315"/>
    <w:rsid w:val="00E909CE"/>
    <w:rsid w:val="00E90CF5"/>
    <w:rsid w:val="00E90D60"/>
    <w:rsid w:val="00E91223"/>
    <w:rsid w:val="00E915FB"/>
    <w:rsid w:val="00E9219A"/>
    <w:rsid w:val="00E93148"/>
    <w:rsid w:val="00E934C8"/>
    <w:rsid w:val="00E93534"/>
    <w:rsid w:val="00E9431B"/>
    <w:rsid w:val="00E9470E"/>
    <w:rsid w:val="00E94963"/>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540"/>
    <w:rsid w:val="00EB0E73"/>
    <w:rsid w:val="00EB15AF"/>
    <w:rsid w:val="00EB15ED"/>
    <w:rsid w:val="00EB1C0F"/>
    <w:rsid w:val="00EB2C2B"/>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1C"/>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79"/>
    <w:rsid w:val="00F81F56"/>
    <w:rsid w:val="00F8218F"/>
    <w:rsid w:val="00F82C3C"/>
    <w:rsid w:val="00F83243"/>
    <w:rsid w:val="00F83398"/>
    <w:rsid w:val="00F84093"/>
    <w:rsid w:val="00F84C15"/>
    <w:rsid w:val="00F85285"/>
    <w:rsid w:val="00F8531E"/>
    <w:rsid w:val="00F85F5F"/>
    <w:rsid w:val="00F869FF"/>
    <w:rsid w:val="00F86F43"/>
    <w:rsid w:val="00F87DF1"/>
    <w:rsid w:val="00F91643"/>
    <w:rsid w:val="00F929B7"/>
    <w:rsid w:val="00F9327D"/>
    <w:rsid w:val="00F9415C"/>
    <w:rsid w:val="00F947FD"/>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0BF"/>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62A9A2-DCAA-4904-8062-829C05FC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13309</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3</cp:revision>
  <cp:lastPrinted>2024-03-21T11:21:00Z</cp:lastPrinted>
  <dcterms:created xsi:type="dcterms:W3CDTF">2024-11-29T08:08:00Z</dcterms:created>
  <dcterms:modified xsi:type="dcterms:W3CDTF">2024-12-02T10:45:00Z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