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6D66857" w14:textId="49B8C78F"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5D55A8A"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3C2ACA4" w14:textId="1DAE41A5" w:rsidR="00CA0E08" w:rsidRPr="00847027" w:rsidRDefault="00CA0E08" w:rsidP="00CA0E08">
      <w:pPr>
        <w:jc w:val="center"/>
        <w:rPr>
          <w:rFonts w:ascii="Times New Roman" w:hAnsi="Times New Roman" w:cs="Times New Roman"/>
          <w:sz w:val="24"/>
          <w:szCs w:val="24"/>
        </w:rPr>
      </w:pPr>
      <w:r w:rsidRPr="00847027">
        <w:rPr>
          <w:rFonts w:ascii="Times New Roman" w:hAnsi="Times New Roman" w:cs="Times New Roman"/>
          <w:b/>
          <w:sz w:val="24"/>
          <w:szCs w:val="24"/>
        </w:rPr>
        <w:t xml:space="preserve">DĖL </w:t>
      </w:r>
      <w:r w:rsidR="00812D7D" w:rsidRPr="00812D7D">
        <w:rPr>
          <w:rFonts w:ascii="Times New Roman" w:hAnsi="Times New Roman" w:cs="Times New Roman"/>
          <w:b/>
          <w:bCs/>
          <w:sz w:val="24"/>
          <w:szCs w:val="24"/>
        </w:rPr>
        <w:t>SERBENTŲ GATVĖS REMONTO DARBAI</w:t>
      </w:r>
      <w:r w:rsidR="00812D7D">
        <w:rPr>
          <w:rFonts w:ascii="Times New Roman" w:hAnsi="Times New Roman" w:cs="Times New Roman"/>
          <w:b/>
          <w:bCs/>
          <w:sz w:val="24"/>
          <w:szCs w:val="24"/>
        </w:rPr>
        <w:t xml:space="preserve"> </w:t>
      </w:r>
      <w:r w:rsidRPr="00287CF4">
        <w:rPr>
          <w:rStyle w:val="Grietas"/>
          <w:rFonts w:ascii="Times New Roman" w:hAnsi="Times New Roman" w:cs="Times New Roman"/>
          <w:kern w:val="2"/>
          <w:sz w:val="24"/>
          <w:szCs w:val="24"/>
          <w:shd w:val="clear" w:color="auto" w:fill="FFFFFF"/>
        </w:rPr>
        <w:t>PIRKIMO</w:t>
      </w:r>
      <w:r w:rsidRPr="00847027">
        <w:rPr>
          <w:rStyle w:val="Grietas"/>
          <w:rFonts w:ascii="Times New Roman" w:hAnsi="Times New Roman" w:cs="Times New Roman"/>
          <w:kern w:val="2"/>
          <w:sz w:val="24"/>
          <w:szCs w:val="24"/>
          <w:shd w:val="clear" w:color="auto" w:fill="FFFFFF"/>
        </w:rPr>
        <w:t xml:space="preserve"> </w:t>
      </w:r>
    </w:p>
    <w:p w14:paraId="4BD3ED2A" w14:textId="22800B9B" w:rsidR="00AE6083" w:rsidRPr="00DE1630" w:rsidRDefault="00DE1630" w:rsidP="002E2FE9">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FD3ED1" w:rsidRDefault="00DB17FE"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10BCBA79" w:rsidR="00AE6083" w:rsidRPr="00FD3ED1" w:rsidRDefault="00C7523B" w:rsidP="00F952AF">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sidR="00B67643">
              <w:rPr>
                <w:rFonts w:ascii="Times New Roman" w:eastAsia="Lucida Sans Unicode" w:hAnsi="Times New Roman" w:cs="Times New Roman"/>
                <w:sz w:val="24"/>
                <w:szCs w:val="24"/>
              </w:rPr>
              <w:t xml:space="preserve">miesto savivaldybės administracija </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4B3EC793"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4A902BAE"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34CA63E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12EB4176"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77A422D9" w14:textId="77777777"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14:ligatures w14:val="none"/>
        </w:rPr>
        <w:t>darbų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420D18E0" w14:textId="77777777" w:rsidR="00DB17F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98328E">
        <w:rPr>
          <w:rFonts w:ascii="Times New Roman" w:eastAsia="Arial" w:hAnsi="Times New Roman" w:cs="Times New Roman"/>
          <w:bCs/>
          <w:iCs/>
          <w:sz w:val="24"/>
          <w:szCs w:val="24"/>
          <w:lang w:eastAsia="lt-LT"/>
          <w14:ligatures w14:val="none"/>
        </w:rPr>
        <w:t>V</w:t>
      </w:r>
      <w:r w:rsidRPr="0098328E">
        <w:rPr>
          <w:rFonts w:ascii="Times New Roman" w:eastAsia="Calibri" w:hAnsi="Times New Roman" w:cs="Times New Roman"/>
          <w:bCs/>
          <w:iCs/>
          <w:sz w:val="24"/>
          <w:szCs w:val="24"/>
          <w:lang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29273B" w14:textId="77777777" w:rsidR="009B0424" w:rsidRPr="0098328E" w:rsidRDefault="009B0424" w:rsidP="00DB17FE">
      <w:pPr>
        <w:ind w:firstLine="709"/>
        <w:contextualSpacing/>
        <w:jc w:val="both"/>
        <w:rPr>
          <w:rFonts w:ascii="Times New Roman" w:eastAsia="Calibri" w:hAnsi="Times New Roman" w:cs="Times New Roman"/>
          <w:bCs/>
          <w:iCs/>
          <w:sz w:val="24"/>
          <w:szCs w:val="24"/>
          <w:lang w:eastAsia="lt-LT"/>
          <w14:ligatures w14:val="none"/>
        </w:rPr>
      </w:pPr>
    </w:p>
    <w:p w14:paraId="38AECE20" w14:textId="2B5B230D" w:rsidR="00AE6083" w:rsidRPr="00FD3ED1"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W w:w="9776" w:type="dxa"/>
        <w:tblLook w:val="04A0" w:firstRow="1" w:lastRow="0" w:firstColumn="1" w:lastColumn="0" w:noHBand="0" w:noVBand="1"/>
      </w:tblPr>
      <w:tblGrid>
        <w:gridCol w:w="568"/>
        <w:gridCol w:w="6940"/>
        <w:gridCol w:w="2268"/>
      </w:tblGrid>
      <w:tr w:rsidR="00812D7D" w:rsidRPr="00812D7D" w14:paraId="2C63F18A" w14:textId="77777777" w:rsidTr="00812D7D">
        <w:trPr>
          <w:trHeight w:val="452"/>
        </w:trPr>
        <w:tc>
          <w:tcPr>
            <w:tcW w:w="5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6766A5" w14:textId="77777777" w:rsidR="00812D7D" w:rsidRPr="00812D7D" w:rsidRDefault="00812D7D" w:rsidP="00CA0E08">
            <w:pPr>
              <w:jc w:val="center"/>
              <w:rPr>
                <w:rFonts w:ascii="Times New Roman" w:hAnsi="Times New Roman" w:cs="Times New Roman"/>
                <w:sz w:val="20"/>
                <w:szCs w:val="20"/>
              </w:rPr>
            </w:pPr>
            <w:r w:rsidRPr="00812D7D">
              <w:rPr>
                <w:rFonts w:ascii="Times New Roman" w:eastAsia="Times New Roman" w:hAnsi="Times New Roman" w:cs="Times New Roman"/>
                <w:b/>
                <w:sz w:val="20"/>
                <w:szCs w:val="20"/>
              </w:rPr>
              <w:t>Eil. Nr.</w:t>
            </w:r>
          </w:p>
        </w:tc>
        <w:tc>
          <w:tcPr>
            <w:tcW w:w="69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D9B855" w14:textId="77777777" w:rsidR="00812D7D" w:rsidRPr="00812D7D" w:rsidRDefault="00812D7D" w:rsidP="00CA0E08">
            <w:pPr>
              <w:jc w:val="center"/>
              <w:rPr>
                <w:rFonts w:ascii="Times New Roman" w:hAnsi="Times New Roman" w:cs="Times New Roman"/>
                <w:b/>
                <w:sz w:val="20"/>
                <w:szCs w:val="20"/>
              </w:rPr>
            </w:pPr>
            <w:r w:rsidRPr="00812D7D">
              <w:rPr>
                <w:rFonts w:ascii="Times New Roman" w:eastAsia="Times New Roman" w:hAnsi="Times New Roman" w:cs="Times New Roman"/>
                <w:b/>
                <w:sz w:val="20"/>
                <w:szCs w:val="20"/>
              </w:rPr>
              <w:t>Pirkimo objektas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818066" w14:textId="77777777" w:rsidR="00812D7D" w:rsidRPr="00812D7D" w:rsidRDefault="00812D7D" w:rsidP="00CA0E08">
            <w:pPr>
              <w:jc w:val="center"/>
              <w:rPr>
                <w:rFonts w:ascii="Times New Roman" w:hAnsi="Times New Roman" w:cs="Times New Roman"/>
                <w:b/>
                <w:sz w:val="20"/>
                <w:szCs w:val="20"/>
              </w:rPr>
            </w:pPr>
            <w:r w:rsidRPr="00812D7D">
              <w:rPr>
                <w:rFonts w:ascii="Times New Roman" w:eastAsia="Calibri" w:hAnsi="Times New Roman" w:cs="Times New Roman"/>
                <w:b/>
                <w:sz w:val="20"/>
                <w:szCs w:val="20"/>
              </w:rPr>
              <w:t>Kaina, Eur be PVM</w:t>
            </w:r>
          </w:p>
        </w:tc>
      </w:tr>
      <w:tr w:rsidR="00812D7D" w:rsidRPr="00812D7D" w14:paraId="6A2C745A" w14:textId="77777777" w:rsidTr="00812D7D">
        <w:trPr>
          <w:trHeight w:val="22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136150D" w14:textId="77777777" w:rsidR="00812D7D" w:rsidRPr="00812D7D" w:rsidRDefault="00812D7D" w:rsidP="000F761C">
            <w:pPr>
              <w:jc w:val="center"/>
              <w:rPr>
                <w:rFonts w:ascii="Times New Roman" w:eastAsia="Times New Roman" w:hAnsi="Times New Roman" w:cs="Times New Roman"/>
                <w:bCs/>
                <w:i/>
                <w:iCs/>
                <w:sz w:val="20"/>
                <w:szCs w:val="20"/>
              </w:rPr>
            </w:pPr>
            <w:r w:rsidRPr="00812D7D">
              <w:rPr>
                <w:rFonts w:ascii="Times New Roman" w:eastAsia="Times New Roman" w:hAnsi="Times New Roman" w:cs="Times New Roman"/>
                <w:bCs/>
                <w:i/>
                <w:iCs/>
                <w:sz w:val="20"/>
                <w:szCs w:val="20"/>
              </w:rPr>
              <w:t>1</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14:paraId="62D245FF" w14:textId="77777777" w:rsidR="00812D7D" w:rsidRPr="00812D7D" w:rsidRDefault="00812D7D" w:rsidP="000F761C">
            <w:pPr>
              <w:jc w:val="center"/>
              <w:rPr>
                <w:rFonts w:ascii="Times New Roman" w:eastAsia="Times New Roman" w:hAnsi="Times New Roman" w:cs="Times New Roman"/>
                <w:bCs/>
                <w:i/>
                <w:iCs/>
                <w:sz w:val="20"/>
                <w:szCs w:val="20"/>
              </w:rPr>
            </w:pPr>
            <w:r w:rsidRPr="00812D7D">
              <w:rPr>
                <w:rFonts w:ascii="Times New Roman" w:eastAsia="Times New Roman" w:hAnsi="Times New Roman" w:cs="Times New Roman"/>
                <w:bCs/>
                <w:i/>
                <w:iCs/>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D44345" w14:textId="77777777" w:rsidR="00812D7D" w:rsidRPr="00812D7D" w:rsidRDefault="00812D7D" w:rsidP="000F761C">
            <w:pPr>
              <w:jc w:val="center"/>
              <w:rPr>
                <w:rFonts w:ascii="Times New Roman" w:eastAsia="Calibri" w:hAnsi="Times New Roman" w:cs="Times New Roman"/>
                <w:bCs/>
                <w:i/>
                <w:iCs/>
                <w:sz w:val="20"/>
                <w:szCs w:val="20"/>
              </w:rPr>
            </w:pPr>
            <w:r w:rsidRPr="00812D7D">
              <w:rPr>
                <w:rFonts w:ascii="Times New Roman" w:eastAsia="Calibri" w:hAnsi="Times New Roman" w:cs="Times New Roman"/>
                <w:bCs/>
                <w:i/>
                <w:iCs/>
                <w:sz w:val="20"/>
                <w:szCs w:val="20"/>
              </w:rPr>
              <w:t>3</w:t>
            </w:r>
          </w:p>
        </w:tc>
      </w:tr>
      <w:tr w:rsidR="00812D7D" w:rsidRPr="00812D7D" w14:paraId="684936BB" w14:textId="77777777" w:rsidTr="00812D7D">
        <w:trPr>
          <w:trHeight w:val="226"/>
        </w:trPr>
        <w:tc>
          <w:tcPr>
            <w:tcW w:w="568" w:type="dxa"/>
            <w:tcBorders>
              <w:top w:val="single" w:sz="4" w:space="0" w:color="000000"/>
              <w:left w:val="single" w:sz="4" w:space="0" w:color="000000"/>
              <w:bottom w:val="single" w:sz="4" w:space="0" w:color="000000"/>
              <w:right w:val="single" w:sz="4" w:space="0" w:color="000000"/>
            </w:tcBorders>
            <w:vAlign w:val="center"/>
          </w:tcPr>
          <w:p w14:paraId="46787E6E" w14:textId="77777777" w:rsidR="00812D7D" w:rsidRPr="00812D7D" w:rsidRDefault="00812D7D" w:rsidP="000F761C">
            <w:pPr>
              <w:jc w:val="center"/>
              <w:rPr>
                <w:rFonts w:ascii="Times New Roman" w:hAnsi="Times New Roman" w:cs="Times New Roman"/>
                <w:sz w:val="20"/>
                <w:szCs w:val="20"/>
              </w:rPr>
            </w:pPr>
            <w:r w:rsidRPr="00812D7D">
              <w:rPr>
                <w:rFonts w:ascii="Times New Roman" w:hAnsi="Times New Roman" w:cs="Times New Roman"/>
                <w:sz w:val="20"/>
                <w:szCs w:val="20"/>
              </w:rPr>
              <w:t>1.</w:t>
            </w:r>
          </w:p>
        </w:tc>
        <w:tc>
          <w:tcPr>
            <w:tcW w:w="6940" w:type="dxa"/>
            <w:tcBorders>
              <w:top w:val="single" w:sz="4" w:space="0" w:color="000000"/>
              <w:left w:val="single" w:sz="4" w:space="0" w:color="000000"/>
              <w:bottom w:val="single" w:sz="4" w:space="0" w:color="000000"/>
              <w:right w:val="single" w:sz="4" w:space="0" w:color="000000"/>
            </w:tcBorders>
            <w:vAlign w:val="center"/>
          </w:tcPr>
          <w:p w14:paraId="179724B8" w14:textId="6355732D" w:rsidR="00812D7D" w:rsidRPr="00803474" w:rsidRDefault="00812D7D" w:rsidP="000F761C">
            <w:pPr>
              <w:jc w:val="both"/>
              <w:rPr>
                <w:rFonts w:ascii="Times New Roman" w:hAnsi="Times New Roman" w:cs="Times New Roman"/>
                <w:b/>
                <w:bCs/>
                <w:sz w:val="20"/>
                <w:szCs w:val="20"/>
              </w:rPr>
            </w:pPr>
            <w:r w:rsidRPr="00803474">
              <w:rPr>
                <w:rFonts w:ascii="Times New Roman" w:hAnsi="Times New Roman" w:cs="Times New Roman"/>
                <w:b/>
                <w:bCs/>
                <w:sz w:val="20"/>
                <w:szCs w:val="20"/>
              </w:rPr>
              <w:t>I etapo rangos darbai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C6869C2" w14:textId="77777777" w:rsidR="00812D7D" w:rsidRPr="00812D7D" w:rsidRDefault="00812D7D" w:rsidP="000F761C">
            <w:pPr>
              <w:jc w:val="both"/>
              <w:rPr>
                <w:rFonts w:ascii="Times New Roman" w:hAnsi="Times New Roman" w:cs="Times New Roman"/>
                <w:i/>
                <w:sz w:val="20"/>
                <w:szCs w:val="20"/>
              </w:rPr>
            </w:pPr>
          </w:p>
        </w:tc>
      </w:tr>
      <w:tr w:rsidR="00812D7D" w:rsidRPr="00812D7D" w14:paraId="4EC0EA2B" w14:textId="77777777" w:rsidTr="00812D7D">
        <w:trPr>
          <w:trHeight w:val="226"/>
        </w:trPr>
        <w:tc>
          <w:tcPr>
            <w:tcW w:w="568" w:type="dxa"/>
            <w:tcBorders>
              <w:top w:val="single" w:sz="4" w:space="0" w:color="000000"/>
              <w:left w:val="single" w:sz="4" w:space="0" w:color="000000"/>
              <w:bottom w:val="single" w:sz="4" w:space="0" w:color="000000"/>
              <w:right w:val="single" w:sz="4" w:space="0" w:color="000000"/>
            </w:tcBorders>
            <w:vAlign w:val="center"/>
          </w:tcPr>
          <w:p w14:paraId="7AADDDD2" w14:textId="3D27AA6F" w:rsidR="00812D7D" w:rsidRPr="00812D7D" w:rsidRDefault="00812D7D" w:rsidP="000F761C">
            <w:pPr>
              <w:jc w:val="center"/>
              <w:rPr>
                <w:rFonts w:ascii="Times New Roman" w:hAnsi="Times New Roman" w:cs="Times New Roman"/>
                <w:sz w:val="20"/>
                <w:szCs w:val="20"/>
              </w:rPr>
            </w:pPr>
            <w:r w:rsidRPr="00812D7D">
              <w:rPr>
                <w:rFonts w:ascii="Times New Roman" w:hAnsi="Times New Roman" w:cs="Times New Roman"/>
                <w:sz w:val="20"/>
                <w:szCs w:val="20"/>
              </w:rPr>
              <w:t>2.</w:t>
            </w:r>
          </w:p>
        </w:tc>
        <w:tc>
          <w:tcPr>
            <w:tcW w:w="6940" w:type="dxa"/>
            <w:tcBorders>
              <w:top w:val="single" w:sz="4" w:space="0" w:color="000000"/>
              <w:left w:val="single" w:sz="4" w:space="0" w:color="000000"/>
              <w:bottom w:val="single" w:sz="4" w:space="0" w:color="000000"/>
              <w:right w:val="single" w:sz="4" w:space="0" w:color="000000"/>
            </w:tcBorders>
            <w:vAlign w:val="center"/>
          </w:tcPr>
          <w:p w14:paraId="7B23BA98" w14:textId="079255F3" w:rsidR="00812D7D" w:rsidRPr="00803474" w:rsidRDefault="00812D7D" w:rsidP="000F761C">
            <w:pPr>
              <w:jc w:val="both"/>
              <w:rPr>
                <w:rFonts w:ascii="Times New Roman" w:hAnsi="Times New Roman" w:cs="Times New Roman"/>
                <w:b/>
                <w:bCs/>
                <w:sz w:val="20"/>
                <w:szCs w:val="20"/>
              </w:rPr>
            </w:pPr>
            <w:r w:rsidRPr="00803474">
              <w:rPr>
                <w:rFonts w:ascii="Times New Roman" w:hAnsi="Times New Roman" w:cs="Times New Roman"/>
                <w:b/>
                <w:bCs/>
                <w:sz w:val="20"/>
                <w:szCs w:val="20"/>
              </w:rPr>
              <w:t>II etapo rangos darbai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4BA5C6C" w14:textId="77777777" w:rsidR="00812D7D" w:rsidRPr="00812D7D" w:rsidRDefault="00812D7D" w:rsidP="000F761C">
            <w:pPr>
              <w:jc w:val="both"/>
              <w:rPr>
                <w:rFonts w:ascii="Times New Roman" w:hAnsi="Times New Roman" w:cs="Times New Roman"/>
                <w:i/>
                <w:sz w:val="20"/>
                <w:szCs w:val="20"/>
              </w:rPr>
            </w:pPr>
          </w:p>
        </w:tc>
      </w:tr>
      <w:tr w:rsidR="00812D7D" w:rsidRPr="00812D7D" w14:paraId="5C6011A8" w14:textId="77777777" w:rsidTr="00812D7D">
        <w:trPr>
          <w:trHeight w:val="226"/>
        </w:trPr>
        <w:tc>
          <w:tcPr>
            <w:tcW w:w="568" w:type="dxa"/>
            <w:tcBorders>
              <w:top w:val="single" w:sz="4" w:space="0" w:color="000000"/>
              <w:left w:val="single" w:sz="4" w:space="0" w:color="000000"/>
              <w:bottom w:val="single" w:sz="4" w:space="0" w:color="000000"/>
              <w:right w:val="single" w:sz="4" w:space="0" w:color="000000"/>
            </w:tcBorders>
            <w:vAlign w:val="center"/>
          </w:tcPr>
          <w:p w14:paraId="16599C59" w14:textId="2D8A518D" w:rsidR="00812D7D" w:rsidRPr="00812D7D" w:rsidRDefault="00812D7D" w:rsidP="000F761C">
            <w:pPr>
              <w:jc w:val="center"/>
              <w:rPr>
                <w:rFonts w:ascii="Times New Roman" w:hAnsi="Times New Roman" w:cs="Times New Roman"/>
                <w:sz w:val="20"/>
                <w:szCs w:val="20"/>
              </w:rPr>
            </w:pPr>
            <w:r w:rsidRPr="00812D7D">
              <w:rPr>
                <w:rFonts w:ascii="Times New Roman" w:hAnsi="Times New Roman" w:cs="Times New Roman"/>
                <w:sz w:val="20"/>
                <w:szCs w:val="20"/>
              </w:rPr>
              <w:t>3.</w:t>
            </w:r>
          </w:p>
        </w:tc>
        <w:tc>
          <w:tcPr>
            <w:tcW w:w="6940" w:type="dxa"/>
            <w:tcBorders>
              <w:top w:val="single" w:sz="4" w:space="0" w:color="000000"/>
              <w:left w:val="single" w:sz="4" w:space="0" w:color="000000"/>
              <w:bottom w:val="single" w:sz="4" w:space="0" w:color="000000"/>
              <w:right w:val="single" w:sz="4" w:space="0" w:color="000000"/>
            </w:tcBorders>
            <w:vAlign w:val="center"/>
          </w:tcPr>
          <w:p w14:paraId="06CFB630" w14:textId="04B911A2" w:rsidR="00812D7D" w:rsidRPr="00803474" w:rsidRDefault="00812D7D" w:rsidP="000F761C">
            <w:pPr>
              <w:jc w:val="both"/>
              <w:rPr>
                <w:rFonts w:ascii="Times New Roman" w:hAnsi="Times New Roman" w:cs="Times New Roman"/>
                <w:b/>
                <w:bCs/>
                <w:sz w:val="20"/>
                <w:szCs w:val="20"/>
              </w:rPr>
            </w:pPr>
            <w:r w:rsidRPr="00803474">
              <w:rPr>
                <w:rFonts w:ascii="Times New Roman" w:hAnsi="Times New Roman" w:cs="Times New Roman"/>
                <w:b/>
                <w:bCs/>
                <w:sz w:val="20"/>
                <w:szCs w:val="20"/>
              </w:rPr>
              <w:t>Kitos išlaidos</w:t>
            </w:r>
          </w:p>
        </w:tc>
        <w:tc>
          <w:tcPr>
            <w:tcW w:w="2268" w:type="dxa"/>
            <w:tcBorders>
              <w:top w:val="single" w:sz="4" w:space="0" w:color="000000"/>
              <w:left w:val="single" w:sz="4" w:space="0" w:color="000000"/>
              <w:bottom w:val="single" w:sz="4" w:space="0" w:color="000000"/>
              <w:right w:val="single" w:sz="4" w:space="0" w:color="000000"/>
            </w:tcBorders>
            <w:vAlign w:val="center"/>
          </w:tcPr>
          <w:p w14:paraId="698CF739" w14:textId="77777777" w:rsidR="00812D7D" w:rsidRPr="00812D7D" w:rsidRDefault="00812D7D" w:rsidP="000F761C">
            <w:pPr>
              <w:jc w:val="both"/>
              <w:rPr>
                <w:rFonts w:ascii="Times New Roman" w:hAnsi="Times New Roman" w:cs="Times New Roman"/>
                <w:i/>
                <w:sz w:val="20"/>
                <w:szCs w:val="20"/>
              </w:rPr>
            </w:pPr>
          </w:p>
        </w:tc>
      </w:tr>
      <w:tr w:rsidR="00812D7D" w:rsidRPr="00812D7D" w14:paraId="07F1EE24" w14:textId="77777777" w:rsidTr="00812D7D">
        <w:trPr>
          <w:trHeight w:val="226"/>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E638E0" w14:textId="124DB9A6" w:rsidR="00812D7D" w:rsidRPr="00812D7D" w:rsidRDefault="00812D7D" w:rsidP="000F761C">
            <w:pPr>
              <w:jc w:val="right"/>
              <w:rPr>
                <w:rFonts w:ascii="Times New Roman" w:eastAsia="Times New Roman" w:hAnsi="Times New Roman" w:cs="Times New Roman"/>
                <w:b/>
                <w:sz w:val="20"/>
                <w:szCs w:val="20"/>
              </w:rPr>
            </w:pPr>
            <w:r w:rsidRPr="00812D7D">
              <w:rPr>
                <w:rFonts w:ascii="Times New Roman" w:eastAsia="Times New Roman" w:hAnsi="Times New Roman" w:cs="Times New Roman"/>
                <w:b/>
                <w:sz w:val="20"/>
                <w:szCs w:val="20"/>
              </w:rPr>
              <w:t xml:space="preserve">Pasiūlymo kaina, </w:t>
            </w:r>
            <w:r w:rsidRPr="00812D7D">
              <w:rPr>
                <w:rFonts w:ascii="Times New Roman" w:eastAsia="Times New Roman" w:hAnsi="Times New Roman" w:cs="Times New Roman"/>
                <w:b/>
                <w:bCs/>
                <w:sz w:val="20"/>
                <w:szCs w:val="20"/>
              </w:rPr>
              <w:t>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20AA7D" w14:textId="77777777" w:rsidR="00812D7D" w:rsidRPr="00812D7D" w:rsidRDefault="00812D7D" w:rsidP="000F761C">
            <w:pPr>
              <w:jc w:val="both"/>
              <w:rPr>
                <w:rFonts w:ascii="Times New Roman" w:hAnsi="Times New Roman" w:cs="Times New Roman"/>
                <w:sz w:val="20"/>
                <w:szCs w:val="20"/>
              </w:rPr>
            </w:pPr>
          </w:p>
        </w:tc>
      </w:tr>
      <w:tr w:rsidR="00812D7D" w:rsidRPr="00812D7D" w14:paraId="0DFF6A47" w14:textId="77777777" w:rsidTr="00812D7D">
        <w:trPr>
          <w:trHeight w:val="226"/>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auto"/>
          </w:tcPr>
          <w:p w14:paraId="5BC5990C" w14:textId="77777777" w:rsidR="00812D7D" w:rsidRPr="00812D7D" w:rsidRDefault="00812D7D" w:rsidP="000F761C">
            <w:pPr>
              <w:jc w:val="right"/>
              <w:rPr>
                <w:rFonts w:ascii="Times New Roman" w:hAnsi="Times New Roman" w:cs="Times New Roman"/>
                <w:sz w:val="20"/>
                <w:szCs w:val="20"/>
              </w:rPr>
            </w:pPr>
            <w:r w:rsidRPr="00812D7D">
              <w:rPr>
                <w:rFonts w:ascii="Times New Roman" w:eastAsia="Times New Roman" w:hAnsi="Times New Roman" w:cs="Times New Roman"/>
                <w:b/>
                <w:sz w:val="20"/>
                <w:szCs w:val="20"/>
              </w:rPr>
              <w:t>PVM (21 proc.):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8D3787" w14:textId="77777777" w:rsidR="00812D7D" w:rsidRPr="00812D7D" w:rsidRDefault="00812D7D" w:rsidP="000F761C">
            <w:pPr>
              <w:jc w:val="both"/>
              <w:rPr>
                <w:rFonts w:ascii="Times New Roman" w:hAnsi="Times New Roman" w:cs="Times New Roman"/>
                <w:sz w:val="20"/>
                <w:szCs w:val="20"/>
              </w:rPr>
            </w:pPr>
          </w:p>
        </w:tc>
      </w:tr>
      <w:tr w:rsidR="00812D7D" w:rsidRPr="00812D7D" w14:paraId="263D78A9" w14:textId="77777777" w:rsidTr="00812D7D">
        <w:trPr>
          <w:trHeight w:val="226"/>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A9CE1AA" w14:textId="77777777" w:rsidR="00812D7D" w:rsidRPr="00812D7D" w:rsidRDefault="00812D7D" w:rsidP="000F761C">
            <w:pPr>
              <w:jc w:val="right"/>
              <w:rPr>
                <w:rFonts w:ascii="Times New Roman" w:hAnsi="Times New Roman" w:cs="Times New Roman"/>
                <w:sz w:val="20"/>
                <w:szCs w:val="20"/>
              </w:rPr>
            </w:pPr>
            <w:r w:rsidRPr="00812D7D">
              <w:rPr>
                <w:rFonts w:ascii="Times New Roman" w:eastAsia="Times New Roman" w:hAnsi="Times New Roman" w:cs="Times New Roman"/>
                <w:b/>
                <w:sz w:val="20"/>
                <w:szCs w:val="20"/>
              </w:rPr>
              <w:t xml:space="preserve">Pasiūlymo kaina, </w:t>
            </w:r>
            <w:r w:rsidRPr="00812D7D">
              <w:rPr>
                <w:rFonts w:ascii="Times New Roman" w:eastAsia="Times New Roman" w:hAnsi="Times New Roman" w:cs="Times New Roman"/>
                <w:b/>
                <w:bCs/>
                <w:sz w:val="20"/>
                <w:szCs w:val="20"/>
              </w:rPr>
              <w:t>Eur su PVM: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89EF42" w14:textId="77777777" w:rsidR="00812D7D" w:rsidRPr="00812D7D" w:rsidRDefault="00812D7D" w:rsidP="000F761C">
            <w:pPr>
              <w:jc w:val="both"/>
              <w:rPr>
                <w:rFonts w:ascii="Times New Roman" w:hAnsi="Times New Roman" w:cs="Times New Roman"/>
                <w:sz w:val="20"/>
                <w:szCs w:val="20"/>
              </w:rPr>
            </w:pPr>
          </w:p>
        </w:tc>
      </w:tr>
    </w:tbl>
    <w:p w14:paraId="68D617A2" w14:textId="77777777" w:rsidR="0078685D" w:rsidRPr="00FD3ED1" w:rsidRDefault="0078685D" w:rsidP="009B0424">
      <w:pPr>
        <w:contextualSpacing/>
        <w:jc w:val="both"/>
        <w:rPr>
          <w:rFonts w:ascii="Times New Roman" w:hAnsi="Times New Roman" w:cs="Times New Roman"/>
          <w:b/>
          <w:iCs/>
          <w:sz w:val="24"/>
          <w:szCs w:val="24"/>
          <w14:ligatures w14:val="none"/>
        </w:rPr>
      </w:pPr>
    </w:p>
    <w:p w14:paraId="2FFCBB24" w14:textId="11306151"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su PVM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0DA40EFA" w14:textId="1EBD9C8A" w:rsidR="00AE6083" w:rsidRPr="00B30650" w:rsidRDefault="00DB17FE" w:rsidP="00DB17FE">
      <w:pPr>
        <w:widowControl w:val="0"/>
        <w:suppressAutoHyphens/>
        <w:ind w:firstLine="567"/>
        <w:contextualSpacing/>
        <w:jc w:val="both"/>
        <w:rPr>
          <w:rFonts w:ascii="Times New Roman" w:hAnsi="Times New Roman" w:cs="Times New Roman"/>
          <w:iCs/>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73692382" w14:textId="77777777" w:rsidR="00CE6F5A" w:rsidRDefault="00CE6F5A" w:rsidP="00FD3ED1">
      <w:pPr>
        <w:widowControl w:val="0"/>
        <w:suppressAutoHyphens/>
        <w:jc w:val="both"/>
        <w:rPr>
          <w:rFonts w:ascii="Times New Roman" w:hAnsi="Times New Roman" w:cs="Times New Roman"/>
          <w:b/>
          <w:bCs/>
          <w:iCs/>
          <w:sz w:val="24"/>
          <w:szCs w:val="20"/>
          <w14:ligatures w14:val="none"/>
        </w:rPr>
      </w:pPr>
    </w:p>
    <w:p w14:paraId="7C0CD8A6" w14:textId="33DD65C4"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darbų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uos darbus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A8D5029" w14:textId="77777777" w:rsidR="003365E7" w:rsidRDefault="003365E7" w:rsidP="00DB17FE">
      <w:pPr>
        <w:ind w:firstLine="567"/>
        <w:contextualSpacing/>
        <w:jc w:val="both"/>
        <w:rPr>
          <w:rFonts w:ascii="Times New Roman" w:eastAsia="Times New Roman" w:hAnsi="Times New Roman" w:cs="Times New Roman"/>
          <w:bCs/>
          <w:sz w:val="24"/>
          <w:szCs w:val="24"/>
          <w14:ligatures w14:val="none"/>
        </w:rPr>
      </w:pPr>
    </w:p>
    <w:p w14:paraId="03054A71" w14:textId="3185ADEC" w:rsidR="003365E7" w:rsidRPr="00056D91" w:rsidRDefault="003365E7" w:rsidP="003365E7">
      <w:pPr>
        <w:ind w:left="-142" w:firstLine="709"/>
        <w:jc w:val="both"/>
        <w:rPr>
          <w:rFonts w:ascii="Times New Roman" w:hAnsi="Times New Roman" w:cs="Times New Roman"/>
          <w:bCs/>
          <w:iCs/>
          <w:sz w:val="24"/>
          <w:szCs w:val="24"/>
        </w:rPr>
      </w:pPr>
      <w:r w:rsidRPr="007547D0">
        <w:rPr>
          <w:rFonts w:ascii="Times New Roman" w:hAnsi="Times New Roman" w:cs="Times New Roman"/>
          <w:b/>
          <w:iCs/>
          <w:sz w:val="24"/>
          <w:szCs w:val="24"/>
        </w:rPr>
        <w:t>6.</w:t>
      </w:r>
      <w:r>
        <w:rPr>
          <w:rFonts w:ascii="Times New Roman" w:hAnsi="Times New Roman" w:cs="Times New Roman"/>
          <w:b/>
          <w:iCs/>
          <w:sz w:val="24"/>
          <w:szCs w:val="24"/>
        </w:rPr>
        <w:t>8</w:t>
      </w:r>
      <w:r w:rsidRPr="007547D0">
        <w:rPr>
          <w:rFonts w:ascii="Times New Roman" w:hAnsi="Times New Roman" w:cs="Times New Roman"/>
          <w:b/>
          <w:iCs/>
          <w:sz w:val="24"/>
          <w:szCs w:val="24"/>
        </w:rPr>
        <w:t>.</w:t>
      </w:r>
      <w:r>
        <w:rPr>
          <w:rFonts w:ascii="Times New Roman" w:hAnsi="Times New Roman" w:cs="Times New Roman"/>
          <w:bCs/>
          <w:iCs/>
          <w:sz w:val="24"/>
          <w:szCs w:val="24"/>
        </w:rPr>
        <w:t xml:space="preserve"> </w:t>
      </w:r>
      <w:r w:rsidRPr="00CD1988">
        <w:rPr>
          <w:rFonts w:ascii="Times New Roman" w:hAnsi="Times New Roman" w:cs="Times New Roman"/>
          <w:b/>
          <w:szCs w:val="24"/>
        </w:rPr>
        <w:t>Darbo užmokesčio mėnesio mediana:</w:t>
      </w:r>
    </w:p>
    <w:p w14:paraId="7D05869F" w14:textId="77777777" w:rsidR="003365E7" w:rsidRPr="00CC716A" w:rsidRDefault="003365E7" w:rsidP="003365E7">
      <w:pPr>
        <w:contextualSpacing/>
        <w:jc w:val="both"/>
        <w:rPr>
          <w:rFonts w:ascii="Times New Roman" w:eastAsia="Calibri" w:hAnsi="Times New Roman" w:cs="Times New Roman"/>
          <w:bCs/>
          <w:i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831"/>
      </w:tblGrid>
      <w:tr w:rsidR="003365E7" w:rsidRPr="003365E7" w14:paraId="4CD6C691" w14:textId="77777777" w:rsidTr="003365E7">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0A7D18" w14:textId="1D0332D2" w:rsidR="003365E7" w:rsidRPr="003365E7" w:rsidRDefault="003365E7" w:rsidP="003365E7">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6DF1E3" w14:textId="77777777" w:rsidR="003365E7" w:rsidRPr="003365E7" w:rsidRDefault="003365E7" w:rsidP="003365E7">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Kokybės ir kiekybės kriterijai</w:t>
            </w:r>
          </w:p>
        </w:tc>
        <w:tc>
          <w:tcPr>
            <w:tcW w:w="58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E56816" w14:textId="77777777" w:rsidR="003365E7" w:rsidRPr="003365E7" w:rsidRDefault="003365E7" w:rsidP="003365E7">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Siūlomo kriterijaus aprašymas (ir rodiklių reikšmės)</w:t>
            </w:r>
          </w:p>
        </w:tc>
      </w:tr>
      <w:tr w:rsidR="003365E7" w:rsidRPr="003365E7" w14:paraId="2B3D181E" w14:textId="77777777" w:rsidTr="003365E7">
        <w:trPr>
          <w:trHeight w:val="1061"/>
        </w:trPr>
        <w:tc>
          <w:tcPr>
            <w:tcW w:w="681" w:type="dxa"/>
            <w:tcBorders>
              <w:top w:val="single" w:sz="4" w:space="0" w:color="auto"/>
              <w:left w:val="single" w:sz="4" w:space="0" w:color="auto"/>
              <w:bottom w:val="single" w:sz="4" w:space="0" w:color="auto"/>
              <w:right w:val="single" w:sz="4" w:space="0" w:color="auto"/>
            </w:tcBorders>
          </w:tcPr>
          <w:p w14:paraId="668C99D1"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3AF5CB68"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Darbo užmokesčio mėnesio mediana</w:t>
            </w:r>
          </w:p>
        </w:tc>
        <w:tc>
          <w:tcPr>
            <w:tcW w:w="5831" w:type="dxa"/>
            <w:tcBorders>
              <w:top w:val="single" w:sz="4" w:space="0" w:color="auto"/>
              <w:left w:val="single" w:sz="4" w:space="0" w:color="auto"/>
              <w:bottom w:val="single" w:sz="4" w:space="0" w:color="auto"/>
              <w:right w:val="single" w:sz="4" w:space="0" w:color="auto"/>
            </w:tcBorders>
            <w:hideMark/>
          </w:tcPr>
          <w:p w14:paraId="02891E84"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 xml:space="preserve">................ </w:t>
            </w:r>
            <w:r w:rsidRPr="003365E7">
              <w:rPr>
                <w:rFonts w:ascii="Times New Roman" w:eastAsia="Times New Roman" w:hAnsi="Times New Roman" w:cs="Times New Roman"/>
                <w:i/>
                <w:iCs/>
                <w:color w:val="FF0000"/>
                <w:sz w:val="20"/>
                <w:szCs w:val="20"/>
              </w:rPr>
              <w:t xml:space="preserve">(nurodyti sumą skaičiais) </w:t>
            </w:r>
            <w:r w:rsidRPr="003365E7">
              <w:rPr>
                <w:rFonts w:ascii="Times New Roman" w:eastAsia="Times New Roman" w:hAnsi="Times New Roman" w:cs="Times New Roman"/>
                <w:sz w:val="20"/>
                <w:szCs w:val="20"/>
              </w:rPr>
              <w:t>EUR.</w:t>
            </w:r>
          </w:p>
          <w:p w14:paraId="6164573D" w14:textId="77777777" w:rsidR="003365E7" w:rsidRPr="003365E7" w:rsidRDefault="003365E7" w:rsidP="00B455CE">
            <w:pPr>
              <w:suppressAutoHyphens/>
              <w:jc w:val="both"/>
              <w:rPr>
                <w:rFonts w:ascii="Times New Roman" w:eastAsia="Times New Roman" w:hAnsi="Times New Roman" w:cs="Times New Roman"/>
                <w:i/>
                <w:iCs/>
                <w:sz w:val="20"/>
                <w:szCs w:val="20"/>
              </w:rPr>
            </w:pPr>
            <w:r w:rsidRPr="003365E7">
              <w:rPr>
                <w:rFonts w:ascii="Times New Roman" w:eastAsia="Times New Roman" w:hAnsi="Times New Roman" w:cs="Times New Roman"/>
                <w:i/>
                <w:iCs/>
                <w:sz w:val="20"/>
                <w:szCs w:val="20"/>
              </w:rPr>
              <w:t xml:space="preserve">Nurodoma siūloma darbo užmokesčio mėnesio mediana (prieš mokesčius) </w:t>
            </w:r>
          </w:p>
          <w:p w14:paraId="61739C39"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i/>
                <w:color w:val="FF0000"/>
                <w:sz w:val="20"/>
                <w:szCs w:val="20"/>
              </w:rPr>
              <w:t>(Pastaba. Nenurodžius prašomo rodiklio, skiriama 0 balų.)</w:t>
            </w:r>
          </w:p>
        </w:tc>
      </w:tr>
    </w:tbl>
    <w:p w14:paraId="61D2EF78" w14:textId="4D2500F5"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D198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CD1988">
        <w:rPr>
          <w:rFonts w:ascii="Times New Roman" w:eastAsia="Times New Roman" w:hAnsi="Times New Roman" w:cs="Times New Roman"/>
          <w:sz w:val="24"/>
          <w:szCs w:val="24"/>
        </w:rPr>
        <w:t>.1. Darbo užmokesčio mediana yra skaičių eilės (nuo mažiausio iki didžiausio) vidurinis elementas. Jei skaičių sekos elementų suma yra lyginė, mediana yra dviejų vidurinių skaičių vidurkis.</w:t>
      </w:r>
    </w:p>
    <w:p w14:paraId="7439ADC0" w14:textId="3ACC5DF1"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6.8.2. </w:t>
      </w:r>
      <w:r w:rsidRPr="00CD1988">
        <w:rPr>
          <w:rFonts w:ascii="Times New Roman" w:eastAsia="Times New Roman" w:hAnsi="Times New Roman" w:cs="Times New Roman"/>
          <w:sz w:val="24"/>
          <w:szCs w:val="24"/>
        </w:rPr>
        <w:t>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(toliau – nurodyti darbuotojai), EUR. Tiekėjas turi nurodyti konkretų siūlomo mokėti darbo užmokesčio mėnesio medianos dydį (neatskaičius mokesčių).</w:t>
      </w:r>
      <w:r>
        <w:rPr>
          <w:rFonts w:ascii="Times New Roman" w:eastAsia="Times New Roman" w:hAnsi="Times New Roman" w:cs="Times New Roman"/>
          <w:sz w:val="24"/>
          <w:szCs w:val="24"/>
        </w:rPr>
        <w:t xml:space="preserve"> </w:t>
      </w:r>
    </w:p>
    <w:p w14:paraId="63CB92D0" w14:textId="2F9C2344"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6.8.3. </w:t>
      </w:r>
      <w:r w:rsidRPr="00CD1988">
        <w:rPr>
          <w:rFonts w:ascii="Times New Roman" w:eastAsia="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13CC1D57" w14:textId="22D51E63"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6.8.4. </w:t>
      </w:r>
      <w:r w:rsidRPr="00CD1988">
        <w:rPr>
          <w:rFonts w:ascii="Times New Roman" w:eastAsia="Times New Roman" w:hAnsi="Times New Roman" w:cs="Times New Roman"/>
          <w:sz w:val="24"/>
          <w:szCs w:val="24"/>
        </w:rPr>
        <w:t>Jeigu tiekėjas nurodys ne konkretų darbo užmokesčio mėnesio medianos dydį, o nurodys dydžio intervalą, bus vertinamas intervalo mažiausias dydis.</w:t>
      </w:r>
    </w:p>
    <w:p w14:paraId="4C8B6D69" w14:textId="77777777" w:rsidR="00AE6083" w:rsidRPr="00FD3ED1" w:rsidRDefault="00AE6083" w:rsidP="00A629A2">
      <w:pPr>
        <w:tabs>
          <w:tab w:val="left" w:pos="993"/>
        </w:tabs>
        <w:contextualSpacing/>
        <w:jc w:val="both"/>
        <w:rPr>
          <w:rFonts w:ascii="Times New Roman" w:hAnsi="Times New Roman" w:cs="Times New Roman"/>
          <w:iCs/>
          <w:sz w:val="24"/>
          <w:szCs w:val="24"/>
          <w14:ligatures w14:val="none"/>
        </w:rPr>
      </w:pPr>
    </w:p>
    <w:bookmarkEnd w:id="0"/>
    <w:bookmarkEnd w:id="5"/>
    <w:p w14:paraId="1BF1234C" w14:textId="7EC8E3C1" w:rsidR="00AE6083" w:rsidRPr="00FD3ED1" w:rsidRDefault="002E2FE9"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0CE3DF66" w14:textId="77777777" w:rsidR="00AE6083" w:rsidRPr="00FD3ED1" w:rsidRDefault="00AE6083" w:rsidP="00AE6083">
      <w:pPr>
        <w:ind w:firstLine="567"/>
        <w:contextualSpacing/>
        <w:rPr>
          <w:rFonts w:ascii="Times New Roman" w:eastAsia="Times New Roman" w:hAnsi="Times New Roman" w:cs="Times New Roman"/>
          <w:sz w:val="24"/>
          <w:szCs w:val="24"/>
          <w14:ligatures w14:val="none"/>
        </w:rPr>
      </w:pPr>
      <w:r w:rsidRPr="00FD3ED1">
        <w:rPr>
          <w:rFonts w:ascii="Times New Roman" w:eastAsia="Times New Roman" w:hAnsi="Times New Roman" w:cs="Times New Roman"/>
          <w:sz w:val="24"/>
          <w:szCs w:val="24"/>
          <w14:ligatures w14:val="none"/>
        </w:rPr>
        <w:t>Jei nenurodyta kitaip, visi dokumentai teikiami su pasiūlymu CVP IS priemonėmis:</w:t>
      </w:r>
    </w:p>
    <w:p w14:paraId="1CFDF5CB"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812D7D" w14:paraId="75C035F9"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6D9FD0DE"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5DEABC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812D7D" w:rsidRDefault="00AE6083" w:rsidP="00AE6083">
            <w:pPr>
              <w:widowControl w:val="0"/>
              <w:suppressAutoHyphens/>
              <w:rPr>
                <w:rFonts w:ascii="Times New Roman" w:eastAsia="Lucida Sans Unicode" w:hAnsi="Times New Roman" w:cs="Times New Roman"/>
              </w:rPr>
            </w:pPr>
          </w:p>
        </w:tc>
      </w:tr>
    </w:tbl>
    <w:p w14:paraId="54E266B1" w14:textId="77777777" w:rsidR="00AE6083" w:rsidRPr="00812D7D" w:rsidRDefault="00AE6083" w:rsidP="00AE6083">
      <w:pPr>
        <w:widowControl w:val="0"/>
        <w:suppressAutoHyphens/>
        <w:jc w:val="both"/>
        <w:rPr>
          <w:rFonts w:ascii="Times New Roman" w:eastAsia="Lucida Sans Unicode" w:hAnsi="Times New Roman" w:cs="Times New Roman"/>
          <w:b/>
          <w:bCs/>
          <w14:ligatures w14:val="none"/>
        </w:rPr>
      </w:pPr>
      <w:r w:rsidRPr="00812D7D">
        <w:rPr>
          <w:rFonts w:ascii="Times New Roman" w:eastAsia="Lucida Sans Unicode" w:hAnsi="Times New Roman" w:cs="Times New Roman"/>
          <w:b/>
          <w:bCs/>
          <w14:ligatures w14:val="none"/>
        </w:rPr>
        <w:t xml:space="preserve">*Pastabos: </w:t>
      </w:r>
    </w:p>
    <w:p w14:paraId="0C8A86B8" w14:textId="7EF30C25" w:rsidR="00AE6083" w:rsidRPr="00812D7D" w:rsidRDefault="00AE6083" w:rsidP="00AE6083">
      <w:pPr>
        <w:widowControl w:val="0"/>
        <w:suppressAutoHyphens/>
        <w:jc w:val="both"/>
        <w:rPr>
          <w:rFonts w:ascii="Times New Roman" w:eastAsia="Lucida Sans Unicode" w:hAnsi="Times New Roman" w:cs="Times New Roman"/>
          <w14:ligatures w14:val="none"/>
        </w:rPr>
      </w:pPr>
      <w:r w:rsidRPr="00812D7D">
        <w:rPr>
          <w:rFonts w:ascii="Times New Roman" w:eastAsia="Lucida Sans Unicode" w:hAnsi="Times New Roman" w:cs="Times New Roman"/>
          <w14:ligatures w14:val="none"/>
        </w:rPr>
        <w:t xml:space="preserve">1. pildyti tuomet, jei bus pateikta konfidenciali informacija. </w:t>
      </w:r>
      <w:r w:rsidR="00776003" w:rsidRPr="00812D7D">
        <w:rPr>
          <w:rFonts w:ascii="Times New Roman" w:eastAsia="Lucida Sans Unicode" w:hAnsi="Times New Roman" w:cs="Times New Roman"/>
          <w14:ligatures w14:val="none"/>
        </w:rPr>
        <w:t>Tiekėjas</w:t>
      </w:r>
      <w:r w:rsidRPr="00812D7D">
        <w:rPr>
          <w:rFonts w:ascii="Times New Roman" w:eastAsia="Lucida Sans Unicode" w:hAnsi="Times New Roman" w:cs="Times New Roman"/>
          <w14:ligatures w14:val="none"/>
        </w:rPr>
        <w:t xml:space="preserve"> negali nurodyti, kad konfidenciali yra pasiūlymo kaina arba, kad visas pasiūlymas yra konfidencialus; </w:t>
      </w:r>
    </w:p>
    <w:p w14:paraId="395F0255" w14:textId="77777777" w:rsidR="00AE6083" w:rsidRPr="00812D7D" w:rsidRDefault="00AE6083" w:rsidP="00AE6083">
      <w:pPr>
        <w:widowControl w:val="0"/>
        <w:suppressAutoHyphens/>
        <w:jc w:val="both"/>
        <w:rPr>
          <w:rFonts w:ascii="Times New Roman" w:eastAsia="Lucida Sans Unicode" w:hAnsi="Times New Roman" w:cs="Times New Roman"/>
          <w14:ligatures w14:val="none"/>
        </w:rPr>
      </w:pPr>
      <w:r w:rsidRPr="00812D7D">
        <w:rPr>
          <w:rFonts w:ascii="Times New Roman" w:eastAsia="Lucida Sans Unicode" w:hAnsi="Times New Roman" w:cs="Times New Roman"/>
          <w14:ligatures w14:val="none"/>
        </w:rPr>
        <w:lastRenderedPageBreak/>
        <w:t xml:space="preserve">2. tiekėjui nenurodžius, kokia informacija yra konfidenciali, laikoma, kad konfidencialios informacijos pasiūlyme nėra; </w:t>
      </w:r>
    </w:p>
    <w:p w14:paraId="0CE94748" w14:textId="77777777" w:rsidR="00AE6083" w:rsidRPr="00812D7D" w:rsidRDefault="00AE6083" w:rsidP="00AE6083">
      <w:pPr>
        <w:widowControl w:val="0"/>
        <w:suppressAutoHyphens/>
        <w:jc w:val="both"/>
        <w:rPr>
          <w:rFonts w:ascii="Times New Roman" w:eastAsia="Lucida Sans Unicode" w:hAnsi="Times New Roman" w:cs="Times New Roman"/>
          <w14:ligatures w14:val="none"/>
        </w:rPr>
      </w:pPr>
      <w:r w:rsidRPr="00812D7D">
        <w:rPr>
          <w:rFonts w:ascii="Times New Roman" w:eastAsia="Lucida Sans Unicode" w:hAnsi="Times New Roman" w:cs="Times New Roman"/>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283AD574" w14:textId="577E79C2" w:rsidR="00DB17FE" w:rsidRPr="00812D7D" w:rsidRDefault="00AE6083" w:rsidP="0078685D">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B67643">
        <w:rPr>
          <w:rFonts w:ascii="Times New Roman" w:eastAsia="Times New Roman" w:hAnsi="Times New Roman" w:cs="Times New Roman"/>
          <w:iCs/>
          <w:sz w:val="24"/>
          <w:szCs w:val="24"/>
          <w14:ligatures w14:val="none"/>
        </w:rPr>
        <w:t>3 mėn</w:t>
      </w:r>
      <w:r w:rsidRPr="00FD3ED1">
        <w:rPr>
          <w:rFonts w:ascii="Times New Roman" w:eastAsia="Times New Roman" w:hAnsi="Times New Roman" w:cs="Times New Roman"/>
          <w:iCs/>
          <w:sz w:val="24"/>
          <w:szCs w:val="24"/>
          <w14:ligatures w14:val="none"/>
        </w:rPr>
        <w:t>. nuo pasiūlymų pateikimo galutinio termino pabaigos.</w:t>
      </w:r>
    </w:p>
    <w:p w14:paraId="18036CB0" w14:textId="77777777" w:rsid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p w14:paraId="63193F6A"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0"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1"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5"/>
  </w:num>
  <w:num w:numId="2" w16cid:durableId="918364534">
    <w:abstractNumId w:val="22"/>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0"/>
  </w:num>
  <w:num w:numId="8" w16cid:durableId="946886966">
    <w:abstractNumId w:val="16"/>
  </w:num>
  <w:num w:numId="9" w16cid:durableId="59443305">
    <w:abstractNumId w:val="19"/>
  </w:num>
  <w:num w:numId="10" w16cid:durableId="1494252782">
    <w:abstractNumId w:val="10"/>
  </w:num>
  <w:num w:numId="11" w16cid:durableId="2127306111">
    <w:abstractNumId w:val="17"/>
  </w:num>
  <w:num w:numId="12" w16cid:durableId="1927110053">
    <w:abstractNumId w:val="23"/>
  </w:num>
  <w:num w:numId="13" w16cid:durableId="637422562">
    <w:abstractNumId w:val="13"/>
  </w:num>
  <w:num w:numId="14" w16cid:durableId="1701541194">
    <w:abstractNumId w:val="21"/>
  </w:num>
  <w:num w:numId="15" w16cid:durableId="1917781488">
    <w:abstractNumId w:val="22"/>
  </w:num>
  <w:num w:numId="16" w16cid:durableId="275524819">
    <w:abstractNumId w:val="7"/>
  </w:num>
  <w:num w:numId="17" w16cid:durableId="1454250703">
    <w:abstractNumId w:val="6"/>
  </w:num>
  <w:num w:numId="18" w16cid:durableId="813790854">
    <w:abstractNumId w:val="18"/>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4"/>
  </w:num>
  <w:num w:numId="25" w16cid:durableId="1438134280">
    <w:abstractNumId w:val="9"/>
  </w:num>
  <w:num w:numId="26" w16cid:durableId="1798258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B501F"/>
    <w:rsid w:val="000B7D71"/>
    <w:rsid w:val="000D6E09"/>
    <w:rsid w:val="00121603"/>
    <w:rsid w:val="00184F13"/>
    <w:rsid w:val="001A2F7D"/>
    <w:rsid w:val="001A512B"/>
    <w:rsid w:val="001A5DE2"/>
    <w:rsid w:val="001D74A7"/>
    <w:rsid w:val="001E231C"/>
    <w:rsid w:val="001E2797"/>
    <w:rsid w:val="001E3FFE"/>
    <w:rsid w:val="002944A6"/>
    <w:rsid w:val="002B1338"/>
    <w:rsid w:val="002C1122"/>
    <w:rsid w:val="002C4453"/>
    <w:rsid w:val="002E2FE9"/>
    <w:rsid w:val="002F0BD4"/>
    <w:rsid w:val="002F4E41"/>
    <w:rsid w:val="003365E7"/>
    <w:rsid w:val="00341B0C"/>
    <w:rsid w:val="003749FC"/>
    <w:rsid w:val="003D3098"/>
    <w:rsid w:val="00410B7A"/>
    <w:rsid w:val="00467754"/>
    <w:rsid w:val="00482310"/>
    <w:rsid w:val="00491505"/>
    <w:rsid w:val="004A7C9B"/>
    <w:rsid w:val="004B1D86"/>
    <w:rsid w:val="00506699"/>
    <w:rsid w:val="00511E42"/>
    <w:rsid w:val="005237C1"/>
    <w:rsid w:val="0052631B"/>
    <w:rsid w:val="00552866"/>
    <w:rsid w:val="0056092D"/>
    <w:rsid w:val="005A2A55"/>
    <w:rsid w:val="005C5B6E"/>
    <w:rsid w:val="005F1FB4"/>
    <w:rsid w:val="00602FB1"/>
    <w:rsid w:val="006070EB"/>
    <w:rsid w:val="0063775A"/>
    <w:rsid w:val="00654025"/>
    <w:rsid w:val="006979B6"/>
    <w:rsid w:val="006B2030"/>
    <w:rsid w:val="006F78CA"/>
    <w:rsid w:val="007033B3"/>
    <w:rsid w:val="00705013"/>
    <w:rsid w:val="00715707"/>
    <w:rsid w:val="00716B3D"/>
    <w:rsid w:val="0075451A"/>
    <w:rsid w:val="00765718"/>
    <w:rsid w:val="00776003"/>
    <w:rsid w:val="0078685D"/>
    <w:rsid w:val="00791CAE"/>
    <w:rsid w:val="007A2DDF"/>
    <w:rsid w:val="007B6051"/>
    <w:rsid w:val="007D6419"/>
    <w:rsid w:val="007F6897"/>
    <w:rsid w:val="00803474"/>
    <w:rsid w:val="00812D7D"/>
    <w:rsid w:val="00836E17"/>
    <w:rsid w:val="00841455"/>
    <w:rsid w:val="008517C7"/>
    <w:rsid w:val="0087155C"/>
    <w:rsid w:val="008760BE"/>
    <w:rsid w:val="00896FF9"/>
    <w:rsid w:val="008A1E78"/>
    <w:rsid w:val="008B3E12"/>
    <w:rsid w:val="0090054D"/>
    <w:rsid w:val="00912BD7"/>
    <w:rsid w:val="009219E6"/>
    <w:rsid w:val="00924220"/>
    <w:rsid w:val="00944885"/>
    <w:rsid w:val="00946ABA"/>
    <w:rsid w:val="00956858"/>
    <w:rsid w:val="009A586B"/>
    <w:rsid w:val="009B0424"/>
    <w:rsid w:val="009D6547"/>
    <w:rsid w:val="009F6A13"/>
    <w:rsid w:val="00A53D56"/>
    <w:rsid w:val="00A629A2"/>
    <w:rsid w:val="00A9525C"/>
    <w:rsid w:val="00A956B2"/>
    <w:rsid w:val="00AA2F0B"/>
    <w:rsid w:val="00AB389B"/>
    <w:rsid w:val="00AD0F90"/>
    <w:rsid w:val="00AD33BA"/>
    <w:rsid w:val="00AE6083"/>
    <w:rsid w:val="00AF0614"/>
    <w:rsid w:val="00B07717"/>
    <w:rsid w:val="00B22BDA"/>
    <w:rsid w:val="00B30650"/>
    <w:rsid w:val="00B37125"/>
    <w:rsid w:val="00B53146"/>
    <w:rsid w:val="00B67643"/>
    <w:rsid w:val="00B904E8"/>
    <w:rsid w:val="00BA63CE"/>
    <w:rsid w:val="00BB0C8C"/>
    <w:rsid w:val="00BC75F9"/>
    <w:rsid w:val="00BD0D1E"/>
    <w:rsid w:val="00BE17B3"/>
    <w:rsid w:val="00C212B0"/>
    <w:rsid w:val="00C25E0E"/>
    <w:rsid w:val="00C4671F"/>
    <w:rsid w:val="00C7523B"/>
    <w:rsid w:val="00CA0E08"/>
    <w:rsid w:val="00CC7B66"/>
    <w:rsid w:val="00CD1D16"/>
    <w:rsid w:val="00CD554B"/>
    <w:rsid w:val="00CD6230"/>
    <w:rsid w:val="00CE029A"/>
    <w:rsid w:val="00CE6F5A"/>
    <w:rsid w:val="00CF4312"/>
    <w:rsid w:val="00D07C69"/>
    <w:rsid w:val="00D15074"/>
    <w:rsid w:val="00D26D49"/>
    <w:rsid w:val="00D34D26"/>
    <w:rsid w:val="00D50697"/>
    <w:rsid w:val="00D51B61"/>
    <w:rsid w:val="00D65329"/>
    <w:rsid w:val="00DB17FE"/>
    <w:rsid w:val="00DE1630"/>
    <w:rsid w:val="00DE3969"/>
    <w:rsid w:val="00E33306"/>
    <w:rsid w:val="00E338C2"/>
    <w:rsid w:val="00E6388E"/>
    <w:rsid w:val="00E66A84"/>
    <w:rsid w:val="00E7592E"/>
    <w:rsid w:val="00EA1869"/>
    <w:rsid w:val="00EB0CA8"/>
    <w:rsid w:val="00EC0029"/>
    <w:rsid w:val="00ED5181"/>
    <w:rsid w:val="00EE221E"/>
    <w:rsid w:val="00EF25CD"/>
    <w:rsid w:val="00F952AF"/>
    <w:rsid w:val="00F97149"/>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5756</Words>
  <Characters>3282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13</cp:revision>
  <cp:lastPrinted>2023-07-26T08:25:00Z</cp:lastPrinted>
  <dcterms:created xsi:type="dcterms:W3CDTF">2024-08-16T09:41:00Z</dcterms:created>
  <dcterms:modified xsi:type="dcterms:W3CDTF">2024-11-19T08:17:00Z</dcterms:modified>
</cp:coreProperties>
</file>