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1C007CEE" w:rsidR="006B07B9" w:rsidRPr="0077066D" w:rsidRDefault="00CA66A8"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Sporto  infrastruktūros su statiniais, Taikos g. 4, Salantai, Kretingos r., p</w:t>
            </w:r>
            <w:r w:rsidR="000C53E1" w:rsidRPr="00CD52B4">
              <w:rPr>
                <w:rFonts w:ascii="Arial" w:eastAsia="Arial" w:hAnsi="Arial" w:cs="Arial"/>
                <w:sz w:val="18"/>
                <w:szCs w:val="18"/>
                <w:lang w:val="lt-LT"/>
              </w:rPr>
              <w:t>rojekto parengimas ir statybos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1F9A89E3" w:rsidR="006B07B9"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(8 445)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3AD29596" w:rsidR="00DB3AA3" w:rsidRDefault="00DB3AA3"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p w14:paraId="28730F70" w14:textId="77777777" w:rsidR="00DB3AA3" w:rsidRDefault="00DB3AA3" w:rsidP="00742EB0">
            <w:pPr>
              <w:tabs>
                <w:tab w:val="left" w:pos="1019"/>
              </w:tabs>
              <w:spacing w:before="40" w:after="40" w:line="240" w:lineRule="auto"/>
              <w:rPr>
                <w:rFonts w:ascii="Arial" w:eastAsia="Arial" w:hAnsi="Arial" w:cs="Arial"/>
                <w:sz w:val="18"/>
                <w:szCs w:val="18"/>
                <w:lang w:val="lt-LT"/>
              </w:rPr>
            </w:pPr>
          </w:p>
          <w:p w14:paraId="562609ED" w14:textId="3D2035D4" w:rsidR="000F27DF" w:rsidRPr="00E0037A" w:rsidRDefault="006D263E"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73343F22"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77777777" w:rsid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8 445 74140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6D263E"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A701F10" w:rsidR="006006C2" w:rsidRPr="00CD52B4" w:rsidRDefault="00CA66A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Sporto  infrastruktūros su statiniais, Taikos g. 4, Salantai, Kretingos r., p</w:t>
            </w:r>
            <w:r w:rsidRPr="00CD52B4">
              <w:rPr>
                <w:rFonts w:ascii="Arial" w:eastAsia="Arial" w:hAnsi="Arial" w:cs="Arial"/>
                <w:sz w:val="18"/>
                <w:szCs w:val="18"/>
                <w:lang w:val="lt-LT"/>
              </w:rPr>
              <w:t>rojekto parengimas ir statybos 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04572A17" w:rsidR="006006C2" w:rsidRPr="00CD52B4" w:rsidRDefault="00CA66A8"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Taikos g. 4</w:t>
            </w:r>
            <w:r w:rsidR="000C53E1" w:rsidRPr="00CD52B4">
              <w:rPr>
                <w:rFonts w:ascii="Arial" w:eastAsia="Arial" w:hAnsi="Arial" w:cs="Arial"/>
                <w:sz w:val="18"/>
                <w:szCs w:val="18"/>
                <w:lang w:val="lt-LT"/>
              </w:rPr>
              <w:t xml:space="preserve">, </w:t>
            </w:r>
            <w:r>
              <w:rPr>
                <w:rFonts w:ascii="Arial" w:eastAsia="Arial" w:hAnsi="Arial" w:cs="Arial"/>
                <w:sz w:val="18"/>
                <w:szCs w:val="18"/>
                <w:lang w:val="lt-LT"/>
              </w:rPr>
              <w:t>Salantai,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301A253C" w:rsidR="006006C2" w:rsidRPr="00CD52B4" w:rsidRDefault="00B5764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4400-5626-7193</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6857B540" w:rsidR="006006C2" w:rsidRPr="00CD52B4" w:rsidRDefault="00F56C4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Inžineriniai statiniai</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6AD372D" w:rsidR="0055165E" w:rsidRPr="00CD52B4" w:rsidRDefault="0055165E" w:rsidP="00742EB0">
            <w:pPr>
              <w:spacing w:before="40" w:after="40" w:line="240" w:lineRule="auto"/>
              <w:jc w:val="both"/>
              <w:rPr>
                <w:rFonts w:ascii="Arial" w:eastAsia="Arial" w:hAnsi="Arial" w:cs="Arial"/>
                <w:sz w:val="18"/>
                <w:szCs w:val="18"/>
                <w:lang w:val="lt-LT"/>
              </w:rPr>
            </w:pP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6D263E"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6D263E"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6D263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6D263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CD52B4" w:rsidRPr="00CD52B4" w14:paraId="69EE2352" w14:textId="77777777" w:rsidTr="00742EB0">
        <w:trPr>
          <w:trHeight w:val="206"/>
        </w:trPr>
        <w:tc>
          <w:tcPr>
            <w:tcW w:w="5672" w:type="dxa"/>
            <w:gridSpan w:val="3"/>
            <w:shd w:val="clear" w:color="auto" w:fill="F2F2F2"/>
            <w:vAlign w:val="center"/>
          </w:tcPr>
          <w:p w14:paraId="00000182" w14:textId="0D018910" w:rsidR="0055165E" w:rsidRPr="00CD52B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Visų Darbų Galutinis terminas (1.1.12 p.)</w:t>
            </w:r>
          </w:p>
        </w:tc>
        <w:tc>
          <w:tcPr>
            <w:tcW w:w="4534" w:type="dxa"/>
            <w:gridSpan w:val="2"/>
            <w:vAlign w:val="center"/>
          </w:tcPr>
          <w:p w14:paraId="00000186" w14:textId="00349DD3" w:rsidR="00E27044" w:rsidRPr="00CD52B4" w:rsidRDefault="001476DE"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vėliau kaip per .................... mėnesius (</w:t>
            </w:r>
            <w:r w:rsidR="0038547C">
              <w:rPr>
                <w:rFonts w:ascii="Arial" w:eastAsia="Arial" w:hAnsi="Arial" w:cs="Arial"/>
                <w:sz w:val="18"/>
                <w:szCs w:val="18"/>
                <w:lang w:val="lt-LT"/>
              </w:rPr>
              <w:t xml:space="preserve">techninio darbo projekto parengimo terminas ir </w:t>
            </w:r>
            <w:r w:rsidR="006670E1">
              <w:rPr>
                <w:rFonts w:ascii="Arial" w:eastAsia="Arial" w:hAnsi="Arial" w:cs="Arial"/>
                <w:sz w:val="18"/>
                <w:szCs w:val="18"/>
                <w:lang w:val="lt-LT"/>
              </w:rPr>
              <w:t xml:space="preserve">statybos darbų atlikimo terminas </w:t>
            </w:r>
            <w:r w:rsidR="0038547C">
              <w:rPr>
                <w:rFonts w:ascii="Arial" w:eastAsia="Arial" w:hAnsi="Arial" w:cs="Arial"/>
                <w:sz w:val="18"/>
                <w:szCs w:val="18"/>
                <w:lang w:val="lt-LT"/>
              </w:rPr>
              <w:t>(</w:t>
            </w:r>
            <w:r>
              <w:rPr>
                <w:rFonts w:ascii="Arial" w:eastAsia="Arial" w:hAnsi="Arial" w:cs="Arial"/>
                <w:sz w:val="18"/>
                <w:szCs w:val="18"/>
                <w:lang w:val="lt-LT"/>
              </w:rPr>
              <w:t>įrašoma</w:t>
            </w:r>
            <w:r w:rsidR="005B2A37">
              <w:rPr>
                <w:rFonts w:ascii="Arial" w:eastAsia="Arial" w:hAnsi="Arial" w:cs="Arial"/>
                <w:sz w:val="18"/>
                <w:szCs w:val="18"/>
                <w:lang w:val="lt-LT"/>
              </w:rPr>
              <w:t>s</w:t>
            </w:r>
            <w:r w:rsidR="00D74979">
              <w:rPr>
                <w:rFonts w:ascii="Arial" w:eastAsia="Arial" w:hAnsi="Arial" w:cs="Arial"/>
                <w:sz w:val="18"/>
                <w:szCs w:val="18"/>
                <w:lang w:val="lt-LT"/>
              </w:rPr>
              <w:t xml:space="preserve"> iš Rangovo</w:t>
            </w:r>
            <w:r>
              <w:rPr>
                <w:rFonts w:ascii="Arial" w:eastAsia="Arial" w:hAnsi="Arial" w:cs="Arial"/>
                <w:sz w:val="18"/>
                <w:szCs w:val="18"/>
                <w:lang w:val="lt-LT"/>
              </w:rPr>
              <w:t xml:space="preserve"> pasiūlymo)</w:t>
            </w:r>
            <w:r w:rsidR="0038547C">
              <w:rPr>
                <w:rFonts w:ascii="Arial" w:eastAsia="Arial" w:hAnsi="Arial" w:cs="Arial"/>
                <w:sz w:val="18"/>
                <w:szCs w:val="18"/>
                <w:lang w:val="lt-LT"/>
              </w:rPr>
              <w:t>)</w:t>
            </w:r>
            <w:r>
              <w:rPr>
                <w:rFonts w:ascii="Arial" w:eastAsia="Arial" w:hAnsi="Arial" w:cs="Arial"/>
                <w:sz w:val="18"/>
                <w:szCs w:val="18"/>
                <w:lang w:val="lt-LT"/>
              </w:rPr>
              <w:t xml:space="preserve"> </w:t>
            </w:r>
            <w:r w:rsidR="00E27044" w:rsidRPr="00CD52B4">
              <w:rPr>
                <w:rFonts w:ascii="Arial" w:eastAsia="Arial" w:hAnsi="Arial" w:cs="Arial"/>
                <w:sz w:val="18"/>
                <w:szCs w:val="18"/>
                <w:lang w:val="lt-LT"/>
              </w:rPr>
              <w:t xml:space="preserve"> nuo sutarties įsigaliojimo dienos.</w:t>
            </w:r>
          </w:p>
        </w:tc>
      </w:tr>
      <w:tr w:rsidR="00CD52B4" w:rsidRPr="00CD52B4" w14:paraId="1B1DC855" w14:textId="77777777" w:rsidTr="00742EB0">
        <w:trPr>
          <w:trHeight w:val="206"/>
        </w:trPr>
        <w:tc>
          <w:tcPr>
            <w:tcW w:w="5672" w:type="dxa"/>
            <w:gridSpan w:val="3"/>
            <w:shd w:val="clear" w:color="auto" w:fill="F2F2F2"/>
            <w:vAlign w:val="center"/>
          </w:tcPr>
          <w:p w14:paraId="3088D1BC" w14:textId="7DE5426D" w:rsidR="00E27044" w:rsidRPr="00CD52B4" w:rsidRDefault="00E27044" w:rsidP="00E27044">
            <w:pPr>
              <w:spacing w:before="40" w:after="40" w:line="240" w:lineRule="auto"/>
              <w:ind w:left="476"/>
              <w:rPr>
                <w:rFonts w:ascii="Arial" w:eastAsia="Arial" w:hAnsi="Arial" w:cs="Arial"/>
                <w:sz w:val="18"/>
                <w:szCs w:val="18"/>
                <w:lang w:val="lt-LT"/>
              </w:rPr>
            </w:pPr>
            <w:r w:rsidRPr="00CD52B4">
              <w:rPr>
                <w:rFonts w:ascii="Arial" w:eastAsia="Arial" w:hAnsi="Arial" w:cs="Arial"/>
                <w:sz w:val="18"/>
                <w:szCs w:val="18"/>
                <w:lang w:val="lt-LT"/>
              </w:rPr>
              <w:t>10.1.2. Techninio darbo projekto parengimas</w:t>
            </w:r>
          </w:p>
        </w:tc>
        <w:tc>
          <w:tcPr>
            <w:tcW w:w="4534" w:type="dxa"/>
            <w:gridSpan w:val="2"/>
            <w:vAlign w:val="center"/>
          </w:tcPr>
          <w:p w14:paraId="3C3B8EFA" w14:textId="58613A3A" w:rsidR="009B6E42" w:rsidRPr="00CD52B4" w:rsidRDefault="00B5764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7</w:t>
            </w:r>
            <w:r w:rsidR="00E27044" w:rsidRPr="00CD52B4">
              <w:rPr>
                <w:rFonts w:ascii="Arial" w:eastAsia="Arial" w:hAnsi="Arial" w:cs="Arial"/>
                <w:sz w:val="18"/>
                <w:szCs w:val="18"/>
                <w:lang w:val="lt-LT"/>
              </w:rPr>
              <w:t xml:space="preserve"> mėn. nuo</w:t>
            </w:r>
            <w:r w:rsidR="009B6E42" w:rsidRPr="00CD52B4">
              <w:rPr>
                <w:rFonts w:ascii="Arial" w:eastAsia="Arial" w:hAnsi="Arial" w:cs="Arial"/>
                <w:sz w:val="18"/>
                <w:szCs w:val="18"/>
                <w:lang w:val="lt-LT"/>
              </w:rPr>
              <w:t xml:space="preserve"> sutarties įsigaliojimo dienos. </w:t>
            </w:r>
          </w:p>
          <w:p w14:paraId="0BE2E953" w14:textId="7435F988" w:rsidR="00E27044" w:rsidRPr="00CD52B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lastRenderedPageBreak/>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4D8EFE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5316FD25" w:rsidR="00E0037A" w:rsidRPr="00E0037A" w:rsidRDefault="009B6E42"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4663428" w:rsidR="000400A0"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0557340" w:rsidR="00E0037A" w:rsidRPr="00E0037A" w:rsidRDefault="00E0037A" w:rsidP="00742EB0">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0A56DD">
              <w:rPr>
                <w:rFonts w:ascii="Arial" w:eastAsia="Arial" w:hAnsi="Arial" w:cs="Arial"/>
                <w:sz w:val="18"/>
                <w:szCs w:val="18"/>
                <w:lang w:val="lt-LT"/>
              </w:rPr>
              <w:t>[10 000,00</w:t>
            </w:r>
            <w:r w:rsidR="000A56DD" w:rsidRPr="00E0037A">
              <w:rPr>
                <w:rFonts w:ascii="Arial" w:eastAsia="Arial" w:hAnsi="Arial" w:cs="Arial"/>
                <w:sz w:val="18"/>
                <w:szCs w:val="18"/>
                <w:lang w:val="lt-LT"/>
              </w:rPr>
              <w:t>] EUR</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7B2AAB4D"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C327238"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1EBD7DC5" w:rsidR="00E0037A" w:rsidRPr="00E0037A" w:rsidRDefault="006D263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AA4B50">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0D384024" w:rsidR="00E0037A" w:rsidRPr="00E0037A" w:rsidRDefault="006D263E"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AA4B50">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5B9A8B68" w:rsidR="00E0037A" w:rsidRPr="00E0037A" w:rsidRDefault="002B2CA0"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Garantinių įsipareigojimų </w:t>
            </w:r>
            <w:r w:rsidRPr="00E0037A">
              <w:rPr>
                <w:rFonts w:ascii="Arial" w:eastAsia="Arial" w:hAnsi="Arial" w:cs="Arial"/>
                <w:sz w:val="18"/>
                <w:szCs w:val="18"/>
                <w:lang w:val="lt-LT"/>
              </w:rPr>
              <w:lastRenderedPageBreak/>
              <w:t>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lastRenderedPageBreak/>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4439A3AD"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EC6C60" w:rsidRPr="00CD52B4">
              <w:rPr>
                <w:rFonts w:ascii="Arial" w:eastAsia="Arial" w:hAnsi="Arial" w:cs="Arial"/>
                <w:sz w:val="18"/>
                <w:szCs w:val="18"/>
                <w:lang w:val="lt-LT"/>
              </w:rPr>
              <w:t xml:space="preserve"> (Techninė projektavimo užduotis)</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proofErr w:type="gramStart"/>
            <w:r w:rsidRPr="00104823">
              <w:rPr>
                <w:sz w:val="18"/>
                <w:szCs w:val="18"/>
              </w:rPr>
              <w:t>4.str</w:t>
            </w:r>
            <w:proofErr w:type="gramEnd"/>
            <w:r w:rsidRPr="00104823">
              <w:rPr>
                <w:sz w:val="18"/>
                <w:szCs w:val="18"/>
              </w:rPr>
              <w:t>.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w:t>
            </w:r>
            <w:r w:rsidRPr="00104823">
              <w:rPr>
                <w:rFonts w:ascii="Arial" w:hAnsi="Arial" w:cs="Arial"/>
                <w:sz w:val="18"/>
                <w:szCs w:val="18"/>
              </w:rPr>
              <w:lastRenderedPageBreak/>
              <w:t xml:space="preserve">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 xml:space="preserve">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w:t>
            </w:r>
            <w:r w:rsidRPr="00104823">
              <w:rPr>
                <w:rFonts w:ascii="Arial" w:hAnsi="Arial" w:cs="Arial"/>
                <w:sz w:val="18"/>
                <w:szCs w:val="18"/>
              </w:rPr>
              <w:lastRenderedPageBreak/>
              <w:t>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w:t>
            </w:r>
            <w:r w:rsidRPr="00104823">
              <w:rPr>
                <w:rFonts w:ascii="Arial" w:hAnsi="Arial" w:cs="Arial"/>
                <w:sz w:val="18"/>
                <w:szCs w:val="18"/>
              </w:rPr>
              <w:lastRenderedPageBreak/>
              <w:t xml:space="preserve">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7C8C4639" w14:textId="1710FD97"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 xml:space="preserve">Pirmoji Sutarties kainos </w:t>
            </w:r>
            <w:bookmarkStart w:id="38" w:name="_GoBack"/>
            <w:bookmarkEnd w:id="38"/>
            <w:r w:rsidRPr="00F03993">
              <w:rPr>
                <w:rFonts w:ascii="Arial" w:hAnsi="Arial" w:cs="Arial"/>
                <w:sz w:val="18"/>
                <w:szCs w:val="18"/>
              </w:rPr>
              <w:t>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689F7F71" w14:textId="77777777" w:rsidR="005B044D" w:rsidRPr="00457D3C" w:rsidRDefault="005B044D" w:rsidP="005B044D">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457D3C">
              <w:rPr>
                <w:rFonts w:ascii="Arial" w:hAnsi="Arial" w:cs="Arial"/>
                <w:b/>
                <w:sz w:val="18"/>
                <w:szCs w:val="18"/>
              </w:rPr>
              <w:t>16.2.10</w:t>
            </w:r>
            <w:r w:rsidRPr="00457D3C">
              <w:rPr>
                <w:rFonts w:ascii="Arial" w:hAnsi="Arial" w:cs="Arial"/>
                <w:b/>
                <w:sz w:val="18"/>
                <w:szCs w:val="18"/>
                <w:vertAlign w:val="superscript"/>
              </w:rPr>
              <w:t>1</w:t>
            </w:r>
            <w:r w:rsidRPr="00457D3C">
              <w:rPr>
                <w:rFonts w:ascii="Arial" w:hAnsi="Arial" w:cs="Arial"/>
                <w:b/>
                <w:sz w:val="18"/>
                <w:szCs w:val="18"/>
              </w:rPr>
              <w:t>. p. už faktiškai atliktus darbus, finansuojamus iš kitų lėšų, apmokama per 60 kalendorinių dienų nuo atsiskaitymo dokumentų pateikimo Užsakovui dienos. Užsakovas neturi prievolės apmokėti Rangovo sąskaitą faktūrą, jeigu aukščiau aprašyta tvarka nėra patvirtintas Atliktų darbų aktas ir jo pagrindu parengtoji Pažyma apie atliktų darbų vertę.</w:t>
            </w:r>
          </w:p>
          <w:p w14:paraId="7BA8FB70"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bookmarkStart w:id="41" w:name="_Ref89046351"/>
            <w:r w:rsidRPr="00104823">
              <w:rPr>
                <w:rFonts w:ascii="Arial" w:hAnsi="Arial" w:cs="Arial"/>
                <w:sz w:val="18"/>
                <w:szCs w:val="18"/>
              </w:rPr>
              <w:t xml:space="preserve"> </w:t>
            </w:r>
            <w:bookmarkEnd w:id="41"/>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lastRenderedPageBreak/>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B57645" w:rsidRDefault="00B57645">
      <w:pPr>
        <w:spacing w:after="0" w:line="240" w:lineRule="auto"/>
      </w:pPr>
      <w:r>
        <w:separator/>
      </w:r>
    </w:p>
  </w:endnote>
  <w:endnote w:type="continuationSeparator" w:id="0">
    <w:p w14:paraId="750C6DD6" w14:textId="77777777" w:rsidR="00B57645" w:rsidRDefault="00B57645">
      <w:pPr>
        <w:spacing w:after="0" w:line="240" w:lineRule="auto"/>
      </w:pPr>
      <w:r>
        <w:continuationSeparator/>
      </w:r>
    </w:p>
  </w:endnote>
  <w:endnote w:type="continuationNotice" w:id="1">
    <w:p w14:paraId="1295A8FA" w14:textId="77777777" w:rsidR="00B57645" w:rsidRDefault="00B57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B57645" w:rsidRDefault="00B5764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B57645" w:rsidRDefault="00B5764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6D263E" w:rsidRPr="006D263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6D263E">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B57645" w:rsidRDefault="00B5764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B57645" w:rsidRDefault="00B5764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7497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74979">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B57645" w:rsidRDefault="00B57645">
      <w:pPr>
        <w:spacing w:after="0" w:line="240" w:lineRule="auto"/>
      </w:pPr>
      <w:r>
        <w:separator/>
      </w:r>
    </w:p>
  </w:footnote>
  <w:footnote w:type="continuationSeparator" w:id="0">
    <w:p w14:paraId="16E8F754" w14:textId="77777777" w:rsidR="00B57645" w:rsidRDefault="00B57645">
      <w:pPr>
        <w:spacing w:after="0" w:line="240" w:lineRule="auto"/>
      </w:pPr>
      <w:r>
        <w:continuationSeparator/>
      </w:r>
    </w:p>
  </w:footnote>
  <w:footnote w:type="continuationNotice" w:id="1">
    <w:p w14:paraId="79A5689F" w14:textId="77777777" w:rsidR="00B57645" w:rsidRDefault="00B576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B57645" w:rsidRPr="00211172" w:rsidRDefault="00B5764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B57645" w:rsidRDefault="00B5764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9134E"/>
    <w:rsid w:val="00331EAD"/>
    <w:rsid w:val="0033376D"/>
    <w:rsid w:val="003428CE"/>
    <w:rsid w:val="00367AC3"/>
    <w:rsid w:val="003B476A"/>
    <w:rsid w:val="003E1AA1"/>
    <w:rsid w:val="004907AF"/>
    <w:rsid w:val="00541F22"/>
    <w:rsid w:val="005A5D30"/>
    <w:rsid w:val="00613672"/>
    <w:rsid w:val="00617B13"/>
    <w:rsid w:val="00642A73"/>
    <w:rsid w:val="006567BD"/>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90af9f17-34fb-4cb9-b32f-8fd3c6b167af"/>
    <ds:schemaRef ds:uri="http://www.w3.org/XML/1998/namespace"/>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56615-218F-4CC3-B59D-231E60ECA45F}">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33BF4BA-F645-466E-89E1-6D69D752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6EC82CCB</Template>
  <TotalTime>110</TotalTime>
  <Pages>9</Pages>
  <Words>18259</Words>
  <Characters>10409</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19</cp:revision>
  <cp:lastPrinted>2025-02-04T12:12:00Z</cp:lastPrinted>
  <dcterms:created xsi:type="dcterms:W3CDTF">2025-01-21T07:34:00Z</dcterms:created>
  <dcterms:modified xsi:type="dcterms:W3CDTF">2025-02-04T12:16:00Z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