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B769" w14:textId="77777777" w:rsidR="00D428D4" w:rsidRPr="00EA4E9C" w:rsidRDefault="00D428D4" w:rsidP="00D428D4">
      <w:pPr>
        <w:rPr>
          <w:rFonts w:ascii="Arial Narrow" w:hAnsi="Arial Narrow"/>
          <w:sz w:val="22"/>
          <w:szCs w:val="22"/>
        </w:rPr>
      </w:pPr>
    </w:p>
    <w:p w14:paraId="760B5BD6" w14:textId="77777777" w:rsidR="007E4B7D" w:rsidRDefault="007E4B7D" w:rsidP="007E4B7D">
      <w:pPr>
        <w:rPr>
          <w:rFonts w:ascii="Arial Narrow" w:hAnsi="Arial Narrow"/>
          <w:sz w:val="20"/>
        </w:rPr>
      </w:pPr>
    </w:p>
    <w:p w14:paraId="63A40F8C" w14:textId="77777777" w:rsidR="00832D05" w:rsidRDefault="00832D05" w:rsidP="007E4B7D">
      <w:pPr>
        <w:rPr>
          <w:rFonts w:ascii="Arial Narrow" w:hAnsi="Arial Narrow"/>
          <w:sz w:val="20"/>
        </w:rPr>
      </w:pPr>
    </w:p>
    <w:p w14:paraId="622C9507" w14:textId="77777777" w:rsidR="00832D05" w:rsidRDefault="00832D05" w:rsidP="00832D05">
      <w:pPr>
        <w:pStyle w:val="Sraopastraipa"/>
        <w:numPr>
          <w:ilvl w:val="0"/>
          <w:numId w:val="20"/>
        </w:numPr>
        <w:spacing w:before="100" w:beforeAutospacing="1" w:after="100" w:afterAutospacing="1"/>
        <w:jc w:val="both"/>
        <w:rPr>
          <w:rFonts w:ascii="Times New Roman" w:eastAsia="Times New Roman" w:hAnsi="Times New Roman" w:cs="Times New Roman"/>
          <w:b/>
          <w:sz w:val="22"/>
          <w:lang w:eastAsia="lt-LT"/>
        </w:rPr>
      </w:pPr>
      <w:r w:rsidRPr="007F0C56">
        <w:rPr>
          <w:rFonts w:ascii="Times New Roman" w:eastAsia="Times New Roman" w:hAnsi="Times New Roman" w:cs="Times New Roman"/>
          <w:b/>
          <w:bCs/>
          <w:sz w:val="22"/>
          <w:lang w:eastAsia="lt-LT"/>
        </w:rPr>
        <w:t>Siūloma rekomendacija:</w:t>
      </w:r>
      <w:r w:rsidRPr="007F0C56">
        <w:rPr>
          <w:rFonts w:ascii="Times New Roman" w:eastAsia="Times New Roman" w:hAnsi="Times New Roman" w:cs="Times New Roman"/>
          <w:b/>
          <w:sz w:val="22"/>
          <w:lang w:eastAsia="lt-LT"/>
        </w:rPr>
        <w:t xml:space="preserve"> </w:t>
      </w:r>
    </w:p>
    <w:p w14:paraId="59EDA3C9" w14:textId="77777777" w:rsidR="00832D05" w:rsidRPr="007F0C56" w:rsidRDefault="00832D05" w:rsidP="00832D05">
      <w:pPr>
        <w:pStyle w:val="Sraopastraipa"/>
        <w:spacing w:before="100" w:beforeAutospacing="1" w:after="100" w:afterAutospacing="1"/>
        <w:jc w:val="both"/>
        <w:rPr>
          <w:rFonts w:ascii="Times New Roman" w:eastAsia="Times New Roman" w:hAnsi="Times New Roman" w:cs="Times New Roman"/>
          <w:b/>
          <w:sz w:val="22"/>
          <w:lang w:eastAsia="lt-LT"/>
        </w:rPr>
      </w:pPr>
    </w:p>
    <w:p w14:paraId="635E2BB8" w14:textId="77777777" w:rsidR="00832D05" w:rsidRPr="007F0C56" w:rsidRDefault="00832D05" w:rsidP="00832D05">
      <w:pPr>
        <w:pStyle w:val="Sraopastraipa"/>
        <w:spacing w:before="100" w:beforeAutospacing="1" w:after="100" w:afterAutospacing="1"/>
        <w:jc w:val="both"/>
        <w:rPr>
          <w:rFonts w:ascii="Times New Roman" w:eastAsia="Times New Roman" w:hAnsi="Times New Roman" w:cs="Times New Roman"/>
          <w:b/>
          <w:sz w:val="22"/>
          <w:lang w:eastAsia="lt-LT"/>
        </w:rPr>
      </w:pPr>
      <w:r w:rsidRPr="007F0C56">
        <w:rPr>
          <w:rFonts w:ascii="Times New Roman" w:eastAsia="Times New Roman" w:hAnsi="Times New Roman" w:cs="Times New Roman"/>
          <w:b/>
          <w:sz w:val="22"/>
          <w:lang w:eastAsia="lt-LT"/>
        </w:rPr>
        <w:t>Užsakovui verta keisti pirkimo modelį ir viename viešajame pirkime pirkti tiek projektinius pasiūlymus (toliau – PP), tiek techninį darbo projektą (toliau – TDP) iš vieno tiekėjo. Tai garantuotų didesnį procesų vientisumą, greitesnį įgyvendinimą ir mažesnes išlaidas.</w:t>
      </w:r>
    </w:p>
    <w:p w14:paraId="2EC02D8D" w14:textId="77777777" w:rsidR="00832D05" w:rsidRPr="00832D05" w:rsidRDefault="00832D05" w:rsidP="00832D05">
      <w:pPr>
        <w:pStyle w:val="Antrat3"/>
        <w:keepNext w:val="0"/>
        <w:keepLines w:val="0"/>
        <w:numPr>
          <w:ilvl w:val="0"/>
          <w:numId w:val="19"/>
        </w:numPr>
        <w:spacing w:before="100" w:beforeAutospacing="1" w:after="100" w:afterAutospacing="1"/>
        <w:rPr>
          <w:rFonts w:ascii="Times New Roman" w:hAnsi="Times New Roman" w:cs="Times New Roman"/>
          <w:i/>
          <w:color w:val="auto"/>
          <w:sz w:val="22"/>
          <w:szCs w:val="22"/>
        </w:rPr>
      </w:pPr>
      <w:r w:rsidRPr="00832D05">
        <w:rPr>
          <w:rFonts w:ascii="Times New Roman" w:hAnsi="Times New Roman" w:cs="Times New Roman"/>
          <w:i/>
          <w:color w:val="auto"/>
          <w:sz w:val="22"/>
          <w:szCs w:val="22"/>
        </w:rPr>
        <w:t>Pagrindinės problemos perkant PP ir TDP atskirai:</w:t>
      </w:r>
    </w:p>
    <w:p w14:paraId="1DA04FCB" w14:textId="77777777" w:rsidR="00832D05" w:rsidRPr="007F0C56" w:rsidRDefault="00832D05" w:rsidP="00832D05">
      <w:pPr>
        <w:pStyle w:val="Antrat4"/>
        <w:jc w:val="both"/>
        <w:rPr>
          <w:rFonts w:ascii="Times New Roman" w:hAnsi="Times New Roman" w:cs="Times New Roman"/>
          <w:color w:val="auto"/>
        </w:rPr>
      </w:pPr>
      <w:r w:rsidRPr="007F0C56">
        <w:rPr>
          <w:rFonts w:ascii="Times New Roman" w:hAnsi="Times New Roman" w:cs="Times New Roman"/>
          <w:color w:val="auto"/>
        </w:rPr>
        <w:t>1.</w:t>
      </w:r>
      <w:r w:rsidRPr="007F0C56">
        <w:rPr>
          <w:rFonts w:ascii="Times New Roman" w:hAnsi="Times New Roman" w:cs="Times New Roman"/>
        </w:rPr>
        <w:t xml:space="preserve"> </w:t>
      </w:r>
      <w:r w:rsidRPr="007F0C56">
        <w:rPr>
          <w:rFonts w:ascii="Times New Roman" w:hAnsi="Times New Roman" w:cs="Times New Roman"/>
          <w:color w:val="auto"/>
        </w:rPr>
        <w:t>Atsakomybės ir sprendinių suderinamumo rizika</w:t>
      </w:r>
    </w:p>
    <w:p w14:paraId="2A21E2DC" w14:textId="77777777" w:rsidR="00832D05" w:rsidRPr="007F0C56" w:rsidRDefault="00832D05" w:rsidP="00832D05">
      <w:pPr>
        <w:pStyle w:val="prastasiniatinklio"/>
        <w:numPr>
          <w:ilvl w:val="0"/>
          <w:numId w:val="12"/>
        </w:numPr>
        <w:jc w:val="both"/>
        <w:rPr>
          <w:sz w:val="22"/>
          <w:szCs w:val="22"/>
        </w:rPr>
      </w:pPr>
      <w:r w:rsidRPr="007F0C56">
        <w:rPr>
          <w:sz w:val="22"/>
          <w:szCs w:val="22"/>
        </w:rPr>
        <w:t>PP ir TDP perkami atskirai, todėl kyla papildoma rizika dėl atsakomybės pasidalijimo ir sprendinių suderinamumo.</w:t>
      </w:r>
    </w:p>
    <w:p w14:paraId="7108C9AA" w14:textId="77777777" w:rsidR="00832D05" w:rsidRPr="007F0C56" w:rsidRDefault="00832D05" w:rsidP="00832D05">
      <w:pPr>
        <w:pStyle w:val="prastasiniatinklio"/>
        <w:numPr>
          <w:ilvl w:val="0"/>
          <w:numId w:val="12"/>
        </w:numPr>
        <w:jc w:val="both"/>
        <w:rPr>
          <w:sz w:val="22"/>
          <w:szCs w:val="22"/>
        </w:rPr>
      </w:pPr>
      <w:r w:rsidRPr="007F0C56">
        <w:rPr>
          <w:sz w:val="22"/>
          <w:szCs w:val="22"/>
        </w:rPr>
        <w:t>Sutartyje nenumatyta aiški PP rengėjo atsakomybės riba, jei TDP rengėjas interpretuoja ar keičia PP sprendinius, ar TDP rengimu metu gaunamos ekspertizės esminės pastabos projektui, dėl ko gali reikėti išleisti naują PP laidą.</w:t>
      </w:r>
    </w:p>
    <w:p w14:paraId="792D845A" w14:textId="77777777" w:rsidR="00832D05" w:rsidRPr="007F0C56" w:rsidRDefault="00832D05" w:rsidP="00832D05">
      <w:pPr>
        <w:pStyle w:val="prastasiniatinklio"/>
        <w:numPr>
          <w:ilvl w:val="0"/>
          <w:numId w:val="12"/>
        </w:numPr>
        <w:jc w:val="both"/>
        <w:rPr>
          <w:sz w:val="22"/>
          <w:szCs w:val="22"/>
        </w:rPr>
      </w:pPr>
      <w:r w:rsidRPr="007F0C56">
        <w:rPr>
          <w:sz w:val="22"/>
          <w:szCs w:val="22"/>
        </w:rPr>
        <w:t>Užsakovas gali reikalauti PP rengėjo atsakomybės už sprendinius, kurių jis nekūrė.</w:t>
      </w:r>
    </w:p>
    <w:p w14:paraId="623B6BCD" w14:textId="77777777" w:rsidR="00832D05" w:rsidRPr="007F0C56" w:rsidRDefault="00832D05" w:rsidP="00832D05">
      <w:pPr>
        <w:pStyle w:val="Antrat4"/>
        <w:jc w:val="both"/>
        <w:rPr>
          <w:rFonts w:ascii="Times New Roman" w:hAnsi="Times New Roman" w:cs="Times New Roman"/>
          <w:color w:val="auto"/>
        </w:rPr>
      </w:pPr>
      <w:r w:rsidRPr="007F0C56">
        <w:rPr>
          <w:rFonts w:ascii="Times New Roman" w:hAnsi="Times New Roman" w:cs="Times New Roman"/>
          <w:color w:val="auto"/>
        </w:rPr>
        <w:t>2. Papildomos konsultacijos ir išlaidos</w:t>
      </w:r>
    </w:p>
    <w:p w14:paraId="1CA38219" w14:textId="77777777" w:rsidR="00832D05" w:rsidRPr="007F0C56" w:rsidRDefault="00832D05" w:rsidP="00832D05">
      <w:pPr>
        <w:pStyle w:val="prastasiniatinklio"/>
        <w:numPr>
          <w:ilvl w:val="0"/>
          <w:numId w:val="13"/>
        </w:numPr>
        <w:jc w:val="both"/>
        <w:rPr>
          <w:sz w:val="22"/>
          <w:szCs w:val="22"/>
        </w:rPr>
      </w:pPr>
      <w:r w:rsidRPr="007F0C56">
        <w:rPr>
          <w:sz w:val="22"/>
          <w:szCs w:val="22"/>
        </w:rPr>
        <w:t>PP rengėjas gali būti priverstas nemokamai teikti konsultacijas TDP rengėjui (Sutarties projekte nenumatytas papildomas apmokėjimas už šias paslaugas).</w:t>
      </w:r>
    </w:p>
    <w:p w14:paraId="47C2BEC4" w14:textId="77777777" w:rsidR="00832D05" w:rsidRPr="007F0C56" w:rsidRDefault="00832D05" w:rsidP="00832D05">
      <w:pPr>
        <w:pStyle w:val="prastasiniatinklio"/>
        <w:numPr>
          <w:ilvl w:val="0"/>
          <w:numId w:val="13"/>
        </w:numPr>
        <w:jc w:val="both"/>
        <w:rPr>
          <w:sz w:val="22"/>
          <w:szCs w:val="22"/>
        </w:rPr>
      </w:pPr>
      <w:r w:rsidRPr="007F0C56">
        <w:rPr>
          <w:sz w:val="22"/>
          <w:szCs w:val="22"/>
        </w:rPr>
        <w:t>Jei skirtingi projektuotojai dirba prie PP ir TDP, užsakovas turi koordinuoti daugiau šalių ir spręsti kilusius nesusipratimus.</w:t>
      </w:r>
    </w:p>
    <w:p w14:paraId="151D3C33" w14:textId="77777777" w:rsidR="00832D05" w:rsidRPr="007F0C56" w:rsidRDefault="00832D05" w:rsidP="00832D05">
      <w:pPr>
        <w:pStyle w:val="prastasiniatinklio"/>
        <w:numPr>
          <w:ilvl w:val="0"/>
          <w:numId w:val="13"/>
        </w:numPr>
        <w:jc w:val="both"/>
        <w:rPr>
          <w:sz w:val="22"/>
          <w:szCs w:val="22"/>
        </w:rPr>
      </w:pPr>
      <w:r w:rsidRPr="007F0C56">
        <w:rPr>
          <w:sz w:val="22"/>
          <w:szCs w:val="22"/>
        </w:rPr>
        <w:t>Jei reikia greitai priimti sprendimus ar keisti dalį projekto, tai gali būti sudėtinga, nes gali prireikti abiejų tiekėjų įsitraukimo ir papildomo laiko derinimui.</w:t>
      </w:r>
    </w:p>
    <w:p w14:paraId="1D9B1F96" w14:textId="77777777" w:rsidR="00832D05" w:rsidRPr="007F0C56" w:rsidRDefault="00832D05" w:rsidP="00832D05">
      <w:pPr>
        <w:pStyle w:val="Antrat4"/>
        <w:jc w:val="both"/>
        <w:rPr>
          <w:rFonts w:ascii="Times New Roman" w:hAnsi="Times New Roman" w:cs="Times New Roman"/>
          <w:color w:val="auto"/>
        </w:rPr>
      </w:pPr>
      <w:r w:rsidRPr="007F0C56">
        <w:rPr>
          <w:rFonts w:ascii="Times New Roman" w:hAnsi="Times New Roman" w:cs="Times New Roman"/>
          <w:color w:val="auto"/>
        </w:rPr>
        <w:t>3. Skirtingos projektavimo filosofijos, interpretacijos ir kvalifikacija</w:t>
      </w:r>
    </w:p>
    <w:p w14:paraId="631773AA" w14:textId="77777777" w:rsidR="00832D05" w:rsidRPr="007F0C56" w:rsidRDefault="00832D05" w:rsidP="00832D05">
      <w:pPr>
        <w:pStyle w:val="prastasiniatinklio"/>
        <w:numPr>
          <w:ilvl w:val="0"/>
          <w:numId w:val="14"/>
        </w:numPr>
        <w:jc w:val="both"/>
        <w:rPr>
          <w:sz w:val="22"/>
          <w:szCs w:val="22"/>
        </w:rPr>
      </w:pPr>
      <w:r w:rsidRPr="007F0C56">
        <w:rPr>
          <w:sz w:val="22"/>
          <w:szCs w:val="22"/>
        </w:rPr>
        <w:t>Skirtingi projektuotojai gali turėti skirtingą projektavimo filosofiją ir sprendinių interpretaciją.</w:t>
      </w:r>
    </w:p>
    <w:p w14:paraId="15BD271D" w14:textId="77777777" w:rsidR="00832D05" w:rsidRPr="007F0C56" w:rsidRDefault="00832D05" w:rsidP="00832D05">
      <w:pPr>
        <w:pStyle w:val="prastasiniatinklio"/>
        <w:numPr>
          <w:ilvl w:val="0"/>
          <w:numId w:val="14"/>
        </w:numPr>
        <w:jc w:val="both"/>
        <w:rPr>
          <w:sz w:val="22"/>
          <w:szCs w:val="22"/>
        </w:rPr>
      </w:pPr>
      <w:r w:rsidRPr="007F0C56">
        <w:rPr>
          <w:sz w:val="22"/>
          <w:szCs w:val="22"/>
        </w:rPr>
        <w:t>PP rengėjas gali parinkti vienus sprendinius, o TDP rengėjas juos keisti ar pritaikyti savaip, nes nebūtinai suvokia visus pradinės idėjos niuansus.</w:t>
      </w:r>
    </w:p>
    <w:p w14:paraId="14923BA9" w14:textId="77777777" w:rsidR="00832D05" w:rsidRPr="007F0C56" w:rsidRDefault="00832D05" w:rsidP="00832D05">
      <w:pPr>
        <w:pStyle w:val="prastasiniatinklio"/>
        <w:numPr>
          <w:ilvl w:val="0"/>
          <w:numId w:val="14"/>
        </w:numPr>
        <w:jc w:val="both"/>
        <w:rPr>
          <w:sz w:val="22"/>
          <w:szCs w:val="22"/>
        </w:rPr>
      </w:pPr>
      <w:r w:rsidRPr="007F0C56">
        <w:rPr>
          <w:sz w:val="22"/>
          <w:szCs w:val="22"/>
        </w:rPr>
        <w:t>TDP rengėjas gali teigti, kad PP buvo nepakankamai detalūs ar netinkami, o PP rengėjas – kad problema atsirado dėl netinkamos interpretacijos.</w:t>
      </w:r>
    </w:p>
    <w:p w14:paraId="490777BE" w14:textId="77777777" w:rsidR="00832D05" w:rsidRPr="007F0C56" w:rsidRDefault="00832D05" w:rsidP="00832D05">
      <w:pPr>
        <w:pStyle w:val="Antrat4"/>
        <w:jc w:val="both"/>
        <w:rPr>
          <w:rFonts w:ascii="Times New Roman" w:hAnsi="Times New Roman" w:cs="Times New Roman"/>
          <w:color w:val="auto"/>
        </w:rPr>
      </w:pPr>
      <w:r w:rsidRPr="007F0C56">
        <w:rPr>
          <w:rFonts w:ascii="Times New Roman" w:hAnsi="Times New Roman" w:cs="Times New Roman"/>
          <w:color w:val="auto"/>
        </w:rPr>
        <w:t>4. Projekto vėlavimai ir papildomos išlaidos</w:t>
      </w:r>
    </w:p>
    <w:p w14:paraId="3E899A73" w14:textId="77777777" w:rsidR="00832D05" w:rsidRPr="007F0C56" w:rsidRDefault="00832D05" w:rsidP="00832D05">
      <w:pPr>
        <w:pStyle w:val="prastasiniatinklio"/>
        <w:numPr>
          <w:ilvl w:val="0"/>
          <w:numId w:val="15"/>
        </w:numPr>
        <w:jc w:val="both"/>
        <w:rPr>
          <w:sz w:val="22"/>
          <w:szCs w:val="22"/>
        </w:rPr>
      </w:pPr>
      <w:r w:rsidRPr="007F0C56">
        <w:rPr>
          <w:sz w:val="22"/>
          <w:szCs w:val="22"/>
        </w:rPr>
        <w:t>Dėl nesutarimų tarp PP ir TDP rengėjų gali kilti projektavimo ir statybos darbų vėlavimai bei papildomos išlaidos.</w:t>
      </w:r>
    </w:p>
    <w:p w14:paraId="3FF7133B" w14:textId="77777777" w:rsidR="00832D05" w:rsidRPr="007F0C56" w:rsidRDefault="00832D05" w:rsidP="00832D05">
      <w:pPr>
        <w:pStyle w:val="prastasiniatinklio"/>
        <w:numPr>
          <w:ilvl w:val="0"/>
          <w:numId w:val="15"/>
        </w:numPr>
        <w:jc w:val="both"/>
        <w:rPr>
          <w:sz w:val="22"/>
          <w:szCs w:val="22"/>
        </w:rPr>
      </w:pPr>
      <w:r w:rsidRPr="007F0C56">
        <w:rPr>
          <w:sz w:val="22"/>
          <w:szCs w:val="22"/>
        </w:rPr>
        <w:t>Tai gali sukelti problemų rangovui statybos metu, nes skirtingų etapų projektiniai sprendiniai gali būti nesuderinti ar prieštaraujantys vieni kitiems.</w:t>
      </w:r>
    </w:p>
    <w:p w14:paraId="04A99607" w14:textId="4228EAFB" w:rsidR="00832D05" w:rsidRPr="007F0C56" w:rsidRDefault="00832D05" w:rsidP="00832D05">
      <w:pPr>
        <w:pStyle w:val="prastasiniatinklio"/>
        <w:numPr>
          <w:ilvl w:val="0"/>
          <w:numId w:val="15"/>
        </w:numPr>
        <w:jc w:val="both"/>
        <w:rPr>
          <w:sz w:val="22"/>
          <w:szCs w:val="22"/>
        </w:rPr>
      </w:pPr>
      <w:r w:rsidRPr="007F0C56">
        <w:rPr>
          <w:sz w:val="22"/>
          <w:szCs w:val="22"/>
        </w:rPr>
        <w:t>PP rengėjas gali nesutikti nemokamai daryti pakeitimų, kurių reikalauja TDP rengėjas, o dabartiniame sutarties projekte nenumatytas papildomas mokėjimas už projektinių pasiūlymų priežiūrą</w:t>
      </w:r>
      <w:r>
        <w:rPr>
          <w:sz w:val="22"/>
          <w:szCs w:val="22"/>
        </w:rPr>
        <w:t>, nėra apibrėžta projektinių pasiūlymų priežiūros darbų apimtis ir galutiniai terminai</w:t>
      </w:r>
      <w:r w:rsidRPr="007F0C56">
        <w:rPr>
          <w:sz w:val="22"/>
          <w:szCs w:val="22"/>
        </w:rPr>
        <w:t>.</w:t>
      </w:r>
    </w:p>
    <w:p w14:paraId="78ED4AFA" w14:textId="77777777" w:rsidR="00832D05" w:rsidRPr="007F0C56" w:rsidRDefault="00832D05" w:rsidP="00832D05">
      <w:pPr>
        <w:pStyle w:val="Antrat4"/>
        <w:jc w:val="both"/>
        <w:rPr>
          <w:rFonts w:ascii="Times New Roman" w:hAnsi="Times New Roman" w:cs="Times New Roman"/>
          <w:color w:val="auto"/>
        </w:rPr>
      </w:pPr>
      <w:r w:rsidRPr="007F0C56">
        <w:rPr>
          <w:rFonts w:ascii="Times New Roman" w:hAnsi="Times New Roman" w:cs="Times New Roman"/>
          <w:color w:val="auto"/>
        </w:rPr>
        <w:t>5. Teisiniai ginčai ir atsakomybės pasidalijimas</w:t>
      </w:r>
    </w:p>
    <w:p w14:paraId="4262611D" w14:textId="77777777" w:rsidR="00832D05" w:rsidRPr="007F0C56" w:rsidRDefault="00832D05" w:rsidP="00832D05">
      <w:pPr>
        <w:pStyle w:val="prastasiniatinklio"/>
        <w:numPr>
          <w:ilvl w:val="0"/>
          <w:numId w:val="16"/>
        </w:numPr>
        <w:jc w:val="both"/>
        <w:rPr>
          <w:sz w:val="22"/>
          <w:szCs w:val="22"/>
        </w:rPr>
      </w:pPr>
      <w:r w:rsidRPr="007F0C56">
        <w:rPr>
          <w:sz w:val="22"/>
          <w:szCs w:val="22"/>
        </w:rPr>
        <w:t>Jei PP ir TDP rengėjai yra skirtingi, dažnai kyla nesutarimų, kas atsakingas už klaidas ar trūkumus.</w:t>
      </w:r>
    </w:p>
    <w:p w14:paraId="53347EF5" w14:textId="77777777" w:rsidR="00832D05" w:rsidRPr="007F0C56" w:rsidRDefault="00832D05" w:rsidP="00832D05">
      <w:pPr>
        <w:pStyle w:val="prastasiniatinklio"/>
        <w:numPr>
          <w:ilvl w:val="0"/>
          <w:numId w:val="16"/>
        </w:numPr>
        <w:jc w:val="both"/>
        <w:rPr>
          <w:sz w:val="22"/>
          <w:szCs w:val="22"/>
        </w:rPr>
      </w:pPr>
      <w:r w:rsidRPr="007F0C56">
        <w:rPr>
          <w:sz w:val="22"/>
          <w:szCs w:val="22"/>
        </w:rPr>
        <w:t>Užsakovas gali atsidurti situacijoje, kai vienas projektuotojas kaltina kitą, o sprendimo reikia ieškoti teisiniu keliu teismuose.</w:t>
      </w:r>
    </w:p>
    <w:p w14:paraId="1FF76CA6" w14:textId="77777777" w:rsidR="00832D05" w:rsidRPr="007F0C56" w:rsidRDefault="00832D05" w:rsidP="00832D05">
      <w:pPr>
        <w:pStyle w:val="prastasiniatinklio"/>
        <w:numPr>
          <w:ilvl w:val="0"/>
          <w:numId w:val="16"/>
        </w:numPr>
        <w:jc w:val="both"/>
        <w:rPr>
          <w:sz w:val="22"/>
          <w:szCs w:val="22"/>
        </w:rPr>
      </w:pPr>
      <w:r w:rsidRPr="007F0C56">
        <w:rPr>
          <w:sz w:val="22"/>
          <w:szCs w:val="22"/>
        </w:rPr>
        <w:lastRenderedPageBreak/>
        <w:t>Dėl ginčų projektas gali būti sustabdytas, gali tekti atlikti papildomus darbus, kurių išlaidas turės padengti užsakovas.</w:t>
      </w:r>
    </w:p>
    <w:p w14:paraId="720FE881" w14:textId="77777777" w:rsidR="00832D05" w:rsidRPr="007F0C56" w:rsidRDefault="00832D05" w:rsidP="00832D05">
      <w:pPr>
        <w:pStyle w:val="Antrat4"/>
        <w:jc w:val="both"/>
        <w:rPr>
          <w:rFonts w:ascii="Times New Roman" w:hAnsi="Times New Roman" w:cs="Times New Roman"/>
          <w:color w:val="auto"/>
        </w:rPr>
      </w:pPr>
      <w:r w:rsidRPr="007F0C56">
        <w:rPr>
          <w:rFonts w:ascii="Times New Roman" w:hAnsi="Times New Roman" w:cs="Times New Roman"/>
          <w:color w:val="auto"/>
        </w:rPr>
        <w:t>6. Problemos dėl normatyvinių pasikeitimų ir ekspertizės</w:t>
      </w:r>
    </w:p>
    <w:p w14:paraId="675792A6" w14:textId="5BFBB43F" w:rsidR="00832D05" w:rsidRPr="007F0C56" w:rsidRDefault="00832D05" w:rsidP="00832D05">
      <w:pPr>
        <w:pStyle w:val="prastasiniatinklio"/>
        <w:numPr>
          <w:ilvl w:val="0"/>
          <w:numId w:val="17"/>
        </w:numPr>
        <w:jc w:val="both"/>
        <w:rPr>
          <w:sz w:val="22"/>
          <w:szCs w:val="22"/>
        </w:rPr>
      </w:pPr>
      <w:r w:rsidRPr="007F0C56">
        <w:rPr>
          <w:sz w:val="22"/>
          <w:szCs w:val="22"/>
        </w:rPr>
        <w:t>Jei TDP perkamas po ilgesnio laikotarpio, kas nepriklauso nuo proj</w:t>
      </w:r>
      <w:r w:rsidR="00FF75A7">
        <w:rPr>
          <w:sz w:val="22"/>
          <w:szCs w:val="22"/>
        </w:rPr>
        <w:t>ektinių pasiūlymų projektuotojo,</w:t>
      </w:r>
      <w:r w:rsidRPr="007F0C56">
        <w:rPr>
          <w:sz w:val="22"/>
          <w:szCs w:val="22"/>
        </w:rPr>
        <w:t xml:space="preserve"> kai objekte yra įvykusių pakeitimų ar pasikeitę normatyviniai dokumentai, gali kilti atsakomybės ribų neaiškumų ir neapibrėžtumų.</w:t>
      </w:r>
    </w:p>
    <w:p w14:paraId="25A1D8D3" w14:textId="77777777" w:rsidR="00832D05" w:rsidRPr="007F0C56" w:rsidRDefault="00832D05" w:rsidP="00832D05">
      <w:pPr>
        <w:pStyle w:val="prastasiniatinklio"/>
        <w:numPr>
          <w:ilvl w:val="0"/>
          <w:numId w:val="17"/>
        </w:numPr>
        <w:jc w:val="both"/>
        <w:rPr>
          <w:sz w:val="22"/>
          <w:szCs w:val="22"/>
        </w:rPr>
      </w:pPr>
      <w:r w:rsidRPr="007F0C56">
        <w:rPr>
          <w:sz w:val="22"/>
          <w:szCs w:val="22"/>
        </w:rPr>
        <w:t>Jei projekto ekspertizės metu gaunamos esminės pastabos, kurioms reikia pakeitimų, gali kilti papildomi nesutarimai tarp PP ir TDP rengėjų.</w:t>
      </w:r>
    </w:p>
    <w:p w14:paraId="4D07ED6B" w14:textId="77777777" w:rsidR="00832D05" w:rsidRPr="00041954" w:rsidRDefault="00832D05" w:rsidP="00832D05">
      <w:pPr>
        <w:pStyle w:val="Antrat3"/>
        <w:keepNext w:val="0"/>
        <w:keepLines w:val="0"/>
        <w:numPr>
          <w:ilvl w:val="0"/>
          <w:numId w:val="19"/>
        </w:numPr>
        <w:spacing w:before="100" w:beforeAutospacing="1" w:after="100" w:afterAutospacing="1"/>
        <w:rPr>
          <w:rFonts w:ascii="Times New Roman" w:hAnsi="Times New Roman" w:cs="Times New Roman"/>
          <w:b/>
          <w:i/>
          <w:sz w:val="22"/>
          <w:szCs w:val="22"/>
        </w:rPr>
      </w:pPr>
      <w:r w:rsidRPr="00041954">
        <w:rPr>
          <w:rFonts w:ascii="Times New Roman" w:hAnsi="Times New Roman" w:cs="Times New Roman"/>
          <w:b/>
          <w:i/>
          <w:sz w:val="22"/>
          <w:szCs w:val="22"/>
        </w:rPr>
        <w:t xml:space="preserve"> Nauda perkant PP ir TDP iš vieno tiekėjo:</w:t>
      </w:r>
    </w:p>
    <w:p w14:paraId="442C08BF"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Užsakovas gali efektyviai bendrauti su vienu rangovu, kuris atsakingas už visą projekto eigą. Vienas kontaktinis asmuo užsakovui, kuris sprendžia visas problemas.</w:t>
      </w:r>
    </w:p>
    <w:p w14:paraId="68587049"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Vienas projektuotojas atsakingas už visą projektavimo procesą – nėra atsakomybės perkėlimo tarp skirtingų šalių. Greitesnis sprendimų priėmimas ir pakeitimų įgyvendinimas be perteklinio derinimo.</w:t>
      </w:r>
    </w:p>
    <w:p w14:paraId="23D885C0"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Aiški atsakomybė – išvengiama interpretacijų, ginčų ir kaltinimų dėl netinkamų sprendimų.</w:t>
      </w:r>
    </w:p>
    <w:p w14:paraId="448FD970"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PP ir TDP sprendiniai yra vientisi, logiški ir nuosekliai tęsiami be interpretacijų, nes Projektuotojas, kuris rengė PP, geriausiai supranta savo sprendinius ir gali efektyviai išvystyti TDP.</w:t>
      </w:r>
    </w:p>
    <w:p w14:paraId="5D956A7D"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Nereikia papildomo laiko ir finansų korekcijoms tarp skirtingų rengėjų. Projektas paruošiamas greičiau, nes nereikia papildomai derinti sprendinių.</w:t>
      </w:r>
    </w:p>
    <w:p w14:paraId="48231E38"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Mažiau biurokratinių uždelsimų ir papildomų diskusijų keičiant ar tikslinant sprendinius. Sutaupomas užsakovo laikas ir pinigai, nes išvengiama ginčų tarp skirtingų projektuotojų.</w:t>
      </w:r>
    </w:p>
    <w:p w14:paraId="064B17E6" w14:textId="77777777" w:rsidR="00832D05" w:rsidRPr="00041954" w:rsidRDefault="00832D05" w:rsidP="00832D05">
      <w:pPr>
        <w:pStyle w:val="Antrat3"/>
        <w:keepNext w:val="0"/>
        <w:keepLines w:val="0"/>
        <w:numPr>
          <w:ilvl w:val="0"/>
          <w:numId w:val="19"/>
        </w:numPr>
        <w:spacing w:before="100" w:beforeAutospacing="1" w:after="100" w:afterAutospacing="1"/>
        <w:rPr>
          <w:rFonts w:ascii="Times New Roman" w:hAnsi="Times New Roman" w:cs="Times New Roman"/>
          <w:b/>
          <w:color w:val="auto"/>
          <w:sz w:val="22"/>
          <w:szCs w:val="22"/>
        </w:rPr>
      </w:pPr>
      <w:r w:rsidRPr="00041954">
        <w:rPr>
          <w:rFonts w:ascii="Times New Roman" w:hAnsi="Times New Roman" w:cs="Times New Roman"/>
          <w:b/>
          <w:i/>
          <w:color w:val="auto"/>
          <w:sz w:val="22"/>
          <w:szCs w:val="22"/>
        </w:rPr>
        <w:t>Išvada: Kodėl verta rinktis vieną projektuotoją PP ir TDP rengimui?</w:t>
      </w:r>
    </w:p>
    <w:p w14:paraId="09E085F6"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 xml:space="preserve">Aiški atsakomybė – nėra ginčų dėl klaidų tarp PP ir TDP rengėjų. </w:t>
      </w:r>
    </w:p>
    <w:p w14:paraId="057FD2B6"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 xml:space="preserve">Geriau suderinti sprendiniai – mažesnė korekcijų rizika. </w:t>
      </w:r>
    </w:p>
    <w:p w14:paraId="13C34744"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 xml:space="preserve">Mažiau papildomų išlaidų – nereikia derinti ir taisyti projektų. </w:t>
      </w:r>
    </w:p>
    <w:p w14:paraId="4591C98E"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 xml:space="preserve">Trumpesni terminai – projektas įgyvendinamas greičiau. </w:t>
      </w:r>
    </w:p>
    <w:p w14:paraId="04EE1BDD"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 xml:space="preserve"> Mažiau teisinės rizikos – nėra atsakomybės perkėlimo tarp šalių. </w:t>
      </w:r>
    </w:p>
    <w:p w14:paraId="3DAFA781" w14:textId="77777777" w:rsidR="00832D05" w:rsidRPr="007F0C56" w:rsidRDefault="00832D05" w:rsidP="00832D05">
      <w:pPr>
        <w:numPr>
          <w:ilvl w:val="0"/>
          <w:numId w:val="18"/>
        </w:numPr>
        <w:spacing w:before="100" w:beforeAutospacing="1" w:after="100" w:afterAutospacing="1"/>
        <w:rPr>
          <w:sz w:val="22"/>
          <w:szCs w:val="22"/>
          <w:lang w:eastAsia="lt-LT"/>
        </w:rPr>
      </w:pPr>
      <w:r w:rsidRPr="007F0C56">
        <w:rPr>
          <w:sz w:val="22"/>
          <w:szCs w:val="22"/>
          <w:lang w:eastAsia="lt-LT"/>
        </w:rPr>
        <w:t xml:space="preserve"> Lankstesnis procesas – užsakovas gali greičiau priimti sprendimus.</w:t>
      </w:r>
    </w:p>
    <w:p w14:paraId="16B9DEE0" w14:textId="77777777" w:rsidR="00832D05" w:rsidRPr="00041954" w:rsidRDefault="00832D05" w:rsidP="00832D05">
      <w:pPr>
        <w:pStyle w:val="Sraopastraipa"/>
        <w:numPr>
          <w:ilvl w:val="0"/>
          <w:numId w:val="20"/>
        </w:numPr>
        <w:spacing w:before="100" w:beforeAutospacing="1" w:after="100" w:afterAutospacing="1"/>
        <w:jc w:val="both"/>
        <w:rPr>
          <w:rFonts w:ascii="Times New Roman" w:eastAsia="Times New Roman" w:hAnsi="Times New Roman" w:cs="Times New Roman"/>
          <w:b/>
          <w:bCs/>
          <w:sz w:val="22"/>
          <w:lang w:eastAsia="lt-LT"/>
        </w:rPr>
      </w:pPr>
      <w:r w:rsidRPr="007F0C56">
        <w:rPr>
          <w:rFonts w:ascii="Times New Roman" w:eastAsia="Times New Roman" w:hAnsi="Times New Roman" w:cs="Times New Roman"/>
          <w:b/>
          <w:bCs/>
          <w:sz w:val="22"/>
          <w:lang w:eastAsia="lt-LT"/>
        </w:rPr>
        <w:t>Siūloma rekomendacija:</w:t>
      </w:r>
      <w:r w:rsidRPr="007F0C56">
        <w:rPr>
          <w:rFonts w:ascii="Times New Roman" w:eastAsia="Times New Roman" w:hAnsi="Times New Roman" w:cs="Times New Roman"/>
          <w:b/>
          <w:sz w:val="22"/>
          <w:lang w:eastAsia="lt-LT"/>
        </w:rPr>
        <w:t xml:space="preserve"> </w:t>
      </w:r>
    </w:p>
    <w:p w14:paraId="60A949AF" w14:textId="77777777" w:rsidR="00041954" w:rsidRPr="007F0C56" w:rsidRDefault="00041954" w:rsidP="00041954">
      <w:pPr>
        <w:pStyle w:val="Sraopastraipa"/>
        <w:spacing w:before="100" w:beforeAutospacing="1" w:after="100" w:afterAutospacing="1"/>
        <w:jc w:val="both"/>
        <w:rPr>
          <w:rFonts w:ascii="Times New Roman" w:eastAsia="Times New Roman" w:hAnsi="Times New Roman" w:cs="Times New Roman"/>
          <w:b/>
          <w:bCs/>
          <w:sz w:val="22"/>
          <w:lang w:eastAsia="lt-LT"/>
        </w:rPr>
      </w:pPr>
    </w:p>
    <w:p w14:paraId="73A7F723" w14:textId="75E9A1B3" w:rsidR="00832D05" w:rsidRPr="007F0C56" w:rsidRDefault="004E5AA1" w:rsidP="00832D05">
      <w:pPr>
        <w:pStyle w:val="Sraopastraipa"/>
        <w:spacing w:before="100" w:beforeAutospacing="1" w:after="100" w:afterAutospacing="1"/>
        <w:jc w:val="both"/>
        <w:rPr>
          <w:rFonts w:ascii="Times New Roman" w:eastAsia="Times New Roman" w:hAnsi="Times New Roman" w:cs="Times New Roman"/>
          <w:b/>
          <w:bCs/>
          <w:sz w:val="22"/>
          <w:lang w:eastAsia="lt-LT"/>
        </w:rPr>
      </w:pPr>
      <w:r>
        <w:rPr>
          <w:rFonts w:ascii="Times New Roman" w:eastAsia="Times New Roman" w:hAnsi="Times New Roman" w:cs="Times New Roman"/>
          <w:b/>
          <w:sz w:val="22"/>
          <w:lang w:eastAsia="lt-LT"/>
        </w:rPr>
        <w:t>Numatyti tinkamus</w:t>
      </w:r>
      <w:r w:rsidR="00832D05" w:rsidRPr="007F0C56">
        <w:rPr>
          <w:rFonts w:ascii="Times New Roman" w:eastAsia="Times New Roman" w:hAnsi="Times New Roman" w:cs="Times New Roman"/>
          <w:b/>
          <w:sz w:val="22"/>
          <w:lang w:eastAsia="lt-LT"/>
        </w:rPr>
        <w:t xml:space="preserve"> </w:t>
      </w:r>
      <w:r w:rsidR="00832D05" w:rsidRPr="007F0C56">
        <w:rPr>
          <w:rFonts w:ascii="Times New Roman" w:eastAsia="Times New Roman" w:hAnsi="Times New Roman" w:cs="Times New Roman"/>
          <w:b/>
          <w:bCs/>
          <w:sz w:val="22"/>
          <w:lang w:eastAsia="lt-LT"/>
        </w:rPr>
        <w:t>Sutarties terminus projektiniams pasiūlymams parengti</w:t>
      </w:r>
    </w:p>
    <w:p w14:paraId="0DC0E9A9" w14:textId="77777777" w:rsidR="00832D05" w:rsidRPr="007F0C56" w:rsidRDefault="00832D05" w:rsidP="00832D05">
      <w:pPr>
        <w:pStyle w:val="Sraopastraipa"/>
        <w:spacing w:before="100" w:beforeAutospacing="1" w:after="100" w:afterAutospacing="1"/>
        <w:jc w:val="both"/>
        <w:outlineLvl w:val="1"/>
        <w:rPr>
          <w:rFonts w:ascii="Times New Roman" w:hAnsi="Times New Roman" w:cs="Times New Roman"/>
          <w:sz w:val="22"/>
        </w:rPr>
      </w:pPr>
    </w:p>
    <w:p w14:paraId="3CD0BA42" w14:textId="77777777" w:rsidR="00832D05" w:rsidRPr="007F0C56" w:rsidRDefault="00832D05" w:rsidP="00832D05">
      <w:pPr>
        <w:pStyle w:val="Sraopastraipa"/>
        <w:spacing w:before="100" w:beforeAutospacing="1" w:after="100" w:afterAutospacing="1"/>
        <w:jc w:val="both"/>
        <w:outlineLvl w:val="1"/>
        <w:rPr>
          <w:rFonts w:ascii="Times New Roman" w:hAnsi="Times New Roman" w:cs="Times New Roman"/>
          <w:sz w:val="22"/>
        </w:rPr>
      </w:pPr>
      <w:r w:rsidRPr="007F0C56">
        <w:rPr>
          <w:rFonts w:ascii="Times New Roman" w:hAnsi="Times New Roman" w:cs="Times New Roman"/>
          <w:sz w:val="22"/>
        </w:rPr>
        <w:t>Projektinių pasiūlymų parengimui reikalingi šie etapai su terminais:</w:t>
      </w:r>
    </w:p>
    <w:p w14:paraId="2E8642DB" w14:textId="77777777" w:rsidR="00832D05" w:rsidRPr="00041954" w:rsidRDefault="00832D05" w:rsidP="00832D05">
      <w:pPr>
        <w:numPr>
          <w:ilvl w:val="0"/>
          <w:numId w:val="18"/>
        </w:numPr>
        <w:spacing w:before="100" w:beforeAutospacing="1" w:after="100" w:afterAutospacing="1"/>
        <w:rPr>
          <w:b/>
          <w:sz w:val="22"/>
          <w:szCs w:val="22"/>
        </w:rPr>
      </w:pPr>
      <w:r w:rsidRPr="007F0C56">
        <w:rPr>
          <w:sz w:val="22"/>
          <w:szCs w:val="22"/>
        </w:rPr>
        <w:t xml:space="preserve">Inžinerinės topografinės nuotraukos parengimas ir derinimas – </w:t>
      </w:r>
      <w:r w:rsidRPr="00041954">
        <w:rPr>
          <w:b/>
          <w:sz w:val="22"/>
          <w:szCs w:val="22"/>
        </w:rPr>
        <w:t xml:space="preserve">20 </w:t>
      </w:r>
      <w:proofErr w:type="spellStart"/>
      <w:r w:rsidRPr="00041954">
        <w:rPr>
          <w:b/>
          <w:sz w:val="22"/>
          <w:szCs w:val="22"/>
        </w:rPr>
        <w:t>d.d</w:t>
      </w:r>
      <w:proofErr w:type="spellEnd"/>
    </w:p>
    <w:p w14:paraId="6FBF8CF8" w14:textId="77777777" w:rsidR="00832D05" w:rsidRPr="007F0C56" w:rsidRDefault="00832D05" w:rsidP="00832D05">
      <w:pPr>
        <w:numPr>
          <w:ilvl w:val="0"/>
          <w:numId w:val="18"/>
        </w:numPr>
        <w:spacing w:before="100" w:beforeAutospacing="1" w:after="100" w:afterAutospacing="1"/>
        <w:outlineLvl w:val="1"/>
        <w:rPr>
          <w:sz w:val="22"/>
          <w:szCs w:val="22"/>
        </w:rPr>
      </w:pPr>
      <w:r w:rsidRPr="007F0C56">
        <w:rPr>
          <w:sz w:val="22"/>
          <w:szCs w:val="22"/>
        </w:rPr>
        <w:t xml:space="preserve">Geologinių tyrinėjimų atlikimas (tik po suderintos topografinės nuotraukos) ir derinimai – </w:t>
      </w:r>
      <w:r w:rsidRPr="00041954">
        <w:rPr>
          <w:b/>
          <w:sz w:val="22"/>
          <w:szCs w:val="22"/>
        </w:rPr>
        <w:t xml:space="preserve">30 </w:t>
      </w:r>
      <w:proofErr w:type="spellStart"/>
      <w:r w:rsidRPr="00041954">
        <w:rPr>
          <w:b/>
          <w:sz w:val="22"/>
          <w:szCs w:val="22"/>
        </w:rPr>
        <w:t>d.d</w:t>
      </w:r>
      <w:proofErr w:type="spellEnd"/>
      <w:r w:rsidRPr="00041954">
        <w:rPr>
          <w:b/>
          <w:sz w:val="22"/>
          <w:szCs w:val="22"/>
        </w:rPr>
        <w:t>.</w:t>
      </w:r>
    </w:p>
    <w:p w14:paraId="228FF5E4" w14:textId="77777777" w:rsidR="00832D05" w:rsidRPr="007F0C56" w:rsidRDefault="00832D05" w:rsidP="00832D05">
      <w:pPr>
        <w:numPr>
          <w:ilvl w:val="0"/>
          <w:numId w:val="18"/>
        </w:numPr>
        <w:spacing w:before="100" w:beforeAutospacing="1" w:after="100" w:afterAutospacing="1"/>
        <w:outlineLvl w:val="1"/>
        <w:rPr>
          <w:sz w:val="22"/>
          <w:szCs w:val="22"/>
        </w:rPr>
      </w:pPr>
      <w:r w:rsidRPr="007F0C56">
        <w:rPr>
          <w:sz w:val="22"/>
          <w:szCs w:val="22"/>
        </w:rPr>
        <w:t xml:space="preserve">Visuomenės informavimas apie numatomą statinių (jų dalių) projektavimą ir visuomenės dalyvavimas svarstant statinių (jų dalių) projektinius pasiūlymus – </w:t>
      </w:r>
      <w:r w:rsidRPr="00041954">
        <w:rPr>
          <w:b/>
          <w:sz w:val="22"/>
          <w:szCs w:val="22"/>
        </w:rPr>
        <w:t xml:space="preserve">18-22 </w:t>
      </w:r>
      <w:proofErr w:type="spellStart"/>
      <w:r w:rsidRPr="00041954">
        <w:rPr>
          <w:b/>
          <w:sz w:val="22"/>
          <w:szCs w:val="22"/>
        </w:rPr>
        <w:t>d.d</w:t>
      </w:r>
      <w:proofErr w:type="spellEnd"/>
      <w:r w:rsidRPr="00041954">
        <w:rPr>
          <w:b/>
          <w:sz w:val="22"/>
          <w:szCs w:val="22"/>
        </w:rPr>
        <w:t>.</w:t>
      </w:r>
    </w:p>
    <w:p w14:paraId="07D8DF9B" w14:textId="77777777" w:rsidR="00832D05" w:rsidRPr="007F0C56" w:rsidRDefault="00832D05" w:rsidP="00832D05">
      <w:pPr>
        <w:spacing w:before="100" w:beforeAutospacing="1" w:after="100" w:afterAutospacing="1"/>
        <w:outlineLvl w:val="1"/>
        <w:rPr>
          <w:sz w:val="22"/>
          <w:szCs w:val="22"/>
        </w:rPr>
      </w:pPr>
      <w:r w:rsidRPr="007F0C56">
        <w:rPr>
          <w:sz w:val="22"/>
          <w:szCs w:val="22"/>
        </w:rPr>
        <w:t>Atkreipiame dėmesį į SĮ pasikeitimus nuo 2024-11-01. Kurie taip pat įtakoja projektinių pasiūlymų parengimo terminą:</w:t>
      </w:r>
    </w:p>
    <w:p w14:paraId="2607047E" w14:textId="77777777" w:rsidR="00832D05" w:rsidRPr="007F0C56" w:rsidRDefault="00832D05" w:rsidP="00832D05">
      <w:pPr>
        <w:numPr>
          <w:ilvl w:val="0"/>
          <w:numId w:val="18"/>
        </w:numPr>
        <w:spacing w:before="100" w:beforeAutospacing="1" w:after="100" w:afterAutospacing="1"/>
        <w:outlineLvl w:val="1"/>
        <w:rPr>
          <w:sz w:val="22"/>
          <w:szCs w:val="22"/>
        </w:rPr>
      </w:pPr>
      <w:r w:rsidRPr="007F0C56">
        <w:rPr>
          <w:sz w:val="22"/>
          <w:szCs w:val="22"/>
        </w:rPr>
        <w:t xml:space="preserve">Projektinių pasiūlymų rengimo metu tapo privaloma gauti specialiuosius reikalavimus, kuriuos išduoda atsakingos savivaldybės vyr. architektas per </w:t>
      </w:r>
      <w:r w:rsidRPr="00041954">
        <w:rPr>
          <w:b/>
          <w:sz w:val="22"/>
          <w:szCs w:val="22"/>
        </w:rPr>
        <w:t xml:space="preserve">10 </w:t>
      </w:r>
      <w:proofErr w:type="spellStart"/>
      <w:r w:rsidRPr="00041954">
        <w:rPr>
          <w:b/>
          <w:sz w:val="22"/>
          <w:szCs w:val="22"/>
        </w:rPr>
        <w:t>d.d</w:t>
      </w:r>
      <w:proofErr w:type="spellEnd"/>
      <w:r w:rsidRPr="007F0C56">
        <w:rPr>
          <w:sz w:val="22"/>
          <w:szCs w:val="22"/>
        </w:rPr>
        <w:t xml:space="preserve">.,  tačiau vyr. architektas taip pat sprendžia ar yra reikalinga visuomenės konsultacija. Jeigu visuomenės konsultacija jo nuomone yra reikalinga, tuomet spec. Reikalavimų išdavimas pratęsiamas </w:t>
      </w:r>
      <w:r w:rsidRPr="00041954">
        <w:rPr>
          <w:b/>
          <w:sz w:val="22"/>
          <w:szCs w:val="22"/>
        </w:rPr>
        <w:t xml:space="preserve">20 </w:t>
      </w:r>
      <w:proofErr w:type="spellStart"/>
      <w:r w:rsidRPr="00041954">
        <w:rPr>
          <w:b/>
          <w:sz w:val="22"/>
          <w:szCs w:val="22"/>
        </w:rPr>
        <w:t>d.d</w:t>
      </w:r>
      <w:proofErr w:type="spellEnd"/>
      <w:r w:rsidRPr="00041954">
        <w:rPr>
          <w:b/>
          <w:sz w:val="22"/>
          <w:szCs w:val="22"/>
        </w:rPr>
        <w:t>.</w:t>
      </w:r>
      <w:r w:rsidRPr="007F0C56">
        <w:rPr>
          <w:sz w:val="22"/>
          <w:szCs w:val="22"/>
        </w:rPr>
        <w:t xml:space="preserve"> </w:t>
      </w:r>
      <w:r w:rsidRPr="007F0C56">
        <w:rPr>
          <w:sz w:val="22"/>
          <w:szCs w:val="22"/>
        </w:rPr>
        <w:br/>
      </w:r>
    </w:p>
    <w:p w14:paraId="76441EAD" w14:textId="77777777" w:rsidR="00832D05" w:rsidRPr="007F0C56" w:rsidRDefault="00832D05" w:rsidP="00832D05">
      <w:pPr>
        <w:numPr>
          <w:ilvl w:val="0"/>
          <w:numId w:val="18"/>
        </w:numPr>
        <w:spacing w:before="100" w:beforeAutospacing="1" w:after="100" w:afterAutospacing="1"/>
        <w:outlineLvl w:val="1"/>
        <w:rPr>
          <w:sz w:val="22"/>
          <w:szCs w:val="22"/>
        </w:rPr>
      </w:pPr>
      <w:r w:rsidRPr="007F0C56">
        <w:rPr>
          <w:sz w:val="22"/>
          <w:szCs w:val="22"/>
        </w:rPr>
        <w:lastRenderedPageBreak/>
        <w:t xml:space="preserve">Naujas pakeitimas taip pat yra tai, kad derinant PP SLD gavimo metu su atsakingomis institucijomis nebelieka sistemoje automatinių pritarimų </w:t>
      </w:r>
      <w:proofErr w:type="spellStart"/>
      <w:r w:rsidRPr="007F0C56">
        <w:rPr>
          <w:sz w:val="22"/>
          <w:szCs w:val="22"/>
        </w:rPr>
        <w:t>t.y</w:t>
      </w:r>
      <w:proofErr w:type="spellEnd"/>
      <w:r w:rsidRPr="007F0C56">
        <w:rPr>
          <w:sz w:val="22"/>
          <w:szCs w:val="22"/>
        </w:rPr>
        <w:t xml:space="preserve"> jeigu atsakinga institucija nepritaria PP per </w:t>
      </w:r>
      <w:r w:rsidRPr="00041954">
        <w:rPr>
          <w:b/>
          <w:sz w:val="22"/>
          <w:szCs w:val="22"/>
        </w:rPr>
        <w:t xml:space="preserve">20 </w:t>
      </w:r>
      <w:proofErr w:type="spellStart"/>
      <w:r w:rsidRPr="00041954">
        <w:rPr>
          <w:b/>
          <w:sz w:val="22"/>
          <w:szCs w:val="22"/>
        </w:rPr>
        <w:t>d.d</w:t>
      </w:r>
      <w:proofErr w:type="spellEnd"/>
      <w:r w:rsidRPr="00041954">
        <w:rPr>
          <w:b/>
          <w:sz w:val="22"/>
          <w:szCs w:val="22"/>
        </w:rPr>
        <w:t>.</w:t>
      </w:r>
      <w:r w:rsidRPr="007F0C56">
        <w:rPr>
          <w:sz w:val="22"/>
          <w:szCs w:val="22"/>
        </w:rPr>
        <w:t xml:space="preserve"> ir nepateikia motyvų, atsakinga savivaldybė stabdo SLD išdavimą </w:t>
      </w:r>
      <w:r w:rsidRPr="00041954">
        <w:rPr>
          <w:b/>
          <w:sz w:val="22"/>
          <w:szCs w:val="22"/>
        </w:rPr>
        <w:t xml:space="preserve">8 </w:t>
      </w:r>
      <w:proofErr w:type="spellStart"/>
      <w:r w:rsidRPr="00041954">
        <w:rPr>
          <w:b/>
          <w:sz w:val="22"/>
          <w:szCs w:val="22"/>
        </w:rPr>
        <w:t>d.d</w:t>
      </w:r>
      <w:proofErr w:type="spellEnd"/>
      <w:r w:rsidRPr="00041954">
        <w:rPr>
          <w:b/>
          <w:sz w:val="22"/>
          <w:szCs w:val="22"/>
        </w:rPr>
        <w:t>.</w:t>
      </w:r>
      <w:r w:rsidRPr="007F0C56">
        <w:rPr>
          <w:sz w:val="22"/>
          <w:szCs w:val="22"/>
        </w:rPr>
        <w:t xml:space="preserve"> ir pakartotinai kreipiasi į nepritarusią ar neįvertinusią PP instituciją, kuri per papildomas </w:t>
      </w:r>
      <w:r w:rsidRPr="00041954">
        <w:rPr>
          <w:b/>
          <w:sz w:val="22"/>
          <w:szCs w:val="22"/>
        </w:rPr>
        <w:t xml:space="preserve">5 </w:t>
      </w:r>
      <w:proofErr w:type="spellStart"/>
      <w:r w:rsidRPr="00041954">
        <w:rPr>
          <w:b/>
          <w:sz w:val="22"/>
          <w:szCs w:val="22"/>
        </w:rPr>
        <w:t>d.d</w:t>
      </w:r>
      <w:proofErr w:type="spellEnd"/>
      <w:r w:rsidRPr="00041954">
        <w:rPr>
          <w:b/>
          <w:sz w:val="22"/>
          <w:szCs w:val="22"/>
        </w:rPr>
        <w:t>.,</w:t>
      </w:r>
      <w:r w:rsidRPr="007F0C56">
        <w:rPr>
          <w:sz w:val="22"/>
          <w:szCs w:val="22"/>
        </w:rPr>
        <w:t xml:space="preserve"> privalo priimti sprendimą pritarti/nepritarti PP. Pažymime, kad ilgametėje mūsų projektavimo praktikoje, dažnu atveju ne visos atsakingos institucijos pritaria ir/ar teikia pastabas per joms paskirtą laiką, kas įtakoja ilgesnius projekto rengimo terminus. </w:t>
      </w:r>
      <w:r w:rsidRPr="007F0C56">
        <w:rPr>
          <w:sz w:val="22"/>
          <w:szCs w:val="22"/>
        </w:rPr>
        <w:br/>
        <w:t xml:space="preserve">Apibendrinant aukščiau pateiktą informaciją, pažymime, kad projekto rengimo apimtys ir terminai yra pailgėję ir yra stipriai įtakojami trečiųjų šalių, ypatingai išaugo projektinių pasiūlymų parengimo apimtis (tapo privaloma parengti architektūrinę dalį, kurios apimtyje privaloma pateikti vizualizacijas). Be to, atkreipiame dėmesį, kad visi pakeitimai dar yra nauji ir skirtingos institucijos dar neturi savo tvarkos ir/ar atsakymų kaip bus dirbama pagal naująją tvarką, kas leidžia manyti, kad projekto atlikimo terminai dar labiau prasitęs ir bus ilgesni nei numatyta SĮ atnaujinimuose. </w:t>
      </w:r>
      <w:r w:rsidRPr="007F0C56">
        <w:rPr>
          <w:sz w:val="22"/>
          <w:szCs w:val="22"/>
        </w:rPr>
        <w:br/>
      </w:r>
    </w:p>
    <w:p w14:paraId="2E59C8F0" w14:textId="77777777" w:rsidR="00832D05" w:rsidRPr="007F0C56" w:rsidRDefault="00832D05" w:rsidP="00832D05">
      <w:pPr>
        <w:numPr>
          <w:ilvl w:val="0"/>
          <w:numId w:val="18"/>
        </w:numPr>
        <w:spacing w:before="100" w:beforeAutospacing="1" w:after="100" w:afterAutospacing="1"/>
        <w:outlineLvl w:val="1"/>
        <w:rPr>
          <w:sz w:val="22"/>
          <w:szCs w:val="22"/>
        </w:rPr>
      </w:pPr>
      <w:r w:rsidRPr="007F0C56">
        <w:rPr>
          <w:sz w:val="22"/>
          <w:szCs w:val="22"/>
        </w:rPr>
        <w:t xml:space="preserve">Be to, PO pateiktoje TS vien </w:t>
      </w:r>
      <w:r w:rsidRPr="005B1597">
        <w:rPr>
          <w:b/>
          <w:sz w:val="22"/>
          <w:szCs w:val="22"/>
        </w:rPr>
        <w:t xml:space="preserve">85 </w:t>
      </w:r>
      <w:proofErr w:type="spellStart"/>
      <w:r w:rsidRPr="005B1597">
        <w:rPr>
          <w:b/>
          <w:sz w:val="22"/>
          <w:szCs w:val="22"/>
        </w:rPr>
        <w:t>d.d</w:t>
      </w:r>
      <w:proofErr w:type="spellEnd"/>
      <w:r w:rsidRPr="005B1597">
        <w:rPr>
          <w:b/>
          <w:sz w:val="22"/>
          <w:szCs w:val="22"/>
        </w:rPr>
        <w:t>.</w:t>
      </w:r>
      <w:r w:rsidRPr="007F0C56">
        <w:rPr>
          <w:sz w:val="22"/>
          <w:szCs w:val="22"/>
        </w:rPr>
        <w:t xml:space="preserve"> (</w:t>
      </w:r>
      <w:proofErr w:type="spellStart"/>
      <w:r w:rsidRPr="007F0C56">
        <w:rPr>
          <w:sz w:val="22"/>
          <w:szCs w:val="22"/>
        </w:rPr>
        <w:t>t.y</w:t>
      </w:r>
      <w:proofErr w:type="spellEnd"/>
      <w:r w:rsidRPr="007F0C56">
        <w:rPr>
          <w:sz w:val="22"/>
          <w:szCs w:val="22"/>
        </w:rPr>
        <w:t xml:space="preserve">. 4 mėnesiai) numatomi VIA Lietuva atstovų projektinių pasiūlymų tikrinimui ir kitoms procedūroms, kurias vykdys trečiosios šalys ir nepriklausančias ne nuo projektuotojo, o tai yra daugiau nei pusė sutartinio laikotarpio projektas gali būti ne pas projektuotoją </w:t>
      </w:r>
    </w:p>
    <w:p w14:paraId="457E5CDA" w14:textId="77777777" w:rsidR="00832D05" w:rsidRPr="007F0C56" w:rsidRDefault="00832D05" w:rsidP="00832D05">
      <w:pPr>
        <w:pStyle w:val="Sraopastraipa"/>
        <w:numPr>
          <w:ilvl w:val="0"/>
          <w:numId w:val="21"/>
        </w:numPr>
        <w:spacing w:before="100" w:beforeAutospacing="1" w:after="100" w:afterAutospacing="1"/>
        <w:jc w:val="both"/>
        <w:outlineLvl w:val="1"/>
        <w:rPr>
          <w:rFonts w:ascii="Times New Roman" w:hAnsi="Times New Roman" w:cs="Times New Roman"/>
          <w:i/>
          <w:sz w:val="22"/>
        </w:rPr>
      </w:pPr>
      <w:r w:rsidRPr="007F0C56">
        <w:rPr>
          <w:rFonts w:ascii="Times New Roman" w:hAnsi="Times New Roman" w:cs="Times New Roman"/>
          <w:i/>
          <w:sz w:val="22"/>
        </w:rPr>
        <w:t xml:space="preserve">Pagal TS pirminių projektinių pasiūlymų PO atstovų peržiūrėjimas 15 </w:t>
      </w:r>
      <w:proofErr w:type="spellStart"/>
      <w:r w:rsidRPr="007F0C56">
        <w:rPr>
          <w:rFonts w:ascii="Times New Roman" w:hAnsi="Times New Roman" w:cs="Times New Roman"/>
          <w:i/>
          <w:sz w:val="22"/>
        </w:rPr>
        <w:t>dd</w:t>
      </w:r>
      <w:proofErr w:type="spellEnd"/>
      <w:r w:rsidRPr="007F0C56">
        <w:rPr>
          <w:rFonts w:ascii="Times New Roman" w:hAnsi="Times New Roman" w:cs="Times New Roman"/>
          <w:i/>
          <w:sz w:val="22"/>
        </w:rPr>
        <w:t xml:space="preserve"> (jei procedūrų nereikia kartoti daugiau nei vieną kartą).</w:t>
      </w:r>
    </w:p>
    <w:p w14:paraId="1BBD03D8" w14:textId="77777777" w:rsidR="00832D05" w:rsidRPr="007F0C56" w:rsidRDefault="00832D05" w:rsidP="00832D05">
      <w:pPr>
        <w:pStyle w:val="Sraopastraipa"/>
        <w:numPr>
          <w:ilvl w:val="0"/>
          <w:numId w:val="21"/>
        </w:numPr>
        <w:spacing w:before="100" w:beforeAutospacing="1" w:after="100" w:afterAutospacing="1"/>
        <w:jc w:val="both"/>
        <w:outlineLvl w:val="1"/>
        <w:rPr>
          <w:rFonts w:ascii="Times New Roman" w:hAnsi="Times New Roman" w:cs="Times New Roman"/>
          <w:i/>
          <w:sz w:val="22"/>
        </w:rPr>
      </w:pPr>
      <w:r w:rsidRPr="007F0C56">
        <w:rPr>
          <w:rFonts w:ascii="Times New Roman" w:hAnsi="Times New Roman" w:cs="Times New Roman"/>
          <w:i/>
          <w:sz w:val="22"/>
        </w:rPr>
        <w:t xml:space="preserve">Auditas atliekamas per 28 </w:t>
      </w:r>
      <w:proofErr w:type="spellStart"/>
      <w:r w:rsidRPr="007F0C56">
        <w:rPr>
          <w:rFonts w:ascii="Times New Roman" w:hAnsi="Times New Roman" w:cs="Times New Roman"/>
          <w:i/>
          <w:sz w:val="22"/>
        </w:rPr>
        <w:t>dd</w:t>
      </w:r>
      <w:proofErr w:type="spellEnd"/>
      <w:r w:rsidRPr="007F0C56">
        <w:rPr>
          <w:rFonts w:ascii="Times New Roman" w:hAnsi="Times New Roman" w:cs="Times New Roman"/>
          <w:i/>
          <w:sz w:val="22"/>
        </w:rPr>
        <w:t xml:space="preserve">, ir PO tikrina dokumentaciją dar 10 </w:t>
      </w:r>
      <w:proofErr w:type="spellStart"/>
      <w:r w:rsidRPr="007F0C56">
        <w:rPr>
          <w:rFonts w:ascii="Times New Roman" w:hAnsi="Times New Roman" w:cs="Times New Roman"/>
          <w:i/>
          <w:sz w:val="22"/>
        </w:rPr>
        <w:t>dd</w:t>
      </w:r>
      <w:proofErr w:type="spellEnd"/>
    </w:p>
    <w:p w14:paraId="3D49377B" w14:textId="77777777" w:rsidR="00832D05" w:rsidRPr="007F0C56" w:rsidRDefault="00832D05" w:rsidP="00832D05">
      <w:pPr>
        <w:pStyle w:val="Sraopastraipa"/>
        <w:numPr>
          <w:ilvl w:val="0"/>
          <w:numId w:val="21"/>
        </w:numPr>
        <w:spacing w:before="100" w:beforeAutospacing="1" w:after="100" w:afterAutospacing="1"/>
        <w:jc w:val="both"/>
        <w:outlineLvl w:val="1"/>
        <w:rPr>
          <w:rFonts w:ascii="Times New Roman" w:hAnsi="Times New Roman" w:cs="Times New Roman"/>
          <w:i/>
          <w:sz w:val="22"/>
        </w:rPr>
      </w:pPr>
      <w:r w:rsidRPr="007F0C56">
        <w:rPr>
          <w:rFonts w:ascii="Times New Roman" w:hAnsi="Times New Roman" w:cs="Times New Roman"/>
          <w:i/>
          <w:sz w:val="22"/>
        </w:rPr>
        <w:t xml:space="preserve">Projektinių pasiūlymų PO atstovų peržiūrėjimas 22 </w:t>
      </w:r>
      <w:proofErr w:type="spellStart"/>
      <w:r w:rsidRPr="007F0C56">
        <w:rPr>
          <w:rFonts w:ascii="Times New Roman" w:hAnsi="Times New Roman" w:cs="Times New Roman"/>
          <w:i/>
          <w:sz w:val="22"/>
        </w:rPr>
        <w:t>dd</w:t>
      </w:r>
      <w:proofErr w:type="spellEnd"/>
      <w:r w:rsidRPr="007F0C56">
        <w:rPr>
          <w:rFonts w:ascii="Times New Roman" w:hAnsi="Times New Roman" w:cs="Times New Roman"/>
          <w:i/>
          <w:sz w:val="22"/>
        </w:rPr>
        <w:t xml:space="preserve"> (jei procedūrų nereikia kartoti daugiau nei vieną kartą).</w:t>
      </w:r>
    </w:p>
    <w:p w14:paraId="3CE2447F" w14:textId="77777777" w:rsidR="00832D05" w:rsidRPr="007F0C56" w:rsidRDefault="00832D05" w:rsidP="00832D05">
      <w:pPr>
        <w:pStyle w:val="Sraopastraipa"/>
        <w:numPr>
          <w:ilvl w:val="0"/>
          <w:numId w:val="21"/>
        </w:numPr>
        <w:spacing w:before="100" w:beforeAutospacing="1" w:after="100" w:afterAutospacing="1"/>
        <w:jc w:val="both"/>
        <w:outlineLvl w:val="1"/>
        <w:rPr>
          <w:rFonts w:ascii="Times New Roman" w:hAnsi="Times New Roman" w:cs="Times New Roman"/>
          <w:i/>
          <w:sz w:val="22"/>
        </w:rPr>
      </w:pPr>
      <w:r w:rsidRPr="007F0C56">
        <w:rPr>
          <w:rFonts w:ascii="Times New Roman" w:hAnsi="Times New Roman" w:cs="Times New Roman"/>
          <w:i/>
          <w:sz w:val="22"/>
        </w:rPr>
        <w:t xml:space="preserve">Koordinavimo komisijos protokolas 10 </w:t>
      </w:r>
      <w:proofErr w:type="spellStart"/>
      <w:r w:rsidRPr="007F0C56">
        <w:rPr>
          <w:rFonts w:ascii="Times New Roman" w:hAnsi="Times New Roman" w:cs="Times New Roman"/>
          <w:i/>
          <w:sz w:val="22"/>
        </w:rPr>
        <w:t>dd</w:t>
      </w:r>
      <w:proofErr w:type="spellEnd"/>
      <w:r w:rsidRPr="007F0C56">
        <w:rPr>
          <w:rFonts w:ascii="Times New Roman" w:hAnsi="Times New Roman" w:cs="Times New Roman"/>
          <w:i/>
          <w:sz w:val="22"/>
        </w:rPr>
        <w:t xml:space="preserve"> (jei nereikia procedūros kartoti)</w:t>
      </w:r>
    </w:p>
    <w:p w14:paraId="4F6A9BAB" w14:textId="0A8087C1" w:rsidR="00832D05" w:rsidRPr="005B1597" w:rsidRDefault="005B1597" w:rsidP="00832D05">
      <w:pPr>
        <w:spacing w:before="100" w:beforeAutospacing="1" w:after="100" w:afterAutospacing="1"/>
        <w:ind w:left="720"/>
        <w:outlineLvl w:val="1"/>
        <w:rPr>
          <w:sz w:val="22"/>
          <w:szCs w:val="22"/>
        </w:rPr>
      </w:pPr>
      <w:r>
        <w:rPr>
          <w:sz w:val="22"/>
          <w:szCs w:val="22"/>
        </w:rPr>
        <w:t xml:space="preserve">Susumavus visus terminus procedūroms ir projekto vertinimui pas užsakovą, jei viskas vyksta be pakartotinių derinimų, papildomo termino specialiosioms sąlygoms gauti, be projektuotojo kaltės jau trunka 185-187 </w:t>
      </w:r>
      <w:proofErr w:type="spellStart"/>
      <w:r>
        <w:rPr>
          <w:sz w:val="22"/>
          <w:szCs w:val="22"/>
        </w:rPr>
        <w:t>d.d</w:t>
      </w:r>
      <w:proofErr w:type="spellEnd"/>
      <w:r>
        <w:rPr>
          <w:sz w:val="22"/>
          <w:szCs w:val="22"/>
        </w:rPr>
        <w:t xml:space="preserve">. </w:t>
      </w:r>
      <w:proofErr w:type="spellStart"/>
      <w:r>
        <w:rPr>
          <w:sz w:val="22"/>
          <w:szCs w:val="22"/>
        </w:rPr>
        <w:t>t.y</w:t>
      </w:r>
      <w:proofErr w:type="spellEnd"/>
      <w:r>
        <w:rPr>
          <w:sz w:val="22"/>
          <w:szCs w:val="22"/>
        </w:rPr>
        <w:t xml:space="preserve">. apie 8,5 mėn. </w:t>
      </w:r>
      <w:r w:rsidR="00832D05" w:rsidRPr="005B1597">
        <w:rPr>
          <w:sz w:val="22"/>
          <w:szCs w:val="22"/>
        </w:rPr>
        <w:t>Be išvardintų aukščiau aspektų, terminas turi būti numatytas ir Projektuotojo darbams, tokiems kaip sprendinių apsvarstymas, kūrimas, pastabų atsakymas ir suderinimas su institucijomis.</w:t>
      </w:r>
    </w:p>
    <w:p w14:paraId="47E2DFAA" w14:textId="42CAAE96" w:rsidR="00832D05" w:rsidRPr="007F0C56" w:rsidRDefault="00832D05" w:rsidP="00832D05">
      <w:pPr>
        <w:pStyle w:val="Sraopastraipa"/>
        <w:spacing w:before="100" w:beforeAutospacing="1" w:after="100" w:afterAutospacing="1"/>
        <w:jc w:val="both"/>
        <w:outlineLvl w:val="1"/>
        <w:rPr>
          <w:rFonts w:ascii="Times New Roman" w:hAnsi="Times New Roman" w:cs="Times New Roman"/>
          <w:b/>
          <w:sz w:val="22"/>
        </w:rPr>
      </w:pPr>
      <w:r w:rsidRPr="007F0C56">
        <w:rPr>
          <w:rFonts w:ascii="Times New Roman" w:eastAsia="Times New Roman" w:hAnsi="Times New Roman" w:cs="Times New Roman"/>
          <w:b/>
          <w:bCs/>
          <w:i/>
          <w:sz w:val="22"/>
          <w:lang w:eastAsia="lt-LT"/>
        </w:rPr>
        <w:t xml:space="preserve">Išvada: </w:t>
      </w:r>
      <w:r w:rsidRPr="007F0C56">
        <w:rPr>
          <w:rFonts w:ascii="Times New Roman" w:hAnsi="Times New Roman" w:cs="Times New Roman"/>
          <w:b/>
          <w:sz w:val="22"/>
        </w:rPr>
        <w:t>Sutarties projekt</w:t>
      </w:r>
      <w:r w:rsidR="004E5AA1">
        <w:rPr>
          <w:rFonts w:ascii="Times New Roman" w:hAnsi="Times New Roman" w:cs="Times New Roman"/>
          <w:b/>
          <w:sz w:val="22"/>
        </w:rPr>
        <w:t>e minimalus terminas PP parengimui turi būti numatytas ne trumpesnis kaip 10 mėnesių.</w:t>
      </w:r>
      <w:r w:rsidRPr="007F0C56">
        <w:rPr>
          <w:rFonts w:ascii="Times New Roman" w:hAnsi="Times New Roman" w:cs="Times New Roman"/>
          <w:b/>
          <w:sz w:val="22"/>
        </w:rPr>
        <w:t xml:space="preserve"> </w:t>
      </w:r>
    </w:p>
    <w:p w14:paraId="65AB4FDA" w14:textId="77777777" w:rsidR="00832D05" w:rsidRPr="007F0C56" w:rsidRDefault="00832D05" w:rsidP="00832D05">
      <w:pPr>
        <w:pStyle w:val="Sraopastraipa"/>
        <w:spacing w:before="100" w:beforeAutospacing="1" w:after="100" w:afterAutospacing="1"/>
        <w:jc w:val="both"/>
        <w:outlineLvl w:val="1"/>
        <w:rPr>
          <w:rFonts w:ascii="Times New Roman" w:hAnsi="Times New Roman" w:cs="Times New Roman"/>
          <w:b/>
          <w:sz w:val="22"/>
        </w:rPr>
      </w:pPr>
    </w:p>
    <w:p w14:paraId="7CB045D7" w14:textId="77777777" w:rsidR="00832D05" w:rsidRDefault="00832D05" w:rsidP="00832D05">
      <w:pPr>
        <w:pStyle w:val="Sraopastraipa"/>
        <w:numPr>
          <w:ilvl w:val="0"/>
          <w:numId w:val="20"/>
        </w:numPr>
        <w:spacing w:before="100" w:beforeAutospacing="1" w:after="100" w:afterAutospacing="1"/>
        <w:jc w:val="both"/>
        <w:rPr>
          <w:rFonts w:ascii="Times New Roman" w:eastAsia="Times New Roman" w:hAnsi="Times New Roman" w:cs="Times New Roman"/>
          <w:b/>
          <w:sz w:val="22"/>
          <w:lang w:eastAsia="lt-LT"/>
        </w:rPr>
      </w:pPr>
      <w:r w:rsidRPr="007F0C56">
        <w:rPr>
          <w:rFonts w:ascii="Times New Roman" w:eastAsia="Times New Roman" w:hAnsi="Times New Roman" w:cs="Times New Roman"/>
          <w:b/>
          <w:bCs/>
          <w:sz w:val="22"/>
          <w:lang w:eastAsia="lt-LT"/>
        </w:rPr>
        <w:t>Siūloma rekomendacija:</w:t>
      </w:r>
      <w:r w:rsidRPr="007F0C56">
        <w:rPr>
          <w:rFonts w:ascii="Times New Roman" w:eastAsia="Times New Roman" w:hAnsi="Times New Roman" w:cs="Times New Roman"/>
          <w:b/>
          <w:sz w:val="22"/>
          <w:lang w:eastAsia="lt-LT"/>
        </w:rPr>
        <w:t xml:space="preserve"> </w:t>
      </w:r>
    </w:p>
    <w:p w14:paraId="62853400" w14:textId="77777777" w:rsidR="0096116E" w:rsidRPr="007F0C56" w:rsidRDefault="0096116E" w:rsidP="0096116E">
      <w:pPr>
        <w:pStyle w:val="Sraopastraipa"/>
        <w:spacing w:before="100" w:beforeAutospacing="1" w:after="100" w:afterAutospacing="1"/>
        <w:jc w:val="both"/>
        <w:rPr>
          <w:rFonts w:ascii="Times New Roman" w:eastAsia="Times New Roman" w:hAnsi="Times New Roman" w:cs="Times New Roman"/>
          <w:b/>
          <w:sz w:val="22"/>
          <w:lang w:eastAsia="lt-LT"/>
        </w:rPr>
      </w:pPr>
    </w:p>
    <w:p w14:paraId="1174426B" w14:textId="77777777" w:rsidR="00832D05" w:rsidRPr="007F0C56" w:rsidRDefault="00832D05" w:rsidP="00832D05">
      <w:pPr>
        <w:pStyle w:val="Sraopastraipa"/>
        <w:spacing w:before="100" w:beforeAutospacing="1" w:after="100" w:afterAutospacing="1"/>
        <w:jc w:val="both"/>
        <w:rPr>
          <w:rFonts w:ascii="Times New Roman" w:eastAsia="Times New Roman" w:hAnsi="Times New Roman" w:cs="Times New Roman"/>
          <w:b/>
          <w:sz w:val="22"/>
          <w:lang w:eastAsia="lt-LT"/>
        </w:rPr>
      </w:pPr>
      <w:r w:rsidRPr="007F0C56">
        <w:rPr>
          <w:rFonts w:ascii="Times New Roman" w:eastAsia="Times New Roman" w:hAnsi="Times New Roman" w:cs="Times New Roman"/>
          <w:b/>
          <w:sz w:val="22"/>
          <w:lang w:eastAsia="lt-LT"/>
        </w:rPr>
        <w:t>Peržiūrėti sutarties projekto sąlygas ir jas koreguoti.</w:t>
      </w:r>
    </w:p>
    <w:p w14:paraId="3424B958" w14:textId="77777777" w:rsidR="00832D05" w:rsidRPr="00F44563" w:rsidRDefault="00832D05" w:rsidP="00832D05">
      <w:pPr>
        <w:pStyle w:val="Antrat3"/>
        <w:keepNext w:val="0"/>
        <w:keepLines w:val="0"/>
        <w:numPr>
          <w:ilvl w:val="0"/>
          <w:numId w:val="19"/>
        </w:numPr>
        <w:spacing w:before="100" w:beforeAutospacing="1" w:after="100" w:afterAutospacing="1"/>
        <w:rPr>
          <w:rFonts w:ascii="Times New Roman" w:hAnsi="Times New Roman" w:cs="Times New Roman"/>
          <w:i/>
          <w:color w:val="auto"/>
          <w:sz w:val="22"/>
          <w:szCs w:val="22"/>
          <w:u w:val="single"/>
        </w:rPr>
      </w:pPr>
      <w:r w:rsidRPr="00F44563">
        <w:rPr>
          <w:rFonts w:ascii="Times New Roman" w:hAnsi="Times New Roman" w:cs="Times New Roman"/>
          <w:i/>
          <w:color w:val="auto"/>
          <w:sz w:val="22"/>
          <w:szCs w:val="22"/>
          <w:u w:val="single"/>
        </w:rPr>
        <w:t xml:space="preserve"> Projektinių pasiūlymų priežiūros įsipareigojimai be autorinių teisių – neapibrėžta atsakomybė</w:t>
      </w:r>
    </w:p>
    <w:p w14:paraId="7FE740D4" w14:textId="77777777" w:rsidR="00832D05" w:rsidRPr="007F0C56" w:rsidRDefault="00832D05" w:rsidP="00832D05">
      <w:pPr>
        <w:spacing w:before="100" w:beforeAutospacing="1" w:after="100" w:afterAutospacing="1"/>
        <w:outlineLvl w:val="2"/>
        <w:rPr>
          <w:b/>
          <w:bCs/>
          <w:i/>
          <w:sz w:val="22"/>
          <w:szCs w:val="22"/>
          <w:lang w:eastAsia="lt-LT"/>
        </w:rPr>
      </w:pPr>
      <w:r w:rsidRPr="007F0C56">
        <w:rPr>
          <w:b/>
          <w:bCs/>
          <w:i/>
          <w:sz w:val="22"/>
          <w:szCs w:val="22"/>
          <w:lang w:eastAsia="lt-LT"/>
        </w:rPr>
        <w:t>Problema:</w:t>
      </w:r>
    </w:p>
    <w:p w14:paraId="65AEF961" w14:textId="77777777" w:rsidR="00832D05" w:rsidRPr="007F0C56" w:rsidRDefault="00832D05" w:rsidP="00832D05">
      <w:pPr>
        <w:numPr>
          <w:ilvl w:val="0"/>
          <w:numId w:val="11"/>
        </w:numPr>
        <w:spacing w:before="100" w:beforeAutospacing="1" w:after="100" w:afterAutospacing="1"/>
        <w:rPr>
          <w:sz w:val="22"/>
          <w:szCs w:val="22"/>
          <w:lang w:eastAsia="lt-LT"/>
        </w:rPr>
      </w:pPr>
      <w:r w:rsidRPr="007F0C56">
        <w:rPr>
          <w:sz w:val="22"/>
          <w:szCs w:val="22"/>
          <w:lang w:eastAsia="lt-LT"/>
        </w:rPr>
        <w:t xml:space="preserve">Sutartyje projektuotojas </w:t>
      </w:r>
      <w:r w:rsidRPr="007F0C56">
        <w:rPr>
          <w:bCs/>
          <w:sz w:val="22"/>
          <w:szCs w:val="22"/>
          <w:lang w:eastAsia="lt-LT"/>
        </w:rPr>
        <w:t>atsisako autorinių teisių į projektą (106 p.)</w:t>
      </w:r>
      <w:r w:rsidRPr="007F0C56">
        <w:rPr>
          <w:sz w:val="22"/>
          <w:szCs w:val="22"/>
          <w:lang w:eastAsia="lt-LT"/>
        </w:rPr>
        <w:t xml:space="preserve">, tačiau tuo pačiu metu įsipareigoja atlikti </w:t>
      </w:r>
      <w:r w:rsidRPr="007F0C56">
        <w:rPr>
          <w:bCs/>
          <w:sz w:val="22"/>
          <w:szCs w:val="22"/>
          <w:lang w:eastAsia="lt-LT"/>
        </w:rPr>
        <w:t>projektinių pasiūlymų priežiūrą (jei TDP rengia ir kitas projektuotojas)</w:t>
      </w:r>
      <w:r w:rsidRPr="007F0C56">
        <w:rPr>
          <w:sz w:val="22"/>
          <w:szCs w:val="22"/>
          <w:lang w:eastAsia="lt-LT"/>
        </w:rPr>
        <w:t xml:space="preserve"> iki statybos užbaigimo (33-35p., 16 p.).</w:t>
      </w:r>
    </w:p>
    <w:p w14:paraId="04A1DB87" w14:textId="77777777" w:rsidR="00832D05" w:rsidRPr="007F0C56" w:rsidRDefault="00832D05" w:rsidP="00832D05">
      <w:pPr>
        <w:numPr>
          <w:ilvl w:val="0"/>
          <w:numId w:val="11"/>
        </w:numPr>
        <w:spacing w:before="100" w:beforeAutospacing="1" w:after="100" w:afterAutospacing="1"/>
        <w:rPr>
          <w:sz w:val="22"/>
          <w:szCs w:val="22"/>
          <w:lang w:eastAsia="lt-LT"/>
        </w:rPr>
      </w:pPr>
      <w:r w:rsidRPr="007F0C56">
        <w:rPr>
          <w:sz w:val="22"/>
          <w:szCs w:val="22"/>
          <w:lang w:eastAsia="lt-LT"/>
        </w:rPr>
        <w:t xml:space="preserve">Jei </w:t>
      </w:r>
      <w:r w:rsidRPr="007F0C56">
        <w:rPr>
          <w:bCs/>
          <w:sz w:val="22"/>
          <w:szCs w:val="22"/>
          <w:lang w:eastAsia="lt-LT"/>
        </w:rPr>
        <w:t>TDP rengia kita įmonė</w:t>
      </w:r>
      <w:r w:rsidRPr="007F0C56">
        <w:rPr>
          <w:sz w:val="22"/>
          <w:szCs w:val="22"/>
          <w:lang w:eastAsia="lt-LT"/>
        </w:rPr>
        <w:t xml:space="preserve">, projektuotojas gali būti </w:t>
      </w:r>
      <w:r w:rsidRPr="007F0C56">
        <w:rPr>
          <w:bCs/>
          <w:sz w:val="22"/>
          <w:szCs w:val="22"/>
          <w:lang w:eastAsia="lt-LT"/>
        </w:rPr>
        <w:t>atsakingas už svetimus sprendinius</w:t>
      </w:r>
      <w:r w:rsidRPr="007F0C56">
        <w:rPr>
          <w:sz w:val="22"/>
          <w:szCs w:val="22"/>
          <w:lang w:eastAsia="lt-LT"/>
        </w:rPr>
        <w:t>, kurių negali kontroliuoti.</w:t>
      </w:r>
    </w:p>
    <w:p w14:paraId="506F82FD" w14:textId="77777777" w:rsidR="00832D05" w:rsidRPr="007F0C56" w:rsidRDefault="00832D05" w:rsidP="00832D05">
      <w:pPr>
        <w:numPr>
          <w:ilvl w:val="0"/>
          <w:numId w:val="11"/>
        </w:numPr>
        <w:spacing w:before="100" w:beforeAutospacing="1" w:after="100" w:afterAutospacing="1"/>
        <w:rPr>
          <w:sz w:val="22"/>
          <w:szCs w:val="22"/>
          <w:lang w:eastAsia="lt-LT"/>
        </w:rPr>
      </w:pPr>
      <w:r w:rsidRPr="007F0C56">
        <w:rPr>
          <w:sz w:val="22"/>
          <w:szCs w:val="22"/>
          <w:lang w:eastAsia="lt-LT"/>
        </w:rPr>
        <w:t>Atskiras mokėjimas nenumatytas už projektinių pasiūlymų priežiūrą, tačiau tai priklausant nuo įvairių aplinkybių gali apimti ir projektinių pasiūlymų perprojektavimą, visuomenės informavimo procedūrų kartojimą, pakartotinį derinimą su atsakingomis institucijomis ar ir SLD naujos laidos gavimą.</w:t>
      </w:r>
    </w:p>
    <w:p w14:paraId="6100FF8C" w14:textId="77777777" w:rsidR="00832D05" w:rsidRPr="007F0C56" w:rsidRDefault="00832D05" w:rsidP="00832D05">
      <w:pPr>
        <w:numPr>
          <w:ilvl w:val="0"/>
          <w:numId w:val="11"/>
        </w:numPr>
        <w:spacing w:before="100" w:beforeAutospacing="1" w:after="100" w:afterAutospacing="1"/>
        <w:rPr>
          <w:sz w:val="22"/>
          <w:szCs w:val="22"/>
          <w:lang w:eastAsia="lt-LT"/>
        </w:rPr>
      </w:pPr>
      <w:r w:rsidRPr="007F0C56">
        <w:rPr>
          <w:sz w:val="22"/>
          <w:szCs w:val="22"/>
          <w:lang w:eastAsia="lt-LT"/>
        </w:rPr>
        <w:t xml:space="preserve">Tai gali sukelti </w:t>
      </w:r>
      <w:r w:rsidRPr="007F0C56">
        <w:rPr>
          <w:bCs/>
          <w:sz w:val="22"/>
          <w:szCs w:val="22"/>
          <w:lang w:eastAsia="lt-LT"/>
        </w:rPr>
        <w:t>teisinių ginčų ir papildomų nenumatytų išlaidų</w:t>
      </w:r>
      <w:r w:rsidRPr="007F0C56">
        <w:rPr>
          <w:sz w:val="22"/>
          <w:szCs w:val="22"/>
          <w:lang w:eastAsia="lt-LT"/>
        </w:rPr>
        <w:t>.</w:t>
      </w:r>
    </w:p>
    <w:p w14:paraId="7E587D51" w14:textId="77777777" w:rsidR="00832D05" w:rsidRPr="007F0C56" w:rsidRDefault="00832D05" w:rsidP="00832D05">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23CC7600" w14:textId="77777777" w:rsidR="00832D05" w:rsidRPr="007F0C56" w:rsidRDefault="00832D05" w:rsidP="00832D05">
      <w:pPr>
        <w:pStyle w:val="Sraopastraipa"/>
        <w:numPr>
          <w:ilvl w:val="0"/>
          <w:numId w:val="22"/>
        </w:numPr>
        <w:spacing w:before="100"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lastRenderedPageBreak/>
        <w:t>Apriboti priežiūros atsakomybę tik iki pradinės projekto versijos.</w:t>
      </w:r>
    </w:p>
    <w:p w14:paraId="75D7B54A" w14:textId="77777777" w:rsidR="00832D05" w:rsidRPr="007F0C56" w:rsidRDefault="00832D05" w:rsidP="00832D05">
      <w:pPr>
        <w:pStyle w:val="Sraopastraipa"/>
        <w:numPr>
          <w:ilvl w:val="0"/>
          <w:numId w:val="22"/>
        </w:numPr>
        <w:spacing w:before="100"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„Teikėjas privalo atlikti projektinių pasiūlymų priežiūrą tik tiek, kiek ji susijusi su pirminėje projekto versijoje patvirtintais sprendiniais.“</w:t>
      </w:r>
    </w:p>
    <w:p w14:paraId="6F52C92C" w14:textId="77777777" w:rsidR="00832D05" w:rsidRPr="007F0C56" w:rsidRDefault="00832D05" w:rsidP="00832D05">
      <w:pPr>
        <w:pStyle w:val="Sraopastraipa"/>
        <w:numPr>
          <w:ilvl w:val="0"/>
          <w:numId w:val="22"/>
        </w:numPr>
        <w:spacing w:before="100"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 xml:space="preserve"> Aiškiai nustatyti, kad projektuotojas neatsako už kitų šalių projekto pakeitimus.</w:t>
      </w:r>
    </w:p>
    <w:p w14:paraId="55FC8F66" w14:textId="77777777" w:rsidR="00832D05" w:rsidRPr="007F0C56" w:rsidRDefault="00832D05" w:rsidP="00832D05">
      <w:pPr>
        <w:spacing w:before="100" w:beforeAutospacing="1" w:after="100" w:afterAutospacing="1"/>
        <w:rPr>
          <w:b/>
          <w:bCs/>
          <w:i/>
          <w:sz w:val="22"/>
          <w:szCs w:val="22"/>
          <w:lang w:eastAsia="lt-LT"/>
        </w:rPr>
      </w:pPr>
      <w:r w:rsidRPr="007F0C56">
        <w:rPr>
          <w:b/>
          <w:bCs/>
          <w:i/>
          <w:sz w:val="22"/>
          <w:szCs w:val="22"/>
          <w:lang w:eastAsia="lt-LT"/>
        </w:rPr>
        <w:t>Siūlomi pakeitimai sutartyje:</w:t>
      </w:r>
    </w:p>
    <w:p w14:paraId="551623FB"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PP rengėjas atsako tik už savo sukurtus ir suderintus sprendinius, tačiau neatsako už TDP rengėjo interpretacijas ar pakeitimus.</w:t>
      </w:r>
    </w:p>
    <w:p w14:paraId="4D6F2B8D"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Jei TDP rengėjas nusprendžia keisti PP sprendinius, atsakomybė už šiuos pakeitimus tenka tik jam.</w:t>
      </w:r>
    </w:p>
    <w:p w14:paraId="3CE6921F"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 xml:space="preserve"> PP rengėjas nėra įpareigotas nemokamai konsultuoti TDP rengėjo, nebent už tai būtų papildomai apmokama pagal atskirą susitarimą.</w:t>
      </w:r>
    </w:p>
    <w:p w14:paraId="74807731" w14:textId="77777777" w:rsidR="00832D05" w:rsidRPr="007F0C56" w:rsidRDefault="00832D05" w:rsidP="00832D05">
      <w:pPr>
        <w:spacing w:beforeAutospacing="1" w:after="100" w:afterAutospacing="1"/>
        <w:rPr>
          <w:sz w:val="22"/>
          <w:szCs w:val="22"/>
          <w:lang w:eastAsia="lt-LT"/>
        </w:rPr>
      </w:pPr>
      <w:r w:rsidRPr="007F0C56">
        <w:rPr>
          <w:b/>
          <w:bCs/>
          <w:i/>
          <w:sz w:val="22"/>
          <w:szCs w:val="22"/>
          <w:lang w:eastAsia="lt-LT"/>
        </w:rPr>
        <w:t>Išvada:</w:t>
      </w:r>
      <w:r w:rsidRPr="007F0C56">
        <w:rPr>
          <w:sz w:val="22"/>
          <w:szCs w:val="22"/>
          <w:highlight w:val="yellow"/>
          <w:lang w:eastAsia="lt-LT"/>
        </w:rPr>
        <w:br/>
      </w:r>
    </w:p>
    <w:p w14:paraId="7F697B06"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Išvengiama nesąžiningo atsakomybės perkėlimo PP rengėjui.</w:t>
      </w:r>
    </w:p>
    <w:p w14:paraId="0CA1887F"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Aiškiai nustatomos PP rengėjo įsipareigojimų ribos.</w:t>
      </w:r>
    </w:p>
    <w:p w14:paraId="2BFE3898"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Apsaugoma PP rengėjo teisė gauti atlygį už papildomas konsultacijas.</w:t>
      </w:r>
    </w:p>
    <w:p w14:paraId="52CDEB7F" w14:textId="77777777" w:rsidR="00832D05" w:rsidRDefault="00832D05" w:rsidP="00832D05">
      <w:pPr>
        <w:rPr>
          <w:sz w:val="22"/>
          <w:szCs w:val="22"/>
          <w:lang w:eastAsia="lt-LT"/>
        </w:rPr>
      </w:pPr>
    </w:p>
    <w:p w14:paraId="24BF2D1E" w14:textId="77777777" w:rsidR="0096116E" w:rsidRDefault="0096116E" w:rsidP="00832D05">
      <w:pPr>
        <w:rPr>
          <w:sz w:val="22"/>
          <w:szCs w:val="22"/>
          <w:lang w:eastAsia="lt-LT"/>
        </w:rPr>
      </w:pPr>
    </w:p>
    <w:p w14:paraId="5532A1C7" w14:textId="77777777" w:rsidR="0096116E" w:rsidRPr="007F0C56" w:rsidRDefault="0096116E" w:rsidP="00832D05">
      <w:pPr>
        <w:rPr>
          <w:sz w:val="22"/>
          <w:szCs w:val="22"/>
          <w:lang w:eastAsia="lt-LT"/>
        </w:rPr>
      </w:pPr>
    </w:p>
    <w:p w14:paraId="40D03D88" w14:textId="77777777" w:rsidR="00832D05" w:rsidRPr="0096116E" w:rsidRDefault="00832D05" w:rsidP="00832D05">
      <w:pPr>
        <w:pStyle w:val="Antrat3"/>
        <w:keepNext w:val="0"/>
        <w:keepLines w:val="0"/>
        <w:numPr>
          <w:ilvl w:val="0"/>
          <w:numId w:val="19"/>
        </w:numPr>
        <w:spacing w:before="100" w:beforeAutospacing="1" w:after="100" w:afterAutospacing="1"/>
        <w:rPr>
          <w:rFonts w:ascii="Times New Roman" w:hAnsi="Times New Roman" w:cs="Times New Roman"/>
          <w:i/>
          <w:color w:val="auto"/>
          <w:sz w:val="22"/>
          <w:szCs w:val="22"/>
          <w:u w:val="single"/>
        </w:rPr>
      </w:pPr>
      <w:r w:rsidRPr="0096116E">
        <w:rPr>
          <w:rFonts w:ascii="Times New Roman" w:hAnsi="Times New Roman" w:cs="Times New Roman"/>
          <w:i/>
          <w:color w:val="auto"/>
          <w:sz w:val="22"/>
          <w:szCs w:val="22"/>
          <w:u w:val="single"/>
        </w:rPr>
        <w:t>Neapibrėžtas sutarties terminas – neribota priežiūra</w:t>
      </w:r>
    </w:p>
    <w:p w14:paraId="0FD54E72" w14:textId="77777777" w:rsidR="00832D05" w:rsidRPr="007F0C56" w:rsidRDefault="00832D05" w:rsidP="00832D05">
      <w:pPr>
        <w:spacing w:before="100" w:beforeAutospacing="1" w:after="100" w:afterAutospacing="1"/>
        <w:outlineLvl w:val="2"/>
        <w:rPr>
          <w:b/>
          <w:bCs/>
          <w:i/>
          <w:sz w:val="22"/>
          <w:szCs w:val="22"/>
          <w:lang w:eastAsia="lt-LT"/>
        </w:rPr>
      </w:pPr>
      <w:r w:rsidRPr="007F0C56">
        <w:rPr>
          <w:b/>
          <w:bCs/>
          <w:i/>
          <w:sz w:val="22"/>
          <w:szCs w:val="22"/>
          <w:lang w:eastAsia="lt-LT"/>
        </w:rPr>
        <w:t>Problema</w:t>
      </w:r>
    </w:p>
    <w:p w14:paraId="052F1C32"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 xml:space="preserve">Priežiūros paslaugos turi būti teikiamos iki statybos užbaigimo (Sutarties 16 p.), tačiau ši data neapibrėžta terminais ir gali užsitęsti metams. </w:t>
      </w:r>
    </w:p>
    <w:p w14:paraId="7B596727" w14:textId="46CE2414"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Projektuotojas gali prarasti kontrolę ir būti įpareigotas teikti paslaugas neribotą laiką</w:t>
      </w:r>
      <w:r w:rsidR="00023519">
        <w:rPr>
          <w:rFonts w:ascii="Times New Roman" w:eastAsia="Times New Roman" w:hAnsi="Times New Roman" w:cs="Times New Roman"/>
          <w:sz w:val="22"/>
          <w:lang w:eastAsia="lt-LT"/>
        </w:rPr>
        <w:t xml:space="preserve"> (ir dar nemokamai)</w:t>
      </w:r>
      <w:r w:rsidRPr="007F0C56">
        <w:rPr>
          <w:rFonts w:ascii="Times New Roman" w:eastAsia="Times New Roman" w:hAnsi="Times New Roman" w:cs="Times New Roman"/>
          <w:sz w:val="22"/>
          <w:lang w:eastAsia="lt-LT"/>
        </w:rPr>
        <w:t>.</w:t>
      </w:r>
    </w:p>
    <w:p w14:paraId="2FD73DD4" w14:textId="77777777" w:rsidR="00832D05" w:rsidRPr="007F0C56" w:rsidRDefault="00832D05" w:rsidP="00832D05">
      <w:pPr>
        <w:spacing w:before="100" w:beforeAutospacing="1" w:after="100" w:afterAutospacing="1"/>
        <w:outlineLvl w:val="2"/>
        <w:rPr>
          <w:b/>
          <w:bCs/>
          <w:i/>
          <w:sz w:val="22"/>
          <w:szCs w:val="22"/>
          <w:lang w:eastAsia="lt-LT"/>
        </w:rPr>
      </w:pPr>
      <w:r w:rsidRPr="007F0C56">
        <w:rPr>
          <w:b/>
          <w:bCs/>
          <w:i/>
          <w:sz w:val="22"/>
          <w:szCs w:val="22"/>
          <w:lang w:eastAsia="lt-LT"/>
        </w:rPr>
        <w:t>Siūlomas sprendimas</w:t>
      </w:r>
    </w:p>
    <w:p w14:paraId="6F6BAED3"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 xml:space="preserve"> Nustatyti aiškų priežiūros terminą – ne ilgiau kaip 24 mėnesius.</w:t>
      </w:r>
    </w:p>
    <w:p w14:paraId="111ED96E" w14:textId="77777777" w:rsidR="00832D05" w:rsidRPr="007F0C56" w:rsidRDefault="00832D05" w:rsidP="00832D05">
      <w:pPr>
        <w:pStyle w:val="Sraopastraipa"/>
        <w:spacing w:beforeAutospacing="1" w:after="100" w:afterAutospacing="1"/>
        <w:ind w:left="785"/>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„Projektinių pasiūlymų priežiūra teikiama ne ilgiau kaip 24 mėnesius nuo PP pateikimo Užsakovui. Jei reikia ilgesnio laikotarpio, sudaromas papildomas susitarimas su papildomu apmokėjimu.“</w:t>
      </w:r>
    </w:p>
    <w:p w14:paraId="6787FF57" w14:textId="77777777" w:rsidR="00832D05" w:rsidRPr="007F0C56" w:rsidRDefault="00000000" w:rsidP="00832D05">
      <w:pPr>
        <w:rPr>
          <w:sz w:val="22"/>
          <w:szCs w:val="22"/>
          <w:lang w:eastAsia="lt-LT"/>
        </w:rPr>
      </w:pPr>
      <w:r>
        <w:rPr>
          <w:sz w:val="22"/>
          <w:szCs w:val="22"/>
          <w:lang w:eastAsia="lt-LT"/>
        </w:rPr>
        <w:pict w14:anchorId="22779F72">
          <v:rect id="_x0000_i1025" style="width:0;height:1.5pt" o:hralign="center" o:hrstd="t" o:hr="t" fillcolor="#a0a0a0" stroked="f"/>
        </w:pict>
      </w:r>
    </w:p>
    <w:p w14:paraId="675B9727" w14:textId="77777777" w:rsidR="00832D05" w:rsidRPr="00023519" w:rsidRDefault="00832D05" w:rsidP="00832D05">
      <w:pPr>
        <w:pStyle w:val="Antrat3"/>
        <w:keepNext w:val="0"/>
        <w:keepLines w:val="0"/>
        <w:numPr>
          <w:ilvl w:val="0"/>
          <w:numId w:val="19"/>
        </w:numPr>
        <w:spacing w:before="100" w:beforeAutospacing="1" w:after="100" w:afterAutospacing="1"/>
        <w:rPr>
          <w:rFonts w:ascii="Times New Roman" w:hAnsi="Times New Roman" w:cs="Times New Roman"/>
          <w:i/>
          <w:color w:val="auto"/>
          <w:sz w:val="22"/>
          <w:szCs w:val="22"/>
          <w:u w:val="single"/>
        </w:rPr>
      </w:pPr>
      <w:r w:rsidRPr="00023519">
        <w:rPr>
          <w:rFonts w:ascii="Times New Roman" w:hAnsi="Times New Roman" w:cs="Times New Roman"/>
          <w:i/>
          <w:color w:val="auto"/>
          <w:sz w:val="22"/>
          <w:szCs w:val="22"/>
          <w:u w:val="single"/>
        </w:rPr>
        <w:t>Baudų sistema per griežta ir perteklinė</w:t>
      </w:r>
    </w:p>
    <w:p w14:paraId="3FC2983F" w14:textId="77777777" w:rsidR="00832D05" w:rsidRPr="007F0C56" w:rsidRDefault="00832D05" w:rsidP="00832D05">
      <w:pPr>
        <w:spacing w:before="100" w:beforeAutospacing="1" w:after="100" w:afterAutospacing="1"/>
        <w:outlineLvl w:val="2"/>
        <w:rPr>
          <w:b/>
          <w:bCs/>
          <w:i/>
          <w:sz w:val="22"/>
          <w:szCs w:val="22"/>
          <w:lang w:eastAsia="lt-LT"/>
        </w:rPr>
      </w:pPr>
      <w:r w:rsidRPr="007F0C56">
        <w:rPr>
          <w:b/>
          <w:bCs/>
          <w:i/>
          <w:sz w:val="22"/>
          <w:szCs w:val="22"/>
          <w:lang w:eastAsia="lt-LT"/>
        </w:rPr>
        <w:t>Problemos</w:t>
      </w:r>
    </w:p>
    <w:p w14:paraId="27578400"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Dviejų baudų taikymas už tą patį pažeidimą (pvz., Sutarties 74.1.3 ir 74.2.2 p. delspinigiai + bauda už vėlavimą).</w:t>
      </w:r>
    </w:p>
    <w:p w14:paraId="636FC90B"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Per didelės ar nekonkrečios baudos (pvz., 10 % bauda už sutarties nutraukimą net jei Užsakovas nepatiria realių nuostolių).</w:t>
      </w:r>
    </w:p>
    <w:p w14:paraId="52808B0E"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Baudos taikomos be galimybės projektuotojui apsiginti (pvz., automatinis įtraukimas į nepatikimų tiekėjų sąrašą).</w:t>
      </w:r>
    </w:p>
    <w:p w14:paraId="28636CAF"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lastRenderedPageBreak/>
        <w:t>Nėra aiški Užsakovo atsakomybė ir jam numatytos baudos už apmokėjimų vėlavimą. Taip pat turi būti vertinamas ir Užsakovo vėlavimas priimant sprendimus ir/ar nevykdant kitų savo įsipareigojimų, kas įtakoja projektavimo komandos darbą/išbalansavimą.</w:t>
      </w:r>
    </w:p>
    <w:p w14:paraId="094D2BD3" w14:textId="77777777" w:rsidR="00832D05" w:rsidRPr="007F0C56" w:rsidRDefault="00832D05" w:rsidP="00832D05">
      <w:pPr>
        <w:spacing w:before="100" w:beforeAutospacing="1" w:after="100" w:afterAutospacing="1"/>
        <w:outlineLvl w:val="2"/>
        <w:rPr>
          <w:b/>
          <w:bCs/>
          <w:i/>
          <w:sz w:val="22"/>
          <w:szCs w:val="22"/>
          <w:lang w:eastAsia="lt-LT"/>
        </w:rPr>
      </w:pPr>
      <w:r w:rsidRPr="007F0C56">
        <w:rPr>
          <w:b/>
          <w:bCs/>
          <w:i/>
          <w:sz w:val="22"/>
          <w:szCs w:val="22"/>
          <w:lang w:eastAsia="lt-LT"/>
        </w:rPr>
        <w:t>Siūlomi sprendimai</w:t>
      </w:r>
    </w:p>
    <w:p w14:paraId="7097049B"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Apriboti baudas, kad už tą patį pažeidimą nebūtų taikomos kelios sankcijos.</w:t>
      </w:r>
      <w:r w:rsidRPr="007F0C56">
        <w:rPr>
          <w:rFonts w:ascii="Times New Roman" w:eastAsia="Times New Roman" w:hAnsi="Times New Roman" w:cs="Times New Roman"/>
          <w:sz w:val="22"/>
          <w:lang w:eastAsia="lt-LT"/>
        </w:rPr>
        <w:br/>
        <w:t>„Jei Užsakovas taiko delspinigius už vėlavimą, papildomos baudos už tą patį pažeidimą netaikomos.“</w:t>
      </w:r>
    </w:p>
    <w:p w14:paraId="6C98AF08"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Panaikinti 10 % baudą už sutarties nutraukimą, jei nėra realių nuostolių.</w:t>
      </w:r>
    </w:p>
    <w:p w14:paraId="387FC882"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Aiškiai apibrėžti, kad projektavimo klaidos turi būti pagrįstos objektyviais kriterijais.</w:t>
      </w:r>
    </w:p>
    <w:p w14:paraId="193BEDC8" w14:textId="77777777" w:rsidR="00832D05" w:rsidRPr="007F0C56" w:rsidRDefault="00832D05" w:rsidP="00832D05">
      <w:pPr>
        <w:pStyle w:val="Sraopastraipa"/>
        <w:numPr>
          <w:ilvl w:val="0"/>
          <w:numId w:val="23"/>
        </w:numPr>
        <w:spacing w:beforeAutospacing="1" w:after="100" w:afterAutospacing="1"/>
        <w:jc w:val="both"/>
        <w:rPr>
          <w:rFonts w:ascii="Times New Roman" w:eastAsia="Times New Roman" w:hAnsi="Times New Roman" w:cs="Times New Roman"/>
          <w:sz w:val="22"/>
          <w:lang w:eastAsia="lt-LT"/>
        </w:rPr>
      </w:pPr>
      <w:r w:rsidRPr="007F0C56">
        <w:rPr>
          <w:rFonts w:ascii="Times New Roman" w:eastAsia="Times New Roman" w:hAnsi="Times New Roman" w:cs="Times New Roman"/>
          <w:sz w:val="22"/>
          <w:lang w:eastAsia="lt-LT"/>
        </w:rPr>
        <w:t xml:space="preserve">Jei mokėjimas vėluoja, taikomi </w:t>
      </w:r>
      <w:r w:rsidRPr="007F0C56">
        <w:rPr>
          <w:rFonts w:ascii="Times New Roman" w:eastAsia="Times New Roman" w:hAnsi="Times New Roman" w:cs="Times New Roman"/>
          <w:bCs/>
          <w:sz w:val="22"/>
          <w:lang w:eastAsia="lt-LT"/>
        </w:rPr>
        <w:t>0,03 % dydžio delspinigiai Užsakovui už kiekvieną pavėluotą dieną</w:t>
      </w:r>
      <w:r w:rsidRPr="007F0C56">
        <w:rPr>
          <w:rFonts w:ascii="Times New Roman" w:eastAsia="Times New Roman" w:hAnsi="Times New Roman" w:cs="Times New Roman"/>
          <w:sz w:val="22"/>
          <w:lang w:eastAsia="lt-LT"/>
        </w:rPr>
        <w:t>.</w:t>
      </w:r>
    </w:p>
    <w:p w14:paraId="2B1DE13B" w14:textId="389527E5" w:rsidR="00832D05" w:rsidRPr="00BC7B7F" w:rsidRDefault="00832D05" w:rsidP="00832D05">
      <w:pPr>
        <w:pStyle w:val="Antrat3"/>
        <w:keepNext w:val="0"/>
        <w:keepLines w:val="0"/>
        <w:numPr>
          <w:ilvl w:val="0"/>
          <w:numId w:val="19"/>
        </w:numPr>
        <w:spacing w:before="100" w:beforeAutospacing="1" w:after="100" w:afterAutospacing="1"/>
        <w:rPr>
          <w:rFonts w:ascii="Times New Roman" w:hAnsi="Times New Roman" w:cs="Times New Roman"/>
          <w:i/>
          <w:color w:val="auto"/>
          <w:sz w:val="22"/>
          <w:szCs w:val="22"/>
          <w:u w:val="single"/>
        </w:rPr>
      </w:pPr>
      <w:r w:rsidRPr="00BC7B7F">
        <w:rPr>
          <w:rFonts w:ascii="Times New Roman" w:hAnsi="Times New Roman" w:cs="Times New Roman"/>
          <w:i/>
          <w:color w:val="auto"/>
          <w:sz w:val="22"/>
          <w:szCs w:val="22"/>
          <w:u w:val="single"/>
        </w:rPr>
        <w:t>Papildomų paslaugų įsigijima</w:t>
      </w:r>
      <w:r w:rsidR="00BC7B7F">
        <w:rPr>
          <w:rFonts w:ascii="Times New Roman" w:hAnsi="Times New Roman" w:cs="Times New Roman"/>
          <w:i/>
          <w:color w:val="auto"/>
          <w:sz w:val="22"/>
          <w:szCs w:val="22"/>
          <w:u w:val="single"/>
        </w:rPr>
        <w:t>s</w:t>
      </w:r>
      <w:r w:rsidRPr="00BC7B7F">
        <w:rPr>
          <w:rFonts w:ascii="Times New Roman" w:hAnsi="Times New Roman" w:cs="Times New Roman"/>
          <w:i/>
          <w:color w:val="auto"/>
          <w:sz w:val="22"/>
          <w:szCs w:val="22"/>
          <w:u w:val="single"/>
        </w:rPr>
        <w:t>:</w:t>
      </w:r>
    </w:p>
    <w:p w14:paraId="34566A87" w14:textId="77777777" w:rsidR="00832D05" w:rsidRDefault="00832D05" w:rsidP="00832D05">
      <w:pPr>
        <w:rPr>
          <w:sz w:val="22"/>
          <w:szCs w:val="22"/>
        </w:rPr>
      </w:pPr>
      <w:r w:rsidRPr="00BC7B7F">
        <w:rPr>
          <w:sz w:val="22"/>
          <w:szCs w:val="22"/>
        </w:rPr>
        <w:t>Sutarties 93.2 p. prašome patikslinkite papildomų paslaugų vertę, nes nesutampa nurodyti procentai skaičiais ir žodžiais.</w:t>
      </w:r>
    </w:p>
    <w:p w14:paraId="44F1D38B" w14:textId="77777777" w:rsidR="004A611C" w:rsidRPr="00BC7B7F" w:rsidRDefault="004A611C" w:rsidP="00832D05">
      <w:pPr>
        <w:rPr>
          <w:sz w:val="22"/>
          <w:szCs w:val="22"/>
        </w:rPr>
      </w:pPr>
    </w:p>
    <w:p w14:paraId="4E3CCC61" w14:textId="30DF60DD" w:rsidR="00832D05" w:rsidRPr="00BC7B7F" w:rsidRDefault="00832D05" w:rsidP="00832D05">
      <w:pPr>
        <w:rPr>
          <w:sz w:val="22"/>
          <w:szCs w:val="22"/>
          <w:lang w:eastAsia="lt-LT"/>
        </w:rPr>
      </w:pPr>
      <w:r w:rsidRPr="00BC7B7F">
        <w:rPr>
          <w:sz w:val="22"/>
          <w:szCs w:val="22"/>
          <w:lang w:eastAsia="lt-LT"/>
        </w:rPr>
        <w:t>Viešųjų pirkimų įstatymo (VPĮ) 89 straipsnyje yra numatyta, kad papildomų darbų vertė negali viršyti 50% pradinės pirkimo sutarties vertės. Tačiau jūsų pateiktame sutarties projekte nustatyta griežtesnė – tik 10% vertės riba​</w:t>
      </w:r>
      <w:r w:rsidR="004A611C">
        <w:rPr>
          <w:sz w:val="22"/>
          <w:szCs w:val="22"/>
          <w:lang w:eastAsia="lt-LT"/>
        </w:rPr>
        <w:t>.</w:t>
      </w:r>
      <w:r w:rsidRPr="00BC7B7F">
        <w:rPr>
          <w:sz w:val="22"/>
          <w:szCs w:val="22"/>
          <w:lang w:eastAsia="lt-LT"/>
        </w:rPr>
        <w:t>Toks apribojimas neatitinka VPĮ numatytų lankstumo galimybių ir gali sukelti šias problemas:</w:t>
      </w:r>
    </w:p>
    <w:p w14:paraId="0D797591" w14:textId="77777777" w:rsidR="00832D05" w:rsidRPr="00BC7B7F" w:rsidRDefault="00832D05" w:rsidP="00832D05">
      <w:pPr>
        <w:rPr>
          <w:sz w:val="22"/>
          <w:szCs w:val="22"/>
          <w:lang w:eastAsia="lt-LT"/>
        </w:rPr>
      </w:pPr>
    </w:p>
    <w:p w14:paraId="079FE45E" w14:textId="19DAE21A" w:rsidR="00832D05" w:rsidRPr="004A611C" w:rsidRDefault="00832D05" w:rsidP="004A611C">
      <w:pPr>
        <w:pStyle w:val="Sraopastraipa"/>
        <w:numPr>
          <w:ilvl w:val="0"/>
          <w:numId w:val="25"/>
        </w:numPr>
        <w:jc w:val="both"/>
        <w:rPr>
          <w:rFonts w:ascii="Times New Roman" w:hAnsi="Times New Roman" w:cs="Times New Roman"/>
          <w:sz w:val="22"/>
          <w:lang w:eastAsia="lt-LT"/>
        </w:rPr>
      </w:pPr>
      <w:r w:rsidRPr="004A611C">
        <w:rPr>
          <w:rFonts w:ascii="Times New Roman" w:hAnsi="Times New Roman" w:cs="Times New Roman"/>
          <w:sz w:val="22"/>
          <w:lang w:eastAsia="lt-LT"/>
        </w:rPr>
        <w:t>Per dažnas naujų pirkimų inicijavimas: esant mažai ribai (10%), užsakovas gali būti priverstas organizuoti naujus viešuosius pirkimus net ir dėl smulkesnių papildomų darbų, kas užtrunka ilgiau ir kainuoja daugiau.</w:t>
      </w:r>
    </w:p>
    <w:p w14:paraId="1C088F77" w14:textId="6E2F0E21" w:rsidR="00832D05" w:rsidRPr="004A611C" w:rsidRDefault="00832D05" w:rsidP="004A611C">
      <w:pPr>
        <w:pStyle w:val="Sraopastraipa"/>
        <w:numPr>
          <w:ilvl w:val="0"/>
          <w:numId w:val="25"/>
        </w:numPr>
        <w:jc w:val="both"/>
        <w:rPr>
          <w:rFonts w:ascii="Times New Roman" w:hAnsi="Times New Roman" w:cs="Times New Roman"/>
          <w:sz w:val="22"/>
          <w:lang w:eastAsia="lt-LT"/>
        </w:rPr>
      </w:pPr>
      <w:r w:rsidRPr="004A611C">
        <w:rPr>
          <w:rFonts w:ascii="Times New Roman" w:hAnsi="Times New Roman" w:cs="Times New Roman"/>
          <w:sz w:val="22"/>
          <w:lang w:eastAsia="lt-LT"/>
        </w:rPr>
        <w:t>Didesnės administracinės sąnaudos: dažni nauji pirkimai reikalauja papildomų teisinių ir techninių resursų iš užsakovo pusės.</w:t>
      </w:r>
    </w:p>
    <w:p w14:paraId="0F748D3E" w14:textId="0A5D8D69" w:rsidR="00832D05" w:rsidRPr="004A611C" w:rsidRDefault="00832D05" w:rsidP="004A611C">
      <w:pPr>
        <w:pStyle w:val="Sraopastraipa"/>
        <w:numPr>
          <w:ilvl w:val="0"/>
          <w:numId w:val="25"/>
        </w:numPr>
        <w:jc w:val="both"/>
        <w:rPr>
          <w:rFonts w:ascii="Times New Roman" w:hAnsi="Times New Roman" w:cs="Times New Roman"/>
          <w:sz w:val="22"/>
          <w:lang w:eastAsia="lt-LT"/>
        </w:rPr>
      </w:pPr>
      <w:r w:rsidRPr="004A611C">
        <w:rPr>
          <w:rFonts w:ascii="Times New Roman" w:hAnsi="Times New Roman" w:cs="Times New Roman"/>
          <w:sz w:val="22"/>
          <w:lang w:eastAsia="lt-LT"/>
        </w:rPr>
        <w:t>Rizika projektų tęstinumui: jei papildomi darbai viršija 10% ir reikia skelbti naują pirkimą, gali kilti laiko tarpų tarp projektavimo darbų, kurie stabdys projekto įgyvendinimą.</w:t>
      </w:r>
    </w:p>
    <w:p w14:paraId="055B422B" w14:textId="77777777" w:rsidR="00832D05" w:rsidRPr="004A611C" w:rsidRDefault="00832D05" w:rsidP="00832D05">
      <w:pPr>
        <w:rPr>
          <w:sz w:val="22"/>
          <w:szCs w:val="22"/>
          <w:lang w:eastAsia="lt-LT"/>
        </w:rPr>
      </w:pPr>
    </w:p>
    <w:p w14:paraId="7457FCCF" w14:textId="77777777" w:rsidR="00832D05" w:rsidRPr="00BC7B7F" w:rsidRDefault="00832D05" w:rsidP="00832D05">
      <w:pPr>
        <w:rPr>
          <w:sz w:val="22"/>
          <w:szCs w:val="22"/>
          <w:lang w:eastAsia="lt-LT"/>
        </w:rPr>
      </w:pPr>
      <w:r w:rsidRPr="00BC7B7F">
        <w:rPr>
          <w:sz w:val="22"/>
          <w:szCs w:val="22"/>
          <w:lang w:eastAsia="lt-LT"/>
        </w:rPr>
        <w:t xml:space="preserve">    Darbų efektyvumas: Esant 50% ribai, galima užtikrinti, kad esamas projektuotojas galėtų atlikti visus būtinus papildomus darbus be reikalo neorganizuojant naujų konkursų.</w:t>
      </w:r>
    </w:p>
    <w:p w14:paraId="6E8A8FAD" w14:textId="77777777" w:rsidR="00832D05" w:rsidRPr="00BC7B7F" w:rsidRDefault="00832D05" w:rsidP="00832D05">
      <w:pPr>
        <w:rPr>
          <w:sz w:val="22"/>
          <w:szCs w:val="22"/>
          <w:lang w:eastAsia="lt-LT"/>
        </w:rPr>
      </w:pPr>
      <w:r w:rsidRPr="00BC7B7F">
        <w:rPr>
          <w:sz w:val="22"/>
          <w:szCs w:val="22"/>
          <w:lang w:eastAsia="lt-LT"/>
        </w:rPr>
        <w:t xml:space="preserve">    Mažesnės klaidų rizikos: Jei papildomus darbus vykdys tas pats projektuotojas, sumažės nesusipratimų ir netikslumų, nes jis jau yra susipažinęs su projektu.</w:t>
      </w:r>
    </w:p>
    <w:p w14:paraId="54B6D110" w14:textId="77777777" w:rsidR="00832D05" w:rsidRPr="00BC7B7F" w:rsidRDefault="00832D05" w:rsidP="00832D05">
      <w:pPr>
        <w:rPr>
          <w:sz w:val="22"/>
          <w:szCs w:val="22"/>
          <w:lang w:eastAsia="lt-LT"/>
        </w:rPr>
      </w:pPr>
      <w:r w:rsidRPr="00BC7B7F">
        <w:rPr>
          <w:sz w:val="22"/>
          <w:szCs w:val="22"/>
          <w:lang w:eastAsia="lt-LT"/>
        </w:rPr>
        <w:t xml:space="preserve">    Mažesnės išlaidos: Jei papildomi darbai perkami iš to paties tiekėjo, galima išvengti išlaidų, susijusių su naujų tiekėjų įvedimu į projektą.</w:t>
      </w:r>
    </w:p>
    <w:p w14:paraId="047F3E57" w14:textId="77777777" w:rsidR="00832D05" w:rsidRPr="007F0C56" w:rsidRDefault="00832D05" w:rsidP="00832D05">
      <w:pPr>
        <w:rPr>
          <w:sz w:val="22"/>
          <w:szCs w:val="22"/>
          <w:highlight w:val="yellow"/>
          <w:lang w:eastAsia="lt-LT"/>
        </w:rPr>
      </w:pPr>
    </w:p>
    <w:p w14:paraId="208735D2" w14:textId="77777777" w:rsidR="00832D05" w:rsidRPr="007F0C56" w:rsidRDefault="00832D05" w:rsidP="00832D05">
      <w:pPr>
        <w:rPr>
          <w:sz w:val="22"/>
          <w:szCs w:val="22"/>
          <w:lang w:eastAsia="lt-LT"/>
        </w:rPr>
      </w:pPr>
      <w:r w:rsidRPr="007F0C56">
        <w:rPr>
          <w:sz w:val="22"/>
          <w:szCs w:val="22"/>
          <w:lang w:eastAsia="lt-LT"/>
        </w:rPr>
        <w:t xml:space="preserve">Praktikoje vykdant projektavimo sutartis susiduriama su nenumatytomis aplinkybėmis, dėl ko užsakovas turi įsigyti papildomas paslaugas iš to pačio projektuotojo, tačiau projektuotojas dėl papildomos darbų apimties nėra pajėgus jų atlikti už  10 </w:t>
      </w:r>
      <w:proofErr w:type="spellStart"/>
      <w:r w:rsidRPr="007F0C56">
        <w:rPr>
          <w:sz w:val="22"/>
          <w:szCs w:val="22"/>
          <w:lang w:eastAsia="lt-LT"/>
        </w:rPr>
        <w:t>poc</w:t>
      </w:r>
      <w:proofErr w:type="spellEnd"/>
      <w:r w:rsidRPr="007F0C56">
        <w:rPr>
          <w:sz w:val="22"/>
          <w:szCs w:val="22"/>
          <w:lang w:eastAsia="lt-LT"/>
        </w:rPr>
        <w:t xml:space="preserve">. pradinės sutarties vertės, nepatirdamas nuostolių, kas sukelia ginčus, nuostolius ir projektuotojui, ir užsakovui, įskaitant ir visuomenę, kai objekto projektavimas ir  statyba užtrunka ilgiau. </w:t>
      </w:r>
    </w:p>
    <w:p w14:paraId="7E288530" w14:textId="77777777" w:rsidR="00832D05" w:rsidRPr="007F0C56" w:rsidRDefault="00832D05" w:rsidP="00832D05">
      <w:pPr>
        <w:rPr>
          <w:sz w:val="22"/>
          <w:szCs w:val="22"/>
          <w:lang w:eastAsia="lt-LT"/>
        </w:rPr>
      </w:pPr>
    </w:p>
    <w:p w14:paraId="738A82B6" w14:textId="77777777" w:rsidR="00832D05" w:rsidRPr="00A8510C" w:rsidRDefault="00832D05" w:rsidP="00832D05">
      <w:pPr>
        <w:rPr>
          <w:b/>
          <w:sz w:val="22"/>
          <w:szCs w:val="22"/>
          <w:lang w:eastAsia="lt-LT"/>
        </w:rPr>
      </w:pPr>
      <w:r w:rsidRPr="00A8510C">
        <w:rPr>
          <w:b/>
          <w:sz w:val="22"/>
          <w:szCs w:val="22"/>
          <w:lang w:eastAsia="lt-LT"/>
        </w:rPr>
        <w:t>Rekomendacija užsakovui</w:t>
      </w:r>
    </w:p>
    <w:p w14:paraId="23C57F1F" w14:textId="77777777" w:rsidR="00832D05" w:rsidRPr="00A8510C" w:rsidRDefault="00832D05" w:rsidP="00832D05">
      <w:pPr>
        <w:rPr>
          <w:sz w:val="22"/>
          <w:szCs w:val="22"/>
          <w:lang w:eastAsia="lt-LT"/>
        </w:rPr>
      </w:pPr>
    </w:p>
    <w:p w14:paraId="6AAA9D9A" w14:textId="77777777" w:rsidR="00832D05" w:rsidRPr="007F0C56" w:rsidRDefault="00832D05" w:rsidP="00832D05">
      <w:pPr>
        <w:rPr>
          <w:sz w:val="22"/>
          <w:szCs w:val="22"/>
          <w:lang w:eastAsia="lt-LT"/>
        </w:rPr>
      </w:pPr>
      <w:r w:rsidRPr="00A8510C">
        <w:rPr>
          <w:sz w:val="22"/>
          <w:szCs w:val="22"/>
          <w:lang w:eastAsia="lt-LT"/>
        </w:rPr>
        <w:t>Atsižvelgiant į VPĮ 89 straipsnį ir ekonominius bei praktinius argumentus, rekomenduotina pakeisti sutarties nuostatą ir leisti papildomų darbų vertę iki 50% pradinės sutarties sumos, kas yra teisiškai leidžiama ir padėtų išvengti administracinių ir techninių problemų.</w:t>
      </w:r>
    </w:p>
    <w:p w14:paraId="2E6D18E1" w14:textId="77777777" w:rsidR="00832D05" w:rsidRPr="007F0C56" w:rsidRDefault="00832D05" w:rsidP="00832D05">
      <w:pPr>
        <w:rPr>
          <w:sz w:val="22"/>
          <w:szCs w:val="22"/>
          <w:lang w:eastAsia="lt-LT"/>
        </w:rPr>
      </w:pPr>
    </w:p>
    <w:p w14:paraId="2A6033DA" w14:textId="77777777" w:rsidR="00832D05" w:rsidRPr="007F0C56" w:rsidRDefault="00832D05" w:rsidP="00832D05">
      <w:pPr>
        <w:rPr>
          <w:sz w:val="22"/>
          <w:szCs w:val="22"/>
          <w:lang w:eastAsia="lt-LT"/>
        </w:rPr>
      </w:pPr>
    </w:p>
    <w:p w14:paraId="0F68A1CA" w14:textId="787518CE" w:rsidR="00832D05" w:rsidRPr="007F0C56" w:rsidRDefault="00832D05" w:rsidP="00832D05">
      <w:pPr>
        <w:spacing w:before="100" w:beforeAutospacing="1" w:after="100" w:afterAutospacing="1"/>
        <w:outlineLvl w:val="0"/>
        <w:rPr>
          <w:b/>
          <w:bCs/>
          <w:kern w:val="36"/>
          <w:sz w:val="22"/>
          <w:szCs w:val="22"/>
          <w:lang w:eastAsia="lt-LT"/>
        </w:rPr>
      </w:pPr>
      <w:r w:rsidRPr="007F0C56">
        <w:rPr>
          <w:b/>
          <w:bCs/>
          <w:kern w:val="36"/>
          <w:sz w:val="22"/>
          <w:szCs w:val="22"/>
          <w:lang w:eastAsia="lt-LT"/>
        </w:rPr>
        <w:t xml:space="preserve">Apibendrinimas – ką </w:t>
      </w:r>
      <w:r w:rsidR="00A8510C">
        <w:rPr>
          <w:b/>
          <w:bCs/>
          <w:kern w:val="36"/>
          <w:sz w:val="22"/>
          <w:szCs w:val="22"/>
          <w:lang w:eastAsia="lt-LT"/>
        </w:rPr>
        <w:t>siūloma</w:t>
      </w:r>
      <w:r w:rsidRPr="007F0C56">
        <w:rPr>
          <w:b/>
          <w:bCs/>
          <w:kern w:val="36"/>
          <w:sz w:val="22"/>
          <w:szCs w:val="22"/>
          <w:lang w:eastAsia="lt-LT"/>
        </w:rPr>
        <w:t xml:space="preserve"> keisti sutart</w:t>
      </w:r>
      <w:r w:rsidR="00A8510C">
        <w:rPr>
          <w:b/>
          <w:bCs/>
          <w:kern w:val="36"/>
          <w:sz w:val="22"/>
          <w:szCs w:val="22"/>
          <w:lang w:eastAsia="lt-LT"/>
        </w:rPr>
        <w:t>ies projekte</w:t>
      </w:r>
      <w:r w:rsidRPr="007F0C56">
        <w:rPr>
          <w:b/>
          <w:bCs/>
          <w:kern w:val="36"/>
          <w:sz w:val="22"/>
          <w:szCs w:val="22"/>
          <w:lang w:eastAsia="lt-LT"/>
        </w:rPr>
        <w:t>?</w:t>
      </w:r>
    </w:p>
    <w:p w14:paraId="3C1370B0" w14:textId="77777777" w:rsidR="00832D05" w:rsidRPr="007F0C56" w:rsidRDefault="00832D05" w:rsidP="00832D05">
      <w:pPr>
        <w:pStyle w:val="Sraopastraipa"/>
        <w:numPr>
          <w:ilvl w:val="0"/>
          <w:numId w:val="24"/>
        </w:numPr>
        <w:spacing w:before="100" w:beforeAutospacing="1" w:after="100" w:afterAutospacing="1"/>
        <w:jc w:val="both"/>
        <w:rPr>
          <w:rFonts w:ascii="Times New Roman" w:hAnsi="Times New Roman" w:cs="Times New Roman"/>
          <w:sz w:val="22"/>
        </w:rPr>
      </w:pPr>
      <w:r w:rsidRPr="007F0C56">
        <w:rPr>
          <w:rStyle w:val="Grietas"/>
          <w:rFonts w:ascii="Times New Roman" w:hAnsi="Times New Roman" w:cs="Times New Roman"/>
          <w:sz w:val="22"/>
        </w:rPr>
        <w:t>Suderinti atsakomybę tarp PP ir TDP rengėjų</w:t>
      </w:r>
      <w:r w:rsidRPr="007F0C56">
        <w:rPr>
          <w:rFonts w:ascii="Times New Roman" w:hAnsi="Times New Roman" w:cs="Times New Roman"/>
          <w:sz w:val="22"/>
        </w:rPr>
        <w:t xml:space="preserve"> – kad nebūtų perkeliama atsakomybė už svetimus sprendinius.</w:t>
      </w:r>
    </w:p>
    <w:p w14:paraId="50D6F384" w14:textId="77777777" w:rsidR="00832D05" w:rsidRPr="007F0C56" w:rsidRDefault="00832D05" w:rsidP="00832D05">
      <w:pPr>
        <w:pStyle w:val="Sraopastraipa"/>
        <w:numPr>
          <w:ilvl w:val="0"/>
          <w:numId w:val="24"/>
        </w:numPr>
        <w:spacing w:before="100" w:beforeAutospacing="1" w:after="100" w:afterAutospacing="1"/>
        <w:jc w:val="both"/>
        <w:rPr>
          <w:rFonts w:ascii="Times New Roman" w:hAnsi="Times New Roman" w:cs="Times New Roman"/>
          <w:sz w:val="22"/>
        </w:rPr>
      </w:pPr>
      <w:r w:rsidRPr="007F0C56">
        <w:rPr>
          <w:rStyle w:val="Grietas"/>
          <w:rFonts w:ascii="Times New Roman" w:hAnsi="Times New Roman" w:cs="Times New Roman"/>
          <w:sz w:val="22"/>
        </w:rPr>
        <w:lastRenderedPageBreak/>
        <w:t>Pratęsti PP rengimo terminą iki bent 10 mėnesių</w:t>
      </w:r>
      <w:r w:rsidRPr="007F0C56">
        <w:rPr>
          <w:rFonts w:ascii="Times New Roman" w:hAnsi="Times New Roman" w:cs="Times New Roman"/>
          <w:sz w:val="22"/>
        </w:rPr>
        <w:t xml:space="preserve"> – atsižvelgiant į teisinių procesų trukmę.</w:t>
      </w:r>
    </w:p>
    <w:p w14:paraId="6148F827" w14:textId="77777777" w:rsidR="00832D05" w:rsidRPr="007F0C56" w:rsidRDefault="00832D05" w:rsidP="00832D05">
      <w:pPr>
        <w:pStyle w:val="Sraopastraipa"/>
        <w:numPr>
          <w:ilvl w:val="0"/>
          <w:numId w:val="24"/>
        </w:numPr>
        <w:spacing w:before="100" w:beforeAutospacing="1" w:after="100" w:afterAutospacing="1"/>
        <w:jc w:val="both"/>
        <w:rPr>
          <w:rFonts w:ascii="Times New Roman" w:hAnsi="Times New Roman" w:cs="Times New Roman"/>
          <w:sz w:val="22"/>
        </w:rPr>
      </w:pPr>
      <w:r w:rsidRPr="007F0C56">
        <w:rPr>
          <w:rStyle w:val="Grietas"/>
          <w:rFonts w:ascii="Times New Roman" w:hAnsi="Times New Roman" w:cs="Times New Roman"/>
          <w:sz w:val="22"/>
        </w:rPr>
        <w:t>Sumažinti dvigubas baudas ir numatyti užsakovo atsakomybę už sprendimų vėlavimą</w:t>
      </w:r>
      <w:r w:rsidRPr="007F0C56">
        <w:rPr>
          <w:rFonts w:ascii="Times New Roman" w:hAnsi="Times New Roman" w:cs="Times New Roman"/>
          <w:sz w:val="22"/>
        </w:rPr>
        <w:t>.</w:t>
      </w:r>
    </w:p>
    <w:p w14:paraId="4764CAE8" w14:textId="77777777" w:rsidR="00832D05" w:rsidRPr="007F0C56" w:rsidRDefault="00832D05" w:rsidP="00832D05">
      <w:pPr>
        <w:pStyle w:val="Sraopastraipa"/>
        <w:numPr>
          <w:ilvl w:val="0"/>
          <w:numId w:val="24"/>
        </w:numPr>
        <w:spacing w:before="100" w:beforeAutospacing="1" w:after="100" w:afterAutospacing="1"/>
        <w:jc w:val="both"/>
        <w:rPr>
          <w:rFonts w:ascii="Times New Roman" w:hAnsi="Times New Roman" w:cs="Times New Roman"/>
          <w:sz w:val="22"/>
        </w:rPr>
      </w:pPr>
      <w:r w:rsidRPr="007F0C56">
        <w:rPr>
          <w:rStyle w:val="Grietas"/>
          <w:rFonts w:ascii="Times New Roman" w:hAnsi="Times New Roman" w:cs="Times New Roman"/>
          <w:sz w:val="22"/>
        </w:rPr>
        <w:t>Leisti papildomų darbų vertę padidinti iki 50% vietoje 10%</w:t>
      </w:r>
      <w:r w:rsidRPr="007F0C56">
        <w:rPr>
          <w:rFonts w:ascii="Times New Roman" w:hAnsi="Times New Roman" w:cs="Times New Roman"/>
          <w:sz w:val="22"/>
        </w:rPr>
        <w:t>, kad būtų lankstesnis projektų valdymas.</w:t>
      </w:r>
    </w:p>
    <w:p w14:paraId="00C8FEDA" w14:textId="77777777" w:rsidR="00832D05" w:rsidRPr="007F0C56" w:rsidRDefault="00832D05" w:rsidP="00832D05">
      <w:pPr>
        <w:pStyle w:val="Sraopastraipa"/>
        <w:numPr>
          <w:ilvl w:val="0"/>
          <w:numId w:val="24"/>
        </w:numPr>
        <w:spacing w:before="100" w:beforeAutospacing="1" w:after="100" w:afterAutospacing="1"/>
        <w:jc w:val="both"/>
        <w:rPr>
          <w:rFonts w:ascii="Times New Roman" w:hAnsi="Times New Roman" w:cs="Times New Roman"/>
          <w:sz w:val="22"/>
        </w:rPr>
      </w:pPr>
      <w:r w:rsidRPr="007F0C56">
        <w:rPr>
          <w:rStyle w:val="Grietas"/>
          <w:rFonts w:ascii="Times New Roman" w:hAnsi="Times New Roman" w:cs="Times New Roman"/>
          <w:sz w:val="22"/>
        </w:rPr>
        <w:t>Aiškiai apibrėžti priežiūros trukmę</w:t>
      </w:r>
      <w:r w:rsidRPr="007F0C56">
        <w:rPr>
          <w:rFonts w:ascii="Times New Roman" w:hAnsi="Times New Roman" w:cs="Times New Roman"/>
          <w:sz w:val="22"/>
        </w:rPr>
        <w:t xml:space="preserve"> (pvz., iki 24 mėnesių, nebent susitariama kitaip)</w:t>
      </w:r>
    </w:p>
    <w:p w14:paraId="39E59922" w14:textId="77777777" w:rsidR="00832D05" w:rsidRPr="007F0C56" w:rsidRDefault="00832D05" w:rsidP="00832D05">
      <w:pPr>
        <w:spacing w:before="100" w:beforeAutospacing="1" w:after="100" w:afterAutospacing="1"/>
        <w:rPr>
          <w:sz w:val="22"/>
          <w:szCs w:val="22"/>
        </w:rPr>
      </w:pPr>
    </w:p>
    <w:p w14:paraId="1AF77607" w14:textId="77777777" w:rsidR="00832D05" w:rsidRPr="00267752" w:rsidRDefault="00832D05" w:rsidP="007E4B7D">
      <w:pPr>
        <w:rPr>
          <w:rFonts w:ascii="Arial Narrow" w:hAnsi="Arial Narrow"/>
          <w:sz w:val="20"/>
        </w:rPr>
      </w:pPr>
    </w:p>
    <w:sectPr w:rsidR="00832D05" w:rsidRPr="00267752" w:rsidSect="00EE3E77">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1ADC" w14:textId="77777777" w:rsidR="00A447AC" w:rsidRDefault="00A447AC" w:rsidP="00EC4D0B">
      <w:r>
        <w:separator/>
      </w:r>
    </w:p>
  </w:endnote>
  <w:endnote w:type="continuationSeparator" w:id="0">
    <w:p w14:paraId="20342AA0" w14:textId="77777777" w:rsidR="00A447AC" w:rsidRDefault="00A447A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EA7B" w14:textId="77777777" w:rsidR="00A447AC" w:rsidRDefault="00A447AC" w:rsidP="00EC4D0B">
      <w:r>
        <w:separator/>
      </w:r>
    </w:p>
  </w:footnote>
  <w:footnote w:type="continuationSeparator" w:id="0">
    <w:p w14:paraId="06C88607" w14:textId="77777777" w:rsidR="00A447AC" w:rsidRDefault="00A447AC"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3114"/>
      <w:gridCol w:w="4961"/>
      <w:gridCol w:w="1553"/>
    </w:tblGrid>
    <w:tr w:rsidR="00F20C9B" w14:paraId="6C6DAD52" w14:textId="77777777" w:rsidTr="00364E21">
      <w:tc>
        <w:tcPr>
          <w:tcW w:w="3114" w:type="dxa"/>
          <w:vMerge w:val="restart"/>
          <w:vAlign w:val="center"/>
        </w:tcPr>
        <w:p w14:paraId="12CEC5CA" w14:textId="2F230E86" w:rsidR="00F20C9B" w:rsidRDefault="005D0452" w:rsidP="005F5463">
          <w:pPr>
            <w:pStyle w:val="Antrats"/>
          </w:pPr>
          <w:r w:rsidRPr="0058356C">
            <w:rPr>
              <w:noProof/>
              <w:lang w:eastAsia="lt-LT"/>
            </w:rPr>
            <w:drawing>
              <wp:inline distT="0" distB="0" distL="0" distR="0" wp14:anchorId="6EF0FC0D" wp14:editId="2E02629A">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1" w:type="dxa"/>
          <w:vMerge w:val="restart"/>
          <w:shd w:val="clear" w:color="auto" w:fill="auto"/>
          <w:vAlign w:val="center"/>
        </w:tcPr>
        <w:p w14:paraId="21868285" w14:textId="6F045218" w:rsidR="00F20C9B" w:rsidRPr="00500F46" w:rsidRDefault="0003467A" w:rsidP="005F5463">
          <w:pPr>
            <w:pStyle w:val="Antrats"/>
            <w:jc w:val="center"/>
            <w:rPr>
              <w:b/>
              <w:bCs/>
              <w:sz w:val="24"/>
              <w:szCs w:val="28"/>
            </w:rPr>
          </w:pPr>
          <w:r w:rsidRPr="0003467A">
            <w:rPr>
              <w:b/>
              <w:bCs/>
              <w:sz w:val="24"/>
              <w:szCs w:val="28"/>
            </w:rPr>
            <w:t>Krašto kelio Nr. 157 Kelmė–Tytuvėnai 0,674 km tilto per Kražantę rekonstravimas</w:t>
          </w:r>
        </w:p>
      </w:tc>
      <w:tc>
        <w:tcPr>
          <w:tcW w:w="1553" w:type="dxa"/>
          <w:vAlign w:val="center"/>
        </w:tcPr>
        <w:p w14:paraId="4049DB45" w14:textId="48BD8558" w:rsidR="00F20C9B" w:rsidRPr="00FD42B8" w:rsidRDefault="00364E21" w:rsidP="005F5463">
          <w:pPr>
            <w:pStyle w:val="Antrats"/>
            <w:rPr>
              <w:rFonts w:cs="Calibri"/>
              <w:color w:val="000000"/>
              <w:szCs w:val="20"/>
            </w:rPr>
          </w:pPr>
          <w:r w:rsidRPr="00364E21">
            <w:rPr>
              <w:rFonts w:cs="Calibri"/>
              <w:color w:val="000000"/>
              <w:szCs w:val="20"/>
            </w:rPr>
            <w:t>SPS-PLP1.02.01</w:t>
          </w:r>
        </w:p>
      </w:tc>
    </w:tr>
    <w:tr w:rsidR="00F20C9B" w14:paraId="6FE0835F" w14:textId="77777777" w:rsidTr="00364E21">
      <w:tc>
        <w:tcPr>
          <w:tcW w:w="3114" w:type="dxa"/>
          <w:vMerge/>
        </w:tcPr>
        <w:p w14:paraId="469F1907" w14:textId="77777777" w:rsidR="00F20C9B" w:rsidRDefault="00F20C9B" w:rsidP="005F5463">
          <w:pPr>
            <w:pStyle w:val="Antrats"/>
          </w:pPr>
        </w:p>
      </w:tc>
      <w:tc>
        <w:tcPr>
          <w:tcW w:w="4961" w:type="dxa"/>
          <w:vMerge/>
          <w:shd w:val="clear" w:color="auto" w:fill="auto"/>
        </w:tcPr>
        <w:p w14:paraId="608FED4B" w14:textId="77777777" w:rsidR="00F20C9B" w:rsidRDefault="00F20C9B" w:rsidP="005F5463">
          <w:pPr>
            <w:pStyle w:val="Antrats"/>
          </w:pPr>
        </w:p>
      </w:tc>
      <w:tc>
        <w:tcPr>
          <w:tcW w:w="1553"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4A51B2">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4A51B2">
            <w:rPr>
              <w:b/>
              <w:bCs/>
              <w:noProof/>
            </w:rPr>
            <w:t>1</w:t>
          </w:r>
          <w:r>
            <w:rPr>
              <w:b/>
              <w:bCs/>
            </w:rPr>
            <w:fldChar w:fldCharType="end"/>
          </w:r>
        </w:p>
      </w:tc>
    </w:tr>
    <w:tr w:rsidR="00F20C9B" w14:paraId="64CF17C7" w14:textId="77777777" w:rsidTr="00364E21">
      <w:tc>
        <w:tcPr>
          <w:tcW w:w="3114" w:type="dxa"/>
          <w:vMerge/>
        </w:tcPr>
        <w:p w14:paraId="131CCE66" w14:textId="77777777" w:rsidR="00F20C9B" w:rsidRDefault="00F20C9B" w:rsidP="005F5463">
          <w:pPr>
            <w:pStyle w:val="Antrats"/>
          </w:pPr>
        </w:p>
      </w:tc>
      <w:tc>
        <w:tcPr>
          <w:tcW w:w="4961" w:type="dxa"/>
          <w:vMerge/>
          <w:shd w:val="clear" w:color="auto" w:fill="auto"/>
        </w:tcPr>
        <w:p w14:paraId="5326CE55" w14:textId="77777777" w:rsidR="00F20C9B" w:rsidRDefault="00F20C9B" w:rsidP="005F5463">
          <w:pPr>
            <w:pStyle w:val="Antrats"/>
          </w:pPr>
        </w:p>
      </w:tc>
      <w:tc>
        <w:tcPr>
          <w:tcW w:w="1553" w:type="dxa"/>
          <w:vAlign w:val="center"/>
        </w:tcPr>
        <w:p w14:paraId="12C68453" w14:textId="428E7A79" w:rsidR="00F20C9B" w:rsidRDefault="00CD6AAC" w:rsidP="005F5463">
          <w:pPr>
            <w:pStyle w:val="Antrats"/>
          </w:pPr>
          <w:r>
            <w:rPr>
              <w:rFonts w:cs="Calibri"/>
              <w:color w:val="000000"/>
              <w:szCs w:val="20"/>
            </w:rPr>
            <w:t>4</w:t>
          </w:r>
          <w:r w:rsidR="00F20C9B">
            <w:rPr>
              <w:rFonts w:cs="Calibri"/>
              <w:color w:val="000000"/>
              <w:szCs w:val="20"/>
            </w:rPr>
            <w:t xml:space="preserve"> 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64FA1"/>
    <w:multiLevelType w:val="hybridMultilevel"/>
    <w:tmpl w:val="0EA2C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8166E7"/>
    <w:multiLevelType w:val="hybridMultilevel"/>
    <w:tmpl w:val="F2507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6"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0187818">
    <w:abstractNumId w:val="22"/>
  </w:num>
  <w:num w:numId="2" w16cid:durableId="1110272622">
    <w:abstractNumId w:val="18"/>
  </w:num>
  <w:num w:numId="3" w16cid:durableId="1440445846">
    <w:abstractNumId w:val="19"/>
  </w:num>
  <w:num w:numId="4" w16cid:durableId="1943492330">
    <w:abstractNumId w:val="21"/>
  </w:num>
  <w:num w:numId="5" w16cid:durableId="881747713">
    <w:abstractNumId w:val="2"/>
  </w:num>
  <w:num w:numId="6" w16cid:durableId="423575852">
    <w:abstractNumId w:val="24"/>
  </w:num>
  <w:num w:numId="7" w16cid:durableId="1569224309">
    <w:abstractNumId w:val="10"/>
  </w:num>
  <w:num w:numId="8" w16cid:durableId="1950889242">
    <w:abstractNumId w:val="0"/>
  </w:num>
  <w:num w:numId="9" w16cid:durableId="1974362324">
    <w:abstractNumId w:val="17"/>
  </w:num>
  <w:num w:numId="10" w16cid:durableId="1431924109">
    <w:abstractNumId w:val="11"/>
  </w:num>
  <w:num w:numId="11" w16cid:durableId="1130048037">
    <w:abstractNumId w:val="1"/>
  </w:num>
  <w:num w:numId="12" w16cid:durableId="1412696865">
    <w:abstractNumId w:val="13"/>
  </w:num>
  <w:num w:numId="13" w16cid:durableId="1912811053">
    <w:abstractNumId w:val="6"/>
  </w:num>
  <w:num w:numId="14" w16cid:durableId="1635527491">
    <w:abstractNumId w:val="4"/>
  </w:num>
  <w:num w:numId="15" w16cid:durableId="1862888897">
    <w:abstractNumId w:val="8"/>
  </w:num>
  <w:num w:numId="16" w16cid:durableId="41562027">
    <w:abstractNumId w:val="12"/>
  </w:num>
  <w:num w:numId="17" w16cid:durableId="1023476335">
    <w:abstractNumId w:val="14"/>
  </w:num>
  <w:num w:numId="18" w16cid:durableId="186725543">
    <w:abstractNumId w:val="7"/>
  </w:num>
  <w:num w:numId="19" w16cid:durableId="469324295">
    <w:abstractNumId w:val="9"/>
  </w:num>
  <w:num w:numId="20" w16cid:durableId="253439592">
    <w:abstractNumId w:val="3"/>
  </w:num>
  <w:num w:numId="21" w16cid:durableId="213855029">
    <w:abstractNumId w:val="23"/>
  </w:num>
  <w:num w:numId="22" w16cid:durableId="2052000156">
    <w:abstractNumId w:val="16"/>
  </w:num>
  <w:num w:numId="23" w16cid:durableId="1551191760">
    <w:abstractNumId w:val="20"/>
  </w:num>
  <w:num w:numId="24" w16cid:durableId="297683132">
    <w:abstractNumId w:val="15"/>
  </w:num>
  <w:num w:numId="25" w16cid:durableId="621348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10285"/>
    <w:rsid w:val="00011E8B"/>
    <w:rsid w:val="00020191"/>
    <w:rsid w:val="00023519"/>
    <w:rsid w:val="00027751"/>
    <w:rsid w:val="0003313F"/>
    <w:rsid w:val="00033B16"/>
    <w:rsid w:val="0003467A"/>
    <w:rsid w:val="00034AD1"/>
    <w:rsid w:val="00041954"/>
    <w:rsid w:val="0004380B"/>
    <w:rsid w:val="00067CB2"/>
    <w:rsid w:val="000737C6"/>
    <w:rsid w:val="00074AE3"/>
    <w:rsid w:val="0008011D"/>
    <w:rsid w:val="00082FF5"/>
    <w:rsid w:val="00083194"/>
    <w:rsid w:val="00085B18"/>
    <w:rsid w:val="00086E13"/>
    <w:rsid w:val="000948A1"/>
    <w:rsid w:val="000957F1"/>
    <w:rsid w:val="000A1075"/>
    <w:rsid w:val="000A5B4D"/>
    <w:rsid w:val="000A7249"/>
    <w:rsid w:val="000B5263"/>
    <w:rsid w:val="000B580C"/>
    <w:rsid w:val="000C24B2"/>
    <w:rsid w:val="000D5588"/>
    <w:rsid w:val="000D5D8D"/>
    <w:rsid w:val="000E5B1C"/>
    <w:rsid w:val="000E618D"/>
    <w:rsid w:val="000F1DB6"/>
    <w:rsid w:val="000F4907"/>
    <w:rsid w:val="000F5711"/>
    <w:rsid w:val="00110CCB"/>
    <w:rsid w:val="0012301A"/>
    <w:rsid w:val="00123BF1"/>
    <w:rsid w:val="00132400"/>
    <w:rsid w:val="0013656E"/>
    <w:rsid w:val="001376E6"/>
    <w:rsid w:val="0014684C"/>
    <w:rsid w:val="0015165C"/>
    <w:rsid w:val="00151D70"/>
    <w:rsid w:val="0016409E"/>
    <w:rsid w:val="0016744B"/>
    <w:rsid w:val="001725FF"/>
    <w:rsid w:val="00193C31"/>
    <w:rsid w:val="001940D3"/>
    <w:rsid w:val="00194D5E"/>
    <w:rsid w:val="001A3260"/>
    <w:rsid w:val="001A7BF0"/>
    <w:rsid w:val="001B18E5"/>
    <w:rsid w:val="001B2B60"/>
    <w:rsid w:val="001B4624"/>
    <w:rsid w:val="001C3A43"/>
    <w:rsid w:val="001C3CD7"/>
    <w:rsid w:val="001D7D4A"/>
    <w:rsid w:val="001E05FB"/>
    <w:rsid w:val="001E2B8D"/>
    <w:rsid w:val="001F08E2"/>
    <w:rsid w:val="00200A98"/>
    <w:rsid w:val="00202185"/>
    <w:rsid w:val="00202C04"/>
    <w:rsid w:val="00204DB7"/>
    <w:rsid w:val="00205822"/>
    <w:rsid w:val="00232369"/>
    <w:rsid w:val="002369C6"/>
    <w:rsid w:val="00240E84"/>
    <w:rsid w:val="0025076B"/>
    <w:rsid w:val="002566B7"/>
    <w:rsid w:val="0026400F"/>
    <w:rsid w:val="00265EC4"/>
    <w:rsid w:val="00267752"/>
    <w:rsid w:val="002722F2"/>
    <w:rsid w:val="00273AB4"/>
    <w:rsid w:val="00280406"/>
    <w:rsid w:val="002836FE"/>
    <w:rsid w:val="00291AAC"/>
    <w:rsid w:val="00293A51"/>
    <w:rsid w:val="002A0C50"/>
    <w:rsid w:val="002A60BD"/>
    <w:rsid w:val="002A676B"/>
    <w:rsid w:val="002C1672"/>
    <w:rsid w:val="002C72B9"/>
    <w:rsid w:val="002D4C57"/>
    <w:rsid w:val="002E0940"/>
    <w:rsid w:val="002F04F9"/>
    <w:rsid w:val="002F4D7E"/>
    <w:rsid w:val="002F65FC"/>
    <w:rsid w:val="0031054F"/>
    <w:rsid w:val="00315165"/>
    <w:rsid w:val="00320C00"/>
    <w:rsid w:val="0032145C"/>
    <w:rsid w:val="00327BC6"/>
    <w:rsid w:val="003343AE"/>
    <w:rsid w:val="0033443A"/>
    <w:rsid w:val="003367C1"/>
    <w:rsid w:val="003431BD"/>
    <w:rsid w:val="00346096"/>
    <w:rsid w:val="00346944"/>
    <w:rsid w:val="00346B2C"/>
    <w:rsid w:val="003502BA"/>
    <w:rsid w:val="0035225B"/>
    <w:rsid w:val="00363C92"/>
    <w:rsid w:val="00364E21"/>
    <w:rsid w:val="00367060"/>
    <w:rsid w:val="003670F6"/>
    <w:rsid w:val="0037261E"/>
    <w:rsid w:val="00372E1A"/>
    <w:rsid w:val="00384823"/>
    <w:rsid w:val="00391772"/>
    <w:rsid w:val="003922F5"/>
    <w:rsid w:val="0039320D"/>
    <w:rsid w:val="0039376C"/>
    <w:rsid w:val="00394BB0"/>
    <w:rsid w:val="003972F1"/>
    <w:rsid w:val="003977F5"/>
    <w:rsid w:val="003A3326"/>
    <w:rsid w:val="003A6BA0"/>
    <w:rsid w:val="003B03DB"/>
    <w:rsid w:val="003B0564"/>
    <w:rsid w:val="003B22D9"/>
    <w:rsid w:val="003B3009"/>
    <w:rsid w:val="003C2D1D"/>
    <w:rsid w:val="003C6EED"/>
    <w:rsid w:val="003D4EB3"/>
    <w:rsid w:val="003D52D4"/>
    <w:rsid w:val="003D61C1"/>
    <w:rsid w:val="003E13EB"/>
    <w:rsid w:val="003F03DC"/>
    <w:rsid w:val="003F3FBD"/>
    <w:rsid w:val="003F5DA8"/>
    <w:rsid w:val="003F61A6"/>
    <w:rsid w:val="003F7F4F"/>
    <w:rsid w:val="0041442A"/>
    <w:rsid w:val="00415996"/>
    <w:rsid w:val="004251CB"/>
    <w:rsid w:val="004366DB"/>
    <w:rsid w:val="00436ABF"/>
    <w:rsid w:val="00447707"/>
    <w:rsid w:val="00452AB8"/>
    <w:rsid w:val="00453D20"/>
    <w:rsid w:val="00461830"/>
    <w:rsid w:val="004634A8"/>
    <w:rsid w:val="0046686C"/>
    <w:rsid w:val="004742EC"/>
    <w:rsid w:val="00480C7E"/>
    <w:rsid w:val="004877C3"/>
    <w:rsid w:val="00493146"/>
    <w:rsid w:val="004952A7"/>
    <w:rsid w:val="004A262F"/>
    <w:rsid w:val="004A51B2"/>
    <w:rsid w:val="004A611C"/>
    <w:rsid w:val="004B6E9C"/>
    <w:rsid w:val="004C06A1"/>
    <w:rsid w:val="004D3A0F"/>
    <w:rsid w:val="004D6FF2"/>
    <w:rsid w:val="004E2CB6"/>
    <w:rsid w:val="004E424B"/>
    <w:rsid w:val="004E5AA1"/>
    <w:rsid w:val="004E62D7"/>
    <w:rsid w:val="00500F46"/>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B1597"/>
    <w:rsid w:val="005C6C58"/>
    <w:rsid w:val="005D0452"/>
    <w:rsid w:val="005D4E25"/>
    <w:rsid w:val="005D631A"/>
    <w:rsid w:val="005D6F1F"/>
    <w:rsid w:val="005E4DE2"/>
    <w:rsid w:val="005E59A1"/>
    <w:rsid w:val="005F194E"/>
    <w:rsid w:val="005F5463"/>
    <w:rsid w:val="005F5795"/>
    <w:rsid w:val="005F6FF3"/>
    <w:rsid w:val="006040C3"/>
    <w:rsid w:val="00615887"/>
    <w:rsid w:val="0061791A"/>
    <w:rsid w:val="0062506F"/>
    <w:rsid w:val="006264C3"/>
    <w:rsid w:val="006278CD"/>
    <w:rsid w:val="00631140"/>
    <w:rsid w:val="00633614"/>
    <w:rsid w:val="006345AF"/>
    <w:rsid w:val="00635657"/>
    <w:rsid w:val="00640615"/>
    <w:rsid w:val="00641F35"/>
    <w:rsid w:val="00643854"/>
    <w:rsid w:val="00650267"/>
    <w:rsid w:val="00651873"/>
    <w:rsid w:val="0065556B"/>
    <w:rsid w:val="006609F8"/>
    <w:rsid w:val="00680EA0"/>
    <w:rsid w:val="00683FAC"/>
    <w:rsid w:val="006902A7"/>
    <w:rsid w:val="0069136D"/>
    <w:rsid w:val="0069268A"/>
    <w:rsid w:val="00693AD2"/>
    <w:rsid w:val="00693D2E"/>
    <w:rsid w:val="00696A4E"/>
    <w:rsid w:val="006975A2"/>
    <w:rsid w:val="006A0584"/>
    <w:rsid w:val="006A3084"/>
    <w:rsid w:val="006A40C9"/>
    <w:rsid w:val="006A79C3"/>
    <w:rsid w:val="006B5668"/>
    <w:rsid w:val="006C35E5"/>
    <w:rsid w:val="006D2FF2"/>
    <w:rsid w:val="006F3B16"/>
    <w:rsid w:val="00716421"/>
    <w:rsid w:val="007168D9"/>
    <w:rsid w:val="0072566E"/>
    <w:rsid w:val="00756EB2"/>
    <w:rsid w:val="00765DA1"/>
    <w:rsid w:val="00766F6B"/>
    <w:rsid w:val="00770625"/>
    <w:rsid w:val="00777BC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E4B7D"/>
    <w:rsid w:val="007F0B0B"/>
    <w:rsid w:val="007F5CBF"/>
    <w:rsid w:val="007F6185"/>
    <w:rsid w:val="008002F6"/>
    <w:rsid w:val="008035E8"/>
    <w:rsid w:val="00806038"/>
    <w:rsid w:val="00807326"/>
    <w:rsid w:val="008124DB"/>
    <w:rsid w:val="00814AD6"/>
    <w:rsid w:val="00825735"/>
    <w:rsid w:val="00832D05"/>
    <w:rsid w:val="00835728"/>
    <w:rsid w:val="00835BA1"/>
    <w:rsid w:val="00835EE5"/>
    <w:rsid w:val="0084382C"/>
    <w:rsid w:val="008504B4"/>
    <w:rsid w:val="00856801"/>
    <w:rsid w:val="00856CA9"/>
    <w:rsid w:val="008605C4"/>
    <w:rsid w:val="008654E0"/>
    <w:rsid w:val="00867969"/>
    <w:rsid w:val="0087202B"/>
    <w:rsid w:val="00876CE1"/>
    <w:rsid w:val="00893D82"/>
    <w:rsid w:val="008A1EC5"/>
    <w:rsid w:val="008A30EA"/>
    <w:rsid w:val="008A3157"/>
    <w:rsid w:val="008B747C"/>
    <w:rsid w:val="008C3DF6"/>
    <w:rsid w:val="008D3641"/>
    <w:rsid w:val="008E397B"/>
    <w:rsid w:val="008E4684"/>
    <w:rsid w:val="008E5B7D"/>
    <w:rsid w:val="008F5908"/>
    <w:rsid w:val="009032AA"/>
    <w:rsid w:val="00904A80"/>
    <w:rsid w:val="0090587F"/>
    <w:rsid w:val="00907094"/>
    <w:rsid w:val="00941C23"/>
    <w:rsid w:val="00946A9F"/>
    <w:rsid w:val="00952121"/>
    <w:rsid w:val="00953B0D"/>
    <w:rsid w:val="009575EA"/>
    <w:rsid w:val="0096116E"/>
    <w:rsid w:val="009824C0"/>
    <w:rsid w:val="00982BDA"/>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1B7B"/>
    <w:rsid w:val="00A149A5"/>
    <w:rsid w:val="00A21236"/>
    <w:rsid w:val="00A40BEA"/>
    <w:rsid w:val="00A447AC"/>
    <w:rsid w:val="00A455CA"/>
    <w:rsid w:val="00A6087C"/>
    <w:rsid w:val="00A61256"/>
    <w:rsid w:val="00A67084"/>
    <w:rsid w:val="00A67930"/>
    <w:rsid w:val="00A725FC"/>
    <w:rsid w:val="00A7507A"/>
    <w:rsid w:val="00A84B07"/>
    <w:rsid w:val="00A8510C"/>
    <w:rsid w:val="00A87DCE"/>
    <w:rsid w:val="00A93D3D"/>
    <w:rsid w:val="00A97EA5"/>
    <w:rsid w:val="00AA13A8"/>
    <w:rsid w:val="00AA2CD9"/>
    <w:rsid w:val="00AA4911"/>
    <w:rsid w:val="00AA5011"/>
    <w:rsid w:val="00AB161A"/>
    <w:rsid w:val="00AB3028"/>
    <w:rsid w:val="00AC1F6E"/>
    <w:rsid w:val="00AC4DE9"/>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208"/>
    <w:rsid w:val="00B04D46"/>
    <w:rsid w:val="00B07D62"/>
    <w:rsid w:val="00B10687"/>
    <w:rsid w:val="00B13260"/>
    <w:rsid w:val="00B15FED"/>
    <w:rsid w:val="00B22376"/>
    <w:rsid w:val="00B224B0"/>
    <w:rsid w:val="00B25C85"/>
    <w:rsid w:val="00B25E77"/>
    <w:rsid w:val="00B270C3"/>
    <w:rsid w:val="00B31291"/>
    <w:rsid w:val="00B42C55"/>
    <w:rsid w:val="00B4322F"/>
    <w:rsid w:val="00B47E45"/>
    <w:rsid w:val="00B56571"/>
    <w:rsid w:val="00B62ED9"/>
    <w:rsid w:val="00B64A39"/>
    <w:rsid w:val="00B64D21"/>
    <w:rsid w:val="00B703B9"/>
    <w:rsid w:val="00B756E5"/>
    <w:rsid w:val="00B8713B"/>
    <w:rsid w:val="00B93650"/>
    <w:rsid w:val="00B93799"/>
    <w:rsid w:val="00BB088C"/>
    <w:rsid w:val="00BB1A18"/>
    <w:rsid w:val="00BC32F7"/>
    <w:rsid w:val="00BC7B7F"/>
    <w:rsid w:val="00BD5AD4"/>
    <w:rsid w:val="00BD6417"/>
    <w:rsid w:val="00BE01C7"/>
    <w:rsid w:val="00C021D5"/>
    <w:rsid w:val="00C02327"/>
    <w:rsid w:val="00C0762B"/>
    <w:rsid w:val="00C115C1"/>
    <w:rsid w:val="00C139F4"/>
    <w:rsid w:val="00C22A3B"/>
    <w:rsid w:val="00C234E3"/>
    <w:rsid w:val="00C25083"/>
    <w:rsid w:val="00C26167"/>
    <w:rsid w:val="00C2718C"/>
    <w:rsid w:val="00C2798F"/>
    <w:rsid w:val="00C34FE5"/>
    <w:rsid w:val="00C40923"/>
    <w:rsid w:val="00C462C4"/>
    <w:rsid w:val="00C50CE5"/>
    <w:rsid w:val="00C5563D"/>
    <w:rsid w:val="00C55CF7"/>
    <w:rsid w:val="00C600E9"/>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C4F97"/>
    <w:rsid w:val="00CD691C"/>
    <w:rsid w:val="00CD6AAC"/>
    <w:rsid w:val="00D00CB4"/>
    <w:rsid w:val="00D05BF5"/>
    <w:rsid w:val="00D20263"/>
    <w:rsid w:val="00D2274A"/>
    <w:rsid w:val="00D3324D"/>
    <w:rsid w:val="00D34FA8"/>
    <w:rsid w:val="00D354EC"/>
    <w:rsid w:val="00D37C55"/>
    <w:rsid w:val="00D428D4"/>
    <w:rsid w:val="00D50DA7"/>
    <w:rsid w:val="00D51203"/>
    <w:rsid w:val="00D5555B"/>
    <w:rsid w:val="00D56585"/>
    <w:rsid w:val="00D64765"/>
    <w:rsid w:val="00D64ACB"/>
    <w:rsid w:val="00D65AD3"/>
    <w:rsid w:val="00D71CE0"/>
    <w:rsid w:val="00D73C5B"/>
    <w:rsid w:val="00D81537"/>
    <w:rsid w:val="00D81923"/>
    <w:rsid w:val="00D82E6C"/>
    <w:rsid w:val="00DB4FE8"/>
    <w:rsid w:val="00DB728E"/>
    <w:rsid w:val="00DC2BDE"/>
    <w:rsid w:val="00DC336E"/>
    <w:rsid w:val="00DD147A"/>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317"/>
    <w:rsid w:val="00EA4B3E"/>
    <w:rsid w:val="00EA4E9C"/>
    <w:rsid w:val="00EA67EB"/>
    <w:rsid w:val="00EB55D1"/>
    <w:rsid w:val="00EC4D0B"/>
    <w:rsid w:val="00EC4E2D"/>
    <w:rsid w:val="00ED16CB"/>
    <w:rsid w:val="00EE3E77"/>
    <w:rsid w:val="00EE42A6"/>
    <w:rsid w:val="00EE4D34"/>
    <w:rsid w:val="00EF0BC8"/>
    <w:rsid w:val="00EF1A7B"/>
    <w:rsid w:val="00EF632B"/>
    <w:rsid w:val="00EF7DB0"/>
    <w:rsid w:val="00F042EF"/>
    <w:rsid w:val="00F04F33"/>
    <w:rsid w:val="00F06766"/>
    <w:rsid w:val="00F17F6F"/>
    <w:rsid w:val="00F20C9B"/>
    <w:rsid w:val="00F223DE"/>
    <w:rsid w:val="00F31705"/>
    <w:rsid w:val="00F3732F"/>
    <w:rsid w:val="00F44563"/>
    <w:rsid w:val="00F533D5"/>
    <w:rsid w:val="00F54573"/>
    <w:rsid w:val="00F63133"/>
    <w:rsid w:val="00F70034"/>
    <w:rsid w:val="00F75A12"/>
    <w:rsid w:val="00F92223"/>
    <w:rsid w:val="00F97F51"/>
    <w:rsid w:val="00FA2209"/>
    <w:rsid w:val="00FA2F1F"/>
    <w:rsid w:val="00FA4A86"/>
    <w:rsid w:val="00FB0519"/>
    <w:rsid w:val="00FB1AC6"/>
    <w:rsid w:val="00FB6804"/>
    <w:rsid w:val="00FC1B0B"/>
    <w:rsid w:val="00FC403E"/>
    <w:rsid w:val="00FC7822"/>
    <w:rsid w:val="00FD0018"/>
    <w:rsid w:val="00FD2106"/>
    <w:rsid w:val="00FD2E59"/>
    <w:rsid w:val="00FD42B8"/>
    <w:rsid w:val="00FE05E7"/>
    <w:rsid w:val="00FF4FCF"/>
    <w:rsid w:val="00FF7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2D05"/>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832D05"/>
    <w:pPr>
      <w:keepNext/>
      <w:keepLines/>
      <w:spacing w:before="40" w:line="259" w:lineRule="auto"/>
      <w:jc w:val="left"/>
      <w:outlineLvl w:val="3"/>
    </w:pPr>
    <w:rPr>
      <w:rFonts w:asciiTheme="majorHAnsi" w:eastAsiaTheme="majorEastAsia" w:hAnsiTheme="majorHAnsi" w:cstheme="majorBidi"/>
      <w:i/>
      <w:iCs/>
      <w:color w:val="2F5496" w:themeColor="accent1" w:themeShade="B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Pataisymai">
    <w:name w:val="Revision"/>
    <w:hidden/>
    <w:uiPriority w:val="99"/>
    <w:semiHidden/>
    <w:rsid w:val="00B04208"/>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832D05"/>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832D05"/>
    <w:rPr>
      <w:rFonts w:asciiTheme="majorHAnsi" w:eastAsiaTheme="majorEastAsia" w:hAnsiTheme="majorHAnsi" w:cstheme="majorBidi"/>
      <w:i/>
      <w:iCs/>
      <w:color w:val="2F5496" w:themeColor="accent1" w:themeShade="BF"/>
      <w:sz w:val="22"/>
    </w:rPr>
  </w:style>
  <w:style w:type="character" w:styleId="Grietas">
    <w:name w:val="Strong"/>
    <w:basedOn w:val="Numatytasispastraiposriftas"/>
    <w:uiPriority w:val="22"/>
    <w:qFormat/>
    <w:rsid w:val="00832D05"/>
    <w:rPr>
      <w:b/>
      <w:bCs/>
    </w:rPr>
  </w:style>
  <w:style w:type="paragraph" w:styleId="prastasiniatinklio">
    <w:name w:val="Normal (Web)"/>
    <w:basedOn w:val="prastasis"/>
    <w:uiPriority w:val="99"/>
    <w:semiHidden/>
    <w:unhideWhenUsed/>
    <w:rsid w:val="00832D05"/>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688AEA-2622-4CF9-82C2-B78B869DD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4A53F-ADD4-4893-970F-0672CC6290D1}">
  <ds:schemaRefs>
    <ds:schemaRef ds:uri="http://schemas.openxmlformats.org/officeDocument/2006/bibliography"/>
  </ds:schemaRefs>
</ds:datastoreItem>
</file>

<file path=customXml/itemProps3.xml><?xml version="1.0" encoding="utf-8"?>
<ds:datastoreItem xmlns:ds="http://schemas.openxmlformats.org/officeDocument/2006/customXml" ds:itemID="{0DA508D8-0DB0-4734-8D2A-CA10484561C7}">
  <ds:schemaRefs>
    <ds:schemaRef ds:uri="http://schemas.microsoft.com/sharepoint/v3/contenttype/forms"/>
  </ds:schemaRefs>
</ds:datastoreItem>
</file>

<file path=customXml/itemProps4.xml><?xml version="1.0" encoding="utf-8"?>
<ds:datastoreItem xmlns:ds="http://schemas.openxmlformats.org/officeDocument/2006/customXml" ds:itemID="{017760CF-5E68-4318-9F18-9952AE453ED8}">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9098</Words>
  <Characters>5186</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Danguolė Zavarzinienė</cp:lastModifiedBy>
  <cp:revision>47</cp:revision>
  <dcterms:created xsi:type="dcterms:W3CDTF">2024-09-17T06:12:00Z</dcterms:created>
  <dcterms:modified xsi:type="dcterms:W3CDTF">2025-02-10T13:53:00Z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