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jectLine"/>
        <w:spacing w:before="0" w:after="283"/>
        <w:jc w:val="center"/>
        <w:rPr/>
      </w:pPr>
      <w:r>
        <w:rPr>
          <w:rStyle w:val="Numatytasispastraiposriftas"/>
          <w:rFonts w:cs="Arial" w:ascii="Arial" w:hAnsi="Arial"/>
          <w:b/>
          <w:bCs/>
          <w:color w:val="auto"/>
          <w:sz w:val="22"/>
          <w:szCs w:val="22"/>
        </w:rPr>
        <w:t>VĮ VALSTYBINIŲ MIŠKŲ URĖDIJOS VEIKLOS, PRODUKTO IR DARBDAVIO CIVILINĖS ATSAKOMYBĖS DRAUDIMO PASLAUGŲ PIRKIMO TECHNINĖ SPECIFIKACIJA</w:t>
      </w:r>
    </w:p>
    <w:p>
      <w:pPr>
        <w:pStyle w:val="Heading1"/>
        <w:numPr>
          <w:ilvl w:val="0"/>
          <w:numId w:val="18"/>
        </w:numPr>
        <w:spacing w:before="0" w:after="0"/>
        <w:jc w:val="start"/>
        <w:outlineLvl w:val="9"/>
        <w:rPr/>
      </w:pPr>
      <w:r>
        <w:rPr>
          <w:rStyle w:val="Numatytasispastraiposriftas"/>
          <w:rFonts w:cs="Arial" w:ascii="Arial" w:hAnsi="Arial"/>
          <w:b/>
          <w:caps/>
          <w:sz w:val="22"/>
          <w:szCs w:val="22"/>
        </w:rPr>
        <w:t xml:space="preserve">Savokos ir </w:t>
      </w:r>
      <w:bookmarkStart w:id="0" w:name="_Toc54690182"/>
      <w:r>
        <w:rPr>
          <w:rStyle w:val="Numatytasispastraiposriftas"/>
          <w:rFonts w:cs="Arial" w:ascii="Arial" w:hAnsi="Arial"/>
          <w:b/>
          <w:caps/>
          <w:sz w:val="22"/>
          <w:szCs w:val="22"/>
        </w:rPr>
        <w:t>PIRKIMO APIMTIS</w:t>
      </w:r>
      <w:bookmarkEnd w:id="0"/>
    </w:p>
    <w:p>
      <w:pPr>
        <w:pStyle w:val="Sraopastraipa"/>
        <w:spacing w:before="16" w:after="0"/>
        <w:ind w:start="0" w:end="510"/>
        <w:jc w:val="both"/>
        <w:rPr/>
      </w:pPr>
      <w:r>
        <w:rPr>
          <w:rStyle w:val="Numatytasispastraiposriftas"/>
          <w:rFonts w:cs="Arial" w:ascii="Arial" w:hAnsi="Arial"/>
          <w:sz w:val="22"/>
          <w:szCs w:val="22"/>
        </w:rPr>
        <w:t xml:space="preserve">Užsakovas – </w:t>
      </w:r>
      <w:r>
        <w:rPr>
          <w:rStyle w:val="Numatytasispastraiposriftas"/>
          <w:rFonts w:cs="Arial" w:ascii="Arial" w:hAnsi="Arial"/>
          <w:bCs/>
          <w:sz w:val="22"/>
          <w:szCs w:val="22"/>
        </w:rPr>
        <w:t xml:space="preserve">VĮ Valstybinių miškų urėdija, </w:t>
      </w:r>
      <w:r>
        <w:rPr>
          <w:rStyle w:val="Numatytasispastraiposriftas"/>
          <w:rFonts w:cs="Arial" w:ascii="Arial" w:hAnsi="Arial"/>
          <w:bCs/>
          <w:sz w:val="22"/>
          <w:szCs w:val="22"/>
          <w:lang w:eastAsia="lt-LT"/>
        </w:rPr>
        <w:t xml:space="preserve">įmones kodas 132340880 </w:t>
      </w:r>
      <w:r>
        <w:rPr>
          <w:rStyle w:val="Numatytasispastraiposriftas"/>
          <w:rFonts w:cs="Arial" w:ascii="Arial" w:hAnsi="Arial"/>
          <w:bCs/>
          <w:sz w:val="22"/>
          <w:szCs w:val="22"/>
        </w:rPr>
        <w:t xml:space="preserve">(toliau – </w:t>
      </w:r>
      <w:r>
        <w:rPr>
          <w:rStyle w:val="Numatytasispastraiposriftas"/>
          <w:rFonts w:cs="Arial" w:ascii="Arial" w:hAnsi="Arial"/>
          <w:sz w:val="22"/>
          <w:szCs w:val="22"/>
        </w:rPr>
        <w:t>Užsakovas/Draudėjas</w:t>
      </w:r>
      <w:r>
        <w:rPr>
          <w:rStyle w:val="Numatytasispastraiposriftas"/>
          <w:rFonts w:cs="Arial" w:ascii="Arial" w:hAnsi="Arial"/>
          <w:bCs/>
          <w:sz w:val="22"/>
          <w:szCs w:val="22"/>
        </w:rPr>
        <w:t>)</w:t>
      </w:r>
      <w:r>
        <w:rPr>
          <w:rStyle w:val="Numatytasispastraiposriftas"/>
          <w:rFonts w:cs="Arial" w:ascii="Arial" w:hAnsi="Arial"/>
          <w:sz w:val="22"/>
          <w:szCs w:val="22"/>
        </w:rPr>
        <w:t>.</w:t>
      </w:r>
    </w:p>
    <w:p>
      <w:pPr>
        <w:pStyle w:val="Sraopastraipa"/>
        <w:spacing w:before="16" w:after="0"/>
        <w:ind w:start="0" w:end="57"/>
        <w:jc w:val="both"/>
        <w:rPr/>
      </w:pPr>
      <w:r>
        <w:rPr>
          <w:rStyle w:val="Numatytasispastraiposriftas"/>
          <w:rFonts w:cs="Arial" w:ascii="Arial" w:hAnsi="Arial"/>
          <w:bCs/>
          <w:sz w:val="22"/>
          <w:szCs w:val="22"/>
        </w:rPr>
        <w:t>Paslaugų teikėjas – ūkio subjektas – fizinis asmuo, privatusis juridinis asmuo, viešasis juridinis asmuo, kitos organizacijos ir jų padaliniai ar tokių asmenų</w:t>
      </w:r>
      <w:r>
        <w:rPr>
          <w:rStyle w:val="Numatytasispastraiposriftas"/>
          <w:rFonts w:cs="Arial" w:ascii="Arial" w:hAnsi="Arial"/>
          <w:sz w:val="22"/>
          <w:szCs w:val="22"/>
        </w:rPr>
        <w:t xml:space="preserve"> grupė, su kuriuo Užsakovas sudaro sutartį (toliau – </w:t>
      </w:r>
      <w:r>
        <w:rPr>
          <w:rStyle w:val="Numatytasispastraiposriftas"/>
          <w:rFonts w:cs="Arial" w:ascii="Arial" w:hAnsi="Arial"/>
          <w:color w:val="000000"/>
          <w:sz w:val="22"/>
          <w:szCs w:val="22"/>
        </w:rPr>
        <w:t>Paslaugų teikėjas/Draudikas</w:t>
      </w:r>
      <w:r>
        <w:rPr>
          <w:rStyle w:val="Numatytasispastraiposriftas"/>
          <w:rFonts w:cs="Arial" w:ascii="Arial" w:hAnsi="Arial"/>
          <w:sz w:val="22"/>
          <w:szCs w:val="22"/>
        </w:rPr>
        <w:t xml:space="preserve"> ).</w:t>
      </w:r>
    </w:p>
    <w:p>
      <w:pPr>
        <w:pStyle w:val="Normal"/>
        <w:jc w:val="both"/>
        <w:rPr/>
      </w:pPr>
      <w:r>
        <w:rPr>
          <w:rStyle w:val="Numatytasispastraiposriftas"/>
          <w:rFonts w:cs="Arial" w:ascii="Arial" w:hAnsi="Arial"/>
          <w:sz w:val="22"/>
          <w:szCs w:val="22"/>
        </w:rPr>
        <w:t>Perkamas obje</w:t>
      </w:r>
      <w:r>
        <w:rPr>
          <w:rStyle w:val="Numatytasispastraiposriftas"/>
          <w:rFonts w:cs="Arial" w:ascii="Arial" w:hAnsi="Arial"/>
          <w:color w:val="000000"/>
          <w:sz w:val="22"/>
          <w:szCs w:val="22"/>
        </w:rPr>
        <w:t>ktas- Veiklos ir produkto civilinės atsakomybės draudimas, įskaitant ir atsakomybės už patikėtą turtą ir darbdavio civilinės atsakomybės draudimas. BVPŽ kodas: 66510000-8 Draudimo paslaugos. Pirkimo objektas skaidomas į 2 (dvi) pirkimo objekto dalis (toliau – P.o.d)::</w:t>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pPr>
      <w:r>
        <w:rPr>
          <w:rStyle w:val="Numatytasispastraiposriftas"/>
          <w:rFonts w:cs="Arial" w:ascii="Arial" w:hAnsi="Arial"/>
          <w:b/>
          <w:bCs/>
          <w:sz w:val="22"/>
          <w:szCs w:val="22"/>
        </w:rPr>
        <w:t>I P.o.d</w:t>
      </w:r>
    </w:p>
    <w:p>
      <w:pPr>
        <w:pStyle w:val="Normal"/>
        <w:jc w:val="both"/>
        <w:rPr/>
      </w:pPr>
      <w:r>
        <w:rPr>
          <w:rStyle w:val="Numatytasispastraiposriftas"/>
          <w:rFonts w:cs="Arial" w:ascii="Arial" w:hAnsi="Arial"/>
          <w:sz w:val="22"/>
          <w:szCs w:val="22"/>
          <w:lang w:eastAsia="lt-LT"/>
        </w:rPr>
        <w:t>Veiklos ir produkto civilinės atsakomybės draudimas, įskaitant ir atsakomybės už patikėtą turtą draudimą.</w:t>
      </w:r>
    </w:p>
    <w:p>
      <w:pPr>
        <w:pStyle w:val="Normal"/>
        <w:jc w:val="both"/>
        <w:rPr>
          <w:rFonts w:ascii="Arial" w:hAnsi="Arial" w:cs="Arial"/>
          <w:sz w:val="22"/>
          <w:szCs w:val="22"/>
          <w:lang w:eastAsia="lt-LT"/>
        </w:rPr>
      </w:pPr>
      <w:r>
        <w:rPr>
          <w:rFonts w:cs="Arial" w:ascii="Arial" w:hAnsi="Arial"/>
          <w:sz w:val="22"/>
          <w:szCs w:val="22"/>
          <w:lang w:eastAsia="lt-LT"/>
        </w:rPr>
      </w:r>
    </w:p>
    <w:p>
      <w:pPr>
        <w:pStyle w:val="Normal"/>
        <w:jc w:val="both"/>
        <w:rPr/>
      </w:pPr>
      <w:r>
        <w:rPr>
          <w:rStyle w:val="Numatytasispastraiposriftas"/>
          <w:rFonts w:cs="Arial" w:ascii="Arial" w:hAnsi="Arial"/>
          <w:b/>
          <w:bCs/>
          <w:sz w:val="22"/>
          <w:szCs w:val="22"/>
          <w:lang w:eastAsia="lt-LT"/>
        </w:rPr>
        <w:t>II P.o.d</w:t>
      </w:r>
    </w:p>
    <w:p>
      <w:pPr>
        <w:pStyle w:val="Normal"/>
        <w:jc w:val="both"/>
        <w:rPr/>
      </w:pPr>
      <w:r>
        <w:rPr>
          <w:rStyle w:val="Numatytasispastraiposriftas"/>
          <w:rFonts w:cs="Arial" w:ascii="Arial" w:hAnsi="Arial"/>
          <w:sz w:val="22"/>
          <w:szCs w:val="22"/>
          <w:lang w:eastAsia="lt-LT"/>
        </w:rPr>
        <w:t xml:space="preserve"> </w:t>
      </w:r>
      <w:r>
        <w:rPr>
          <w:rStyle w:val="Numatytasispastraiposriftas"/>
          <w:rFonts w:cs="Arial" w:ascii="Arial" w:hAnsi="Arial"/>
          <w:sz w:val="22"/>
          <w:szCs w:val="22"/>
          <w:lang w:eastAsia="lt-LT"/>
        </w:rPr>
        <w:t>Darbdavio civilinės atsakomybės draudimas.</w:t>
      </w:r>
    </w:p>
    <w:p>
      <w:pPr>
        <w:pStyle w:val="Normal"/>
        <w:jc w:val="both"/>
        <w:rPr>
          <w:rFonts w:ascii="Arial" w:hAnsi="Arial" w:cs="Arial"/>
          <w:sz w:val="22"/>
          <w:szCs w:val="22"/>
          <w:lang w:eastAsia="lt-LT"/>
        </w:rPr>
      </w:pPr>
      <w:r>
        <w:rPr>
          <w:rFonts w:cs="Arial" w:ascii="Arial" w:hAnsi="Arial"/>
          <w:sz w:val="22"/>
          <w:szCs w:val="22"/>
          <w:lang w:eastAsia="lt-LT"/>
        </w:rPr>
      </w:r>
    </w:p>
    <w:p>
      <w:pPr>
        <w:pStyle w:val="Normal"/>
        <w:jc w:val="both"/>
        <w:rPr>
          <w:rFonts w:ascii="Arial" w:hAnsi="Arial" w:cs="Mangal"/>
          <w:sz w:val="22"/>
          <w:szCs w:val="22"/>
          <w:lang w:eastAsia="lt-LT"/>
        </w:rPr>
      </w:pPr>
      <w:r>
        <w:rPr>
          <w:rStyle w:val="Numatytasispastraiposriftas"/>
          <w:rFonts w:cs="Arial" w:ascii="Arial" w:hAnsi="Arial"/>
          <w:sz w:val="22"/>
          <w:szCs w:val="22"/>
          <w:lang w:eastAsia="lt-LT"/>
        </w:rPr>
        <w:t>Rizikos vertinimo, draudimo sutarčių ir polisų sudarymo tarpininkavimo, žalos istorijos ir kitais draudimo klausimais, Draudėją atstovauja UADBB „Aon Baltic“ (toliau – Brokeris) pagal 2024 m. lapkričio 6 d. pasirašytą Paslaugų viešojo pirkimo - pardavimo sutartį Nr. 77-VP-7887-2024.</w:t>
      </w:r>
    </w:p>
    <w:p>
      <w:pPr>
        <w:pStyle w:val="Heading1"/>
        <w:numPr>
          <w:ilvl w:val="0"/>
          <w:numId w:val="2"/>
        </w:numPr>
        <w:jc w:val="start"/>
        <w:outlineLvl w:val="9"/>
        <w:rPr/>
      </w:pPr>
      <w:bookmarkStart w:id="1" w:name="_Toc54690183"/>
      <w:bookmarkStart w:id="2" w:name="_Toc75762044"/>
      <w:r>
        <w:rPr>
          <w:rStyle w:val="Numatytasispastraiposriftas"/>
          <w:rFonts w:cs="Arial" w:ascii="Arial" w:hAnsi="Arial"/>
          <w:b/>
          <w:caps/>
          <w:sz w:val="22"/>
          <w:szCs w:val="22"/>
        </w:rPr>
        <w:t>Bendros draudimo sąlygos</w:t>
      </w:r>
      <w:bookmarkEnd w:id="1"/>
      <w:bookmarkEnd w:id="2"/>
    </w:p>
    <w:p>
      <w:pPr>
        <w:pStyle w:val="Normal"/>
        <w:jc w:val="both"/>
        <w:rPr/>
      </w:pPr>
      <w:r>
        <w:rPr>
          <w:rStyle w:val="Numatytasispastraiposriftas"/>
          <w:rFonts w:cs="Arial" w:ascii="Arial" w:hAnsi="Arial"/>
          <w:sz w:val="22"/>
          <w:szCs w:val="22"/>
        </w:rPr>
        <w:t>Draudimo laikotarpis – Draudimo Sutartis bus sudaroma 12 mėnesių laikotarpiui.</w:t>
      </w:r>
    </w:p>
    <w:p>
      <w:pPr>
        <w:pStyle w:val="Normal"/>
        <w:jc w:val="both"/>
        <w:rPr>
          <w:rFonts w:ascii="Arial" w:hAnsi="Arial" w:cs="Arial"/>
          <w:sz w:val="22"/>
          <w:szCs w:val="22"/>
        </w:rPr>
      </w:pPr>
      <w:r>
        <w:rPr>
          <w:rFonts w:cs="Arial" w:ascii="Arial" w:hAnsi="Arial"/>
          <w:sz w:val="22"/>
          <w:szCs w:val="22"/>
        </w:rPr>
      </w:r>
    </w:p>
    <w:p>
      <w:pPr>
        <w:pStyle w:val="Normal"/>
        <w:jc w:val="both"/>
        <w:rPr/>
      </w:pPr>
      <w:r>
        <w:rPr>
          <w:rStyle w:val="Numatytasispastraiposriftas"/>
          <w:rFonts w:cs="Arial" w:ascii="Arial" w:hAnsi="Arial"/>
          <w:sz w:val="22"/>
          <w:szCs w:val="22"/>
        </w:rPr>
        <w:t>Planuojama draudimo apsaugos įsigaliojimo data:</w:t>
      </w:r>
    </w:p>
    <w:p>
      <w:pPr>
        <w:pStyle w:val="Sraopastraipa"/>
        <w:numPr>
          <w:ilvl w:val="0"/>
          <w:numId w:val="3"/>
        </w:numPr>
        <w:jc w:val="both"/>
        <w:rPr/>
      </w:pPr>
      <w:r>
        <w:rPr>
          <w:rStyle w:val="Numatytasispastraiposriftas"/>
          <w:rFonts w:cs="Arial" w:ascii="Arial" w:hAnsi="Arial"/>
          <w:sz w:val="22"/>
          <w:szCs w:val="22"/>
        </w:rPr>
        <w:t xml:space="preserve">draudimo poliso įsigyto pagal pirkimo I </w:t>
      </w:r>
      <w:r>
        <w:rPr>
          <w:rStyle w:val="Numatytasispastraiposriftas"/>
          <w:rFonts w:cs="Arial" w:ascii="Arial" w:hAnsi="Arial"/>
          <w:sz w:val="22"/>
          <w:szCs w:val="22"/>
          <w:lang w:val="en-GB"/>
        </w:rPr>
        <w:t>P.o.d</w:t>
      </w:r>
      <w:r>
        <w:rPr>
          <w:rStyle w:val="Numatytasispastraiposriftas"/>
          <w:rFonts w:cs="Arial" w:ascii="Arial" w:hAnsi="Arial"/>
          <w:sz w:val="22"/>
          <w:szCs w:val="22"/>
        </w:rPr>
        <w:t xml:space="preserve"> 2025 m. balandžio mėn. 25 d.;</w:t>
      </w:r>
    </w:p>
    <w:p>
      <w:pPr>
        <w:pStyle w:val="Sraopastraipa"/>
        <w:numPr>
          <w:ilvl w:val="0"/>
          <w:numId w:val="3"/>
        </w:numPr>
        <w:jc w:val="both"/>
        <w:rPr/>
      </w:pPr>
      <w:r>
        <w:rPr>
          <w:rStyle w:val="Numatytasispastraiposriftas"/>
          <w:rFonts w:cs="Arial" w:ascii="Arial" w:hAnsi="Arial"/>
          <w:sz w:val="22"/>
          <w:szCs w:val="22"/>
        </w:rPr>
        <w:t xml:space="preserve">draudimo poliso įsigyto pagal pirkimo II </w:t>
      </w:r>
      <w:r>
        <w:rPr>
          <w:rStyle w:val="Numatytasispastraiposriftas"/>
          <w:rFonts w:cs="Arial" w:ascii="Arial" w:hAnsi="Arial"/>
          <w:sz w:val="22"/>
          <w:szCs w:val="22"/>
          <w:lang w:val="en-GB"/>
        </w:rPr>
        <w:t>P.o.d</w:t>
      </w:r>
      <w:r>
        <w:rPr>
          <w:rStyle w:val="Numatytasispastraiposriftas"/>
          <w:rFonts w:cs="Arial" w:ascii="Arial" w:hAnsi="Arial"/>
          <w:sz w:val="22"/>
          <w:szCs w:val="22"/>
        </w:rPr>
        <w:t xml:space="preserve"> 2025 m. balandžio mėn. 15 d.</w:t>
      </w:r>
    </w:p>
    <w:p>
      <w:pPr>
        <w:pStyle w:val="Normal"/>
        <w:jc w:val="both"/>
        <w:rPr>
          <w:rFonts w:ascii="Arial" w:hAnsi="Arial" w:cs="Arial"/>
          <w:sz w:val="22"/>
          <w:szCs w:val="22"/>
        </w:rPr>
      </w:pPr>
      <w:r>
        <w:rPr>
          <w:rFonts w:cs="Arial" w:ascii="Arial" w:hAnsi="Arial"/>
          <w:sz w:val="22"/>
          <w:szCs w:val="22"/>
        </w:rPr>
      </w:r>
    </w:p>
    <w:p>
      <w:pPr>
        <w:pStyle w:val="Sraopastraipa"/>
        <w:numPr>
          <w:ilvl w:val="0"/>
          <w:numId w:val="2"/>
        </w:numPr>
        <w:rPr/>
      </w:pPr>
      <w:bookmarkStart w:id="3" w:name="_Toc75762045"/>
      <w:bookmarkEnd w:id="3"/>
      <w:r>
        <w:rPr>
          <w:rStyle w:val="Numatytasispastraiposriftas"/>
          <w:rFonts w:cs="Arial" w:ascii="Arial" w:hAnsi="Arial"/>
          <w:b/>
          <w:bCs/>
          <w:sz w:val="22"/>
          <w:szCs w:val="22"/>
          <w:u w:val="single"/>
        </w:rPr>
        <w:t>I DALIS</w:t>
      </w:r>
    </w:p>
    <w:p>
      <w:pPr>
        <w:pStyle w:val="Sraopastraipa"/>
        <w:ind w:start="360"/>
        <w:rPr/>
      </w:pPr>
      <w:bookmarkStart w:id="4" w:name="_Toc54690184"/>
      <w:r>
        <w:rPr>
          <w:rStyle w:val="Numatytasispastraiposriftas"/>
          <w:rFonts w:cs="Arial" w:ascii="Arial" w:hAnsi="Arial"/>
          <w:b/>
          <w:bCs/>
          <w:sz w:val="22"/>
          <w:szCs w:val="22"/>
        </w:rPr>
        <w:t>VEIKLOS IR PRODUKTO CIVILINĖS ATSAKOMYBĖS DRAUDIMO SĄLYGOS</w:t>
      </w:r>
      <w:bookmarkEnd w:id="4"/>
    </w:p>
    <w:p>
      <w:pPr>
        <w:pStyle w:val="Sraopastraipa"/>
        <w:ind w:start="360"/>
        <w:rPr>
          <w:rFonts w:ascii="Arial" w:hAnsi="Arial"/>
          <w:sz w:val="22"/>
          <w:szCs w:val="22"/>
        </w:rPr>
      </w:pPr>
      <w:r>
        <w:rPr>
          <w:rFonts w:ascii="Arial" w:hAnsi="Arial"/>
          <w:sz w:val="22"/>
          <w:szCs w:val="22"/>
        </w:rPr>
      </w:r>
    </w:p>
    <w:p>
      <w:pPr>
        <w:pStyle w:val="Heading2"/>
        <w:numPr>
          <w:ilvl w:val="3"/>
          <w:numId w:val="4"/>
        </w:numPr>
        <w:tabs>
          <w:tab w:val="clear" w:pos="709"/>
          <w:tab w:val="left" w:pos="-2373" w:leader="none"/>
        </w:tabs>
        <w:jc w:val="start"/>
        <w:outlineLvl w:val="9"/>
        <w:rPr/>
      </w:pPr>
      <w:bookmarkStart w:id="5" w:name="_Toc54690185"/>
      <w:bookmarkStart w:id="6" w:name="_Toc75762045_Copy_1"/>
      <w:bookmarkEnd w:id="6"/>
      <w:r>
        <w:rPr>
          <w:rStyle w:val="Numatytasispastraiposriftas"/>
          <w:rFonts w:cs="Arial" w:ascii="Arial" w:hAnsi="Arial"/>
          <w:b/>
          <w:bCs/>
          <w:sz w:val="22"/>
          <w:szCs w:val="22"/>
        </w:rPr>
        <w:t>Perkamo objekto draudimo suma bei franšizė (išskaita)</w:t>
      </w:r>
      <w:bookmarkEnd w:id="5"/>
    </w:p>
    <w:p>
      <w:pPr>
        <w:pStyle w:val="Normal"/>
        <w:rPr>
          <w:rFonts w:ascii="Arial" w:hAnsi="Arial" w:cs="Arial"/>
          <w:bCs/>
          <w:sz w:val="22"/>
          <w:szCs w:val="22"/>
        </w:rPr>
      </w:pPr>
      <w:r>
        <w:rPr>
          <w:rFonts w:cs="Arial" w:ascii="Arial" w:hAnsi="Arial"/>
          <w:bCs/>
          <w:sz w:val="22"/>
          <w:szCs w:val="22"/>
        </w:rPr>
      </w:r>
    </w:p>
    <w:tbl>
      <w:tblPr>
        <w:tblW w:w="9754" w:type="dxa"/>
        <w:jc w:val="start"/>
        <w:tblInd w:w="-113" w:type="dxa"/>
        <w:tblLayout w:type="fixed"/>
        <w:tblCellMar>
          <w:top w:w="0" w:type="dxa"/>
          <w:start w:w="108" w:type="dxa"/>
          <w:bottom w:w="0" w:type="dxa"/>
          <w:end w:w="108" w:type="dxa"/>
        </w:tblCellMar>
      </w:tblPr>
      <w:tblGrid>
        <w:gridCol w:w="852"/>
        <w:gridCol w:w="5268"/>
        <w:gridCol w:w="1989"/>
        <w:gridCol w:w="1645"/>
      </w:tblGrid>
      <w:tr>
        <w:trPr>
          <w:tblHeader w:val="true"/>
          <w:trHeight w:val="521" w:hRule="atLeast"/>
        </w:trPr>
        <w:tc>
          <w:tcPr>
            <w:tcW w:w="852"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bCs/>
                <w:sz w:val="22"/>
                <w:szCs w:val="22"/>
              </w:rPr>
            </w:pPr>
            <w:r>
              <w:rPr>
                <w:rFonts w:cs="Arial" w:ascii="Arial" w:hAnsi="Arial"/>
                <w:bCs/>
                <w:sz w:val="22"/>
                <w:szCs w:val="22"/>
              </w:rPr>
            </w:r>
          </w:p>
        </w:tc>
        <w:tc>
          <w:tcPr>
            <w:tcW w:w="5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Style w:val="Numatytasispastraiposriftas"/>
                <w:rFonts w:cs="Arial" w:ascii="Arial" w:hAnsi="Arial"/>
                <w:b/>
                <w:bCs/>
                <w:sz w:val="22"/>
                <w:szCs w:val="22"/>
              </w:rPr>
              <w:t>Draudėjo perkamo objekto dalys</w:t>
            </w:r>
          </w:p>
        </w:tc>
        <w:tc>
          <w:tcPr>
            <w:tcW w:w="19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Style w:val="Numatytasispastraiposriftas"/>
                <w:rFonts w:cs="Arial" w:ascii="Arial" w:hAnsi="Arial"/>
                <w:b/>
                <w:bCs/>
                <w:sz w:val="22"/>
                <w:szCs w:val="22"/>
              </w:rPr>
              <w:t>Draudimo suma*</w:t>
            </w:r>
          </w:p>
        </w:tc>
        <w:tc>
          <w:tcPr>
            <w:tcW w:w="16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Style w:val="Numatytasispastraiposriftas"/>
                <w:rFonts w:cs="Arial" w:ascii="Arial" w:hAnsi="Arial"/>
                <w:b/>
                <w:bCs/>
                <w:sz w:val="22"/>
                <w:szCs w:val="22"/>
              </w:rPr>
              <w:t>Franšizė (išskaita)</w:t>
            </w:r>
          </w:p>
        </w:tc>
      </w:tr>
      <w:tr>
        <w:trPr>
          <w:trHeight w:val="493" w:hRule="atLeast"/>
        </w:trPr>
        <w:tc>
          <w:tcPr>
            <w:tcW w:w="85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19"/>
              </w:numPr>
              <w:rPr>
                <w:rFonts w:ascii="Arial" w:hAnsi="Arial" w:cs="Arial"/>
                <w:bCs/>
                <w:sz w:val="22"/>
                <w:szCs w:val="22"/>
              </w:rPr>
            </w:pPr>
            <w:r>
              <w:rPr>
                <w:rFonts w:cs="Arial" w:ascii="Arial" w:hAnsi="Arial"/>
                <w:bCs/>
                <w:sz w:val="22"/>
                <w:szCs w:val="22"/>
              </w:rPr>
            </w:r>
          </w:p>
        </w:tc>
        <w:tc>
          <w:tcPr>
            <w:tcW w:w="5268" w:type="dxa"/>
            <w:tcBorders>
              <w:top w:val="single" w:sz="4" w:space="0" w:color="000000"/>
              <w:start w:val="single" w:sz="4" w:space="0" w:color="000000"/>
              <w:end w:val="single" w:sz="4" w:space="0" w:color="000000"/>
            </w:tcBorders>
            <w:vAlign w:val="center"/>
          </w:tcPr>
          <w:p>
            <w:pPr>
              <w:pStyle w:val="Normal"/>
              <w:tabs>
                <w:tab w:val="clear" w:pos="709"/>
                <w:tab w:val="left" w:pos="1077" w:leader="none"/>
              </w:tabs>
              <w:jc w:val="both"/>
              <w:rPr/>
            </w:pPr>
            <w:r>
              <w:rPr>
                <w:rStyle w:val="Numatytasispastraiposriftas"/>
                <w:rFonts w:cs="Arial" w:ascii="Arial" w:hAnsi="Arial"/>
                <w:sz w:val="22"/>
                <w:szCs w:val="22"/>
              </w:rPr>
              <w:t>Veiklos ir produkto</w:t>
            </w:r>
            <w:r>
              <w:rPr>
                <w:rStyle w:val="Numatytasispastraiposriftas"/>
                <w:rFonts w:cs="Arial" w:ascii="Arial" w:hAnsi="Arial"/>
                <w:color w:val="000000"/>
                <w:sz w:val="22"/>
                <w:szCs w:val="22"/>
              </w:rPr>
              <w:t xml:space="preserve"> </w:t>
            </w:r>
            <w:r>
              <w:rPr>
                <w:rStyle w:val="Numatytasispastraiposriftas"/>
                <w:rFonts w:cs="Arial" w:ascii="Arial" w:hAnsi="Arial"/>
                <w:sz w:val="22"/>
                <w:szCs w:val="22"/>
              </w:rPr>
              <w:t>civilinės atsakomybės draudimas</w:t>
            </w:r>
          </w:p>
        </w:tc>
        <w:tc>
          <w:tcPr>
            <w:tcW w:w="1989" w:type="dxa"/>
            <w:tcBorders>
              <w:top w:val="single" w:sz="4" w:space="0" w:color="000000"/>
              <w:start w:val="single" w:sz="4" w:space="0" w:color="000000"/>
              <w:end w:val="single" w:sz="4" w:space="0" w:color="000000"/>
            </w:tcBorders>
            <w:vAlign w:val="center"/>
          </w:tcPr>
          <w:p>
            <w:pPr>
              <w:pStyle w:val="Normal"/>
              <w:jc w:val="center"/>
              <w:rPr/>
            </w:pPr>
            <w:r>
              <w:rPr>
                <w:rStyle w:val="Numatytasispastraiposriftas"/>
                <w:rFonts w:cs="Arial" w:ascii="Arial" w:hAnsi="Arial"/>
                <w:sz w:val="22"/>
                <w:szCs w:val="22"/>
              </w:rPr>
              <w:t xml:space="preserve">  </w:t>
            </w:r>
            <w:r>
              <w:rPr>
                <w:rStyle w:val="Numatytasispastraiposriftas"/>
                <w:rFonts w:cs="Arial" w:ascii="Arial" w:hAnsi="Arial"/>
                <w:sz w:val="22"/>
                <w:szCs w:val="22"/>
              </w:rPr>
              <w:t>500 000 EUR</w:t>
            </w:r>
          </w:p>
        </w:tc>
        <w:tc>
          <w:tcPr>
            <w:tcW w:w="1645" w:type="dxa"/>
            <w:tcBorders>
              <w:top w:val="single" w:sz="4" w:space="0" w:color="000000"/>
              <w:start w:val="single" w:sz="4" w:space="0" w:color="000000"/>
              <w:end w:val="single" w:sz="4" w:space="0" w:color="000000"/>
            </w:tcBorders>
            <w:vAlign w:val="center"/>
          </w:tcPr>
          <w:p>
            <w:pPr>
              <w:pStyle w:val="Normal"/>
              <w:jc w:val="center"/>
              <w:rPr/>
            </w:pPr>
            <w:r>
              <w:rPr>
                <w:rStyle w:val="Numatytasispastraiposriftas"/>
                <w:rFonts w:cs="Arial" w:ascii="Arial" w:hAnsi="Arial"/>
                <w:sz w:val="22"/>
                <w:szCs w:val="22"/>
              </w:rPr>
              <w:t>1 000 EUR</w:t>
            </w:r>
          </w:p>
        </w:tc>
      </w:tr>
      <w:tr>
        <w:trPr>
          <w:trHeight w:val="415" w:hRule="atLeast"/>
        </w:trPr>
        <w:tc>
          <w:tcPr>
            <w:tcW w:w="85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5"/>
              </w:numPr>
              <w:rPr>
                <w:rFonts w:ascii="Arial" w:hAnsi="Arial" w:cs="Arial"/>
                <w:bCs/>
                <w:sz w:val="22"/>
                <w:szCs w:val="22"/>
              </w:rPr>
            </w:pPr>
            <w:r>
              <w:rPr>
                <w:rFonts w:cs="Arial" w:ascii="Arial" w:hAnsi="Arial"/>
                <w:bCs/>
                <w:sz w:val="22"/>
                <w:szCs w:val="22"/>
              </w:rPr>
            </w:r>
          </w:p>
        </w:tc>
        <w:tc>
          <w:tcPr>
            <w:tcW w:w="5268"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bCs/>
                <w:sz w:val="22"/>
                <w:szCs w:val="22"/>
              </w:rPr>
              <w:t>Atsakomybės už patikėtą turtą draudimas</w:t>
            </w:r>
          </w:p>
        </w:tc>
        <w:tc>
          <w:tcPr>
            <w:tcW w:w="19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Style w:val="Numatytasispastraiposriftas"/>
                <w:rFonts w:cs="Arial" w:ascii="Arial" w:hAnsi="Arial"/>
                <w:color w:val="FF0000"/>
                <w:sz w:val="22"/>
                <w:szCs w:val="22"/>
              </w:rPr>
              <w:t xml:space="preserve"> </w:t>
            </w:r>
            <w:r>
              <w:rPr>
                <w:rStyle w:val="Numatytasispastraiposriftas"/>
                <w:rFonts w:cs="Arial" w:ascii="Arial" w:hAnsi="Arial"/>
                <w:sz w:val="22"/>
                <w:szCs w:val="22"/>
              </w:rPr>
              <w:t>100 000 EUR</w:t>
            </w:r>
          </w:p>
        </w:tc>
        <w:tc>
          <w:tcPr>
            <w:tcW w:w="16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Style w:val="Numatytasispastraiposriftas"/>
                <w:rFonts w:cs="Arial" w:ascii="Arial" w:hAnsi="Arial"/>
                <w:sz w:val="22"/>
                <w:szCs w:val="22"/>
              </w:rPr>
              <w:t>1 000 EUR</w:t>
            </w:r>
          </w:p>
        </w:tc>
      </w:tr>
      <w:tr>
        <w:trPr>
          <w:trHeight w:val="630" w:hRule="atLeast"/>
        </w:trPr>
        <w:tc>
          <w:tcPr>
            <w:tcW w:w="85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9"/>
              </w:tabs>
              <w:ind w:start="360"/>
              <w:rPr>
                <w:rFonts w:ascii="Arial" w:hAnsi="Arial" w:cs="Arial"/>
                <w:bCs/>
                <w:sz w:val="22"/>
                <w:szCs w:val="22"/>
              </w:rPr>
            </w:pPr>
            <w:r>
              <w:rPr>
                <w:rFonts w:cs="Arial" w:ascii="Arial" w:hAnsi="Arial"/>
                <w:bCs/>
                <w:sz w:val="22"/>
                <w:szCs w:val="22"/>
              </w:rPr>
            </w:r>
          </w:p>
        </w:tc>
        <w:tc>
          <w:tcPr>
            <w:tcW w:w="5268" w:type="dxa"/>
            <w:tcBorders>
              <w:top w:val="single" w:sz="4" w:space="0" w:color="000000"/>
              <w:start w:val="single" w:sz="4" w:space="0" w:color="000000"/>
              <w:bottom w:val="single" w:sz="4" w:space="0" w:color="000000"/>
              <w:end w:val="single" w:sz="4" w:space="0" w:color="000000"/>
            </w:tcBorders>
            <w:vAlign w:val="center"/>
          </w:tcPr>
          <w:p>
            <w:pPr>
              <w:pStyle w:val="Normal"/>
              <w:jc w:val="both"/>
              <w:rPr/>
            </w:pPr>
            <w:r>
              <w:rPr>
                <w:rStyle w:val="Numatytasispastraiposriftas"/>
                <w:rFonts w:cs="Arial" w:ascii="Arial" w:hAnsi="Arial"/>
                <w:b/>
                <w:bCs/>
                <w:sz w:val="22"/>
                <w:szCs w:val="22"/>
              </w:rPr>
              <w:t>Bendra draudimo suma pagal visas perkamo objekto dalis</w:t>
            </w:r>
          </w:p>
        </w:tc>
        <w:tc>
          <w:tcPr>
            <w:tcW w:w="1989"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b/>
                <w:bCs/>
                <w:sz w:val="22"/>
                <w:szCs w:val="22"/>
              </w:rPr>
              <w:t>500 000 EUR</w:t>
            </w:r>
          </w:p>
        </w:tc>
        <w:tc>
          <w:tcPr>
            <w:tcW w:w="1645"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Arial" w:hAnsi="Arial" w:cs="Arial"/>
                <w:bCs/>
                <w:sz w:val="22"/>
                <w:szCs w:val="22"/>
              </w:rPr>
            </w:pPr>
            <w:r>
              <w:rPr>
                <w:rFonts w:cs="Arial" w:ascii="Arial" w:hAnsi="Arial"/>
                <w:bCs/>
                <w:sz w:val="22"/>
                <w:szCs w:val="22"/>
              </w:rPr>
            </w:r>
          </w:p>
        </w:tc>
      </w:tr>
    </w:tbl>
    <w:p>
      <w:pPr>
        <w:pStyle w:val="Normal"/>
        <w:rPr>
          <w:rFonts w:ascii="Arial" w:hAnsi="Arial" w:cs="Arial"/>
          <w:bCs/>
          <w:sz w:val="22"/>
          <w:szCs w:val="22"/>
          <w:shd w:fill="FFFF00" w:val="clear"/>
        </w:rPr>
      </w:pPr>
      <w:r>
        <w:rPr>
          <w:rFonts w:cs="Arial" w:ascii="Arial" w:hAnsi="Arial"/>
          <w:bCs/>
          <w:sz w:val="22"/>
          <w:szCs w:val="22"/>
          <w:shd w:fill="FFFF00" w:val="clear"/>
        </w:rPr>
      </w:r>
    </w:p>
    <w:p>
      <w:pPr>
        <w:pStyle w:val="Normal"/>
        <w:rPr/>
      </w:pPr>
      <w:r>
        <w:rPr>
          <w:rStyle w:val="Numatytasispastraiposriftas"/>
          <w:rFonts w:eastAsia="Batang" w:cs="Arial" w:ascii="Arial" w:hAnsi="Arial"/>
          <w:sz w:val="22"/>
          <w:szCs w:val="22"/>
          <w:lang w:eastAsia="ko-KR"/>
        </w:rPr>
        <w:t>* - draudimo suma kiekvienam įvykiui ir visiems įvykiams kartu.</w:t>
      </w:r>
    </w:p>
    <w:p>
      <w:pPr>
        <w:pStyle w:val="Normal"/>
        <w:rPr>
          <w:rFonts w:ascii="Arial" w:hAnsi="Arial" w:eastAsia="Batang" w:cs="Arial"/>
          <w:sz w:val="22"/>
          <w:szCs w:val="22"/>
          <w:lang w:eastAsia="ko-KR"/>
        </w:rPr>
      </w:pPr>
      <w:r>
        <w:rPr>
          <w:rFonts w:eastAsia="Batang" w:cs="Arial" w:ascii="Arial" w:hAnsi="Arial"/>
          <w:sz w:val="22"/>
          <w:szCs w:val="22"/>
          <w:lang w:eastAsia="ko-KR"/>
        </w:rPr>
      </w:r>
    </w:p>
    <w:p>
      <w:pPr>
        <w:pStyle w:val="Heading2"/>
        <w:numPr>
          <w:ilvl w:val="3"/>
          <w:numId w:val="4"/>
        </w:numPr>
        <w:tabs>
          <w:tab w:val="clear" w:pos="709"/>
          <w:tab w:val="left" w:pos="-2373" w:leader="none"/>
        </w:tabs>
        <w:jc w:val="start"/>
        <w:outlineLvl w:val="9"/>
        <w:rPr/>
      </w:pPr>
      <w:bookmarkStart w:id="7" w:name="_Toc54690186"/>
      <w:r>
        <w:rPr>
          <w:rStyle w:val="Numatytasispastraiposriftas"/>
          <w:rFonts w:cs="Arial" w:ascii="Arial" w:hAnsi="Arial"/>
          <w:b/>
          <w:sz w:val="22"/>
          <w:szCs w:val="22"/>
        </w:rPr>
        <w:t>Draudėjo vykdomos veiklos</w:t>
      </w:r>
      <w:bookmarkEnd w:id="7"/>
    </w:p>
    <w:p>
      <w:pPr>
        <w:pStyle w:val="Normal"/>
        <w:rPr>
          <w:rFonts w:ascii="Arial" w:hAnsi="Arial" w:cs="Arial"/>
          <w:sz w:val="22"/>
          <w:szCs w:val="22"/>
        </w:rPr>
      </w:pPr>
      <w:r>
        <w:rPr>
          <w:rFonts w:cs="Arial" w:ascii="Arial" w:hAnsi="Arial"/>
          <w:sz w:val="22"/>
          <w:szCs w:val="22"/>
        </w:rPr>
      </w:r>
    </w:p>
    <w:p>
      <w:pPr>
        <w:pStyle w:val="Normal"/>
        <w:rPr/>
      </w:pPr>
      <w:r>
        <w:rPr>
          <w:rStyle w:val="Numatytasispastraiposriftas"/>
          <w:rFonts w:cs="Arial" w:ascii="Arial" w:hAnsi="Arial"/>
          <w:sz w:val="22"/>
          <w:szCs w:val="22"/>
          <w:lang w:eastAsia="lt-LT"/>
        </w:rPr>
        <w:t>Draudėjo vykdomos ir Apdraudžiamos veiklos:</w:t>
      </w:r>
    </w:p>
    <w:p>
      <w:pPr>
        <w:pStyle w:val="Normal"/>
        <w:rPr>
          <w:rFonts w:ascii="Arial" w:hAnsi="Arial" w:cs="Arial"/>
          <w:b/>
          <w:sz w:val="22"/>
          <w:szCs w:val="22"/>
          <w:lang w:eastAsia="lt-LT"/>
        </w:rPr>
      </w:pPr>
      <w:r>
        <w:rPr>
          <w:rFonts w:cs="Arial" w:ascii="Arial" w:hAnsi="Arial"/>
          <w:b/>
          <w:sz w:val="22"/>
          <w:szCs w:val="22"/>
          <w:lang w:eastAsia="lt-LT"/>
        </w:rPr>
      </w:r>
    </w:p>
    <w:p>
      <w:pPr>
        <w:pStyle w:val="Normal"/>
        <w:numPr>
          <w:ilvl w:val="0"/>
          <w:numId w:val="6"/>
        </w:numPr>
        <w:jc w:val="both"/>
        <w:rPr/>
      </w:pPr>
      <w:r>
        <w:rPr>
          <w:rStyle w:val="Numatytasispastraiposriftas"/>
          <w:rFonts w:cs="Arial" w:ascii="Arial" w:hAnsi="Arial"/>
          <w:sz w:val="22"/>
          <w:szCs w:val="22"/>
          <w:lang w:eastAsia="lt-LT"/>
        </w:rPr>
        <w:t>miškotvarka;</w:t>
      </w:r>
    </w:p>
    <w:p>
      <w:pPr>
        <w:pStyle w:val="Normal"/>
        <w:numPr>
          <w:ilvl w:val="0"/>
          <w:numId w:val="6"/>
        </w:numPr>
        <w:jc w:val="both"/>
        <w:rPr/>
      </w:pPr>
      <w:r>
        <w:rPr>
          <w:rStyle w:val="Numatytasispastraiposriftas"/>
          <w:rFonts w:cs="Arial" w:ascii="Arial" w:hAnsi="Arial"/>
          <w:sz w:val="22"/>
          <w:szCs w:val="22"/>
          <w:lang w:eastAsia="lt-LT"/>
        </w:rPr>
        <w:t>miško įveisimas, atkūrimas ir priežiūra;</w:t>
      </w:r>
    </w:p>
    <w:p>
      <w:pPr>
        <w:pStyle w:val="Normal"/>
        <w:numPr>
          <w:ilvl w:val="0"/>
          <w:numId w:val="6"/>
        </w:numPr>
        <w:jc w:val="both"/>
        <w:rPr/>
      </w:pPr>
      <w:r>
        <w:rPr>
          <w:rStyle w:val="Numatytasispastraiposriftas"/>
          <w:rFonts w:cs="Arial" w:ascii="Arial" w:hAnsi="Arial"/>
          <w:sz w:val="22"/>
          <w:szCs w:val="22"/>
          <w:lang w:eastAsia="lt-LT"/>
        </w:rPr>
        <w:t>miško sodmenų užauginimas;</w:t>
      </w:r>
    </w:p>
    <w:p>
      <w:pPr>
        <w:pStyle w:val="Normal"/>
        <w:numPr>
          <w:ilvl w:val="0"/>
          <w:numId w:val="6"/>
        </w:numPr>
        <w:jc w:val="both"/>
        <w:rPr/>
      </w:pPr>
      <w:r>
        <w:rPr>
          <w:rStyle w:val="Numatytasispastraiposriftas"/>
          <w:rFonts w:cs="Arial" w:ascii="Arial" w:hAnsi="Arial"/>
          <w:sz w:val="22"/>
          <w:szCs w:val="22"/>
          <w:lang w:eastAsia="lt-LT"/>
        </w:rPr>
        <w:t>medienos ruoša ir prekyba;</w:t>
      </w:r>
    </w:p>
    <w:p>
      <w:pPr>
        <w:pStyle w:val="Normal"/>
        <w:numPr>
          <w:ilvl w:val="0"/>
          <w:numId w:val="6"/>
        </w:numPr>
        <w:jc w:val="both"/>
        <w:rPr/>
      </w:pPr>
      <w:r>
        <w:rPr>
          <w:rStyle w:val="Numatytasispastraiposriftas"/>
          <w:rFonts w:cs="Arial" w:ascii="Arial" w:hAnsi="Arial"/>
          <w:sz w:val="22"/>
          <w:szCs w:val="22"/>
          <w:lang w:eastAsia="lt-LT"/>
        </w:rPr>
        <w:t>sanitarinė miško apsauga ir apsauga nuo gaisrų;</w:t>
      </w:r>
    </w:p>
    <w:p>
      <w:pPr>
        <w:pStyle w:val="Normal"/>
        <w:numPr>
          <w:ilvl w:val="0"/>
          <w:numId w:val="6"/>
        </w:numPr>
        <w:jc w:val="both"/>
        <w:rPr/>
      </w:pPr>
      <w:r>
        <w:rPr>
          <w:rStyle w:val="Numatytasispastraiposriftas"/>
          <w:rFonts w:cs="Arial" w:ascii="Arial" w:hAnsi="Arial"/>
          <w:sz w:val="22"/>
          <w:szCs w:val="22"/>
          <w:lang w:eastAsia="lt-LT"/>
        </w:rPr>
        <w:t>miško kelių priežiūra;</w:t>
      </w:r>
    </w:p>
    <w:p>
      <w:pPr>
        <w:pStyle w:val="Normal"/>
        <w:numPr>
          <w:ilvl w:val="0"/>
          <w:numId w:val="6"/>
        </w:numPr>
        <w:jc w:val="both"/>
        <w:rPr/>
      </w:pPr>
      <w:r>
        <w:rPr>
          <w:rStyle w:val="Numatytasispastraiposriftas"/>
          <w:rFonts w:cs="Arial" w:ascii="Arial" w:hAnsi="Arial"/>
          <w:sz w:val="22"/>
          <w:szCs w:val="22"/>
          <w:lang w:eastAsia="lt-LT"/>
        </w:rPr>
        <w:t>rekreacinių objektų įrengimas ir priežiūra;</w:t>
      </w:r>
    </w:p>
    <w:p>
      <w:pPr>
        <w:pStyle w:val="Normal"/>
        <w:numPr>
          <w:ilvl w:val="0"/>
          <w:numId w:val="6"/>
        </w:numPr>
        <w:jc w:val="both"/>
        <w:rPr/>
      </w:pPr>
      <w:r>
        <w:rPr>
          <w:rStyle w:val="Numatytasispastraiposriftas"/>
          <w:rFonts w:cs="Arial" w:ascii="Arial" w:hAnsi="Arial"/>
          <w:sz w:val="22"/>
          <w:szCs w:val="22"/>
          <w:lang w:eastAsia="lt-LT"/>
        </w:rPr>
        <w:t>gamtotvarkos priemonių miškuose įgyvendinimas, rūšių ir buveinių apsauga;</w:t>
      </w:r>
    </w:p>
    <w:p>
      <w:pPr>
        <w:pStyle w:val="Normal"/>
        <w:numPr>
          <w:ilvl w:val="0"/>
          <w:numId w:val="6"/>
        </w:numPr>
        <w:jc w:val="both"/>
        <w:rPr/>
      </w:pPr>
      <w:r>
        <w:rPr>
          <w:rStyle w:val="Numatytasispastraiposriftas"/>
          <w:rFonts w:cs="Arial" w:ascii="Arial" w:hAnsi="Arial"/>
          <w:sz w:val="22"/>
          <w:szCs w:val="22"/>
          <w:lang w:eastAsia="lt-LT"/>
        </w:rPr>
        <w:t>nekilnojamo turto valdymas ir nuoma;</w:t>
      </w:r>
    </w:p>
    <w:p>
      <w:pPr>
        <w:pStyle w:val="Normal"/>
        <w:numPr>
          <w:ilvl w:val="0"/>
          <w:numId w:val="6"/>
        </w:numPr>
        <w:jc w:val="both"/>
        <w:rPr/>
      </w:pPr>
      <w:r>
        <w:rPr>
          <w:rStyle w:val="Numatytasispastraiposriftas"/>
          <w:rFonts w:cs="Arial" w:ascii="Arial" w:hAnsi="Arial"/>
          <w:sz w:val="22"/>
          <w:szCs w:val="22"/>
          <w:lang w:eastAsia="lt-LT"/>
        </w:rPr>
        <w:t>karjerų eksploatavimas;</w:t>
      </w:r>
    </w:p>
    <w:p>
      <w:pPr>
        <w:pStyle w:val="Normal"/>
        <w:numPr>
          <w:ilvl w:val="0"/>
          <w:numId w:val="6"/>
        </w:numPr>
        <w:jc w:val="both"/>
        <w:rPr/>
      </w:pPr>
      <w:r>
        <w:rPr>
          <w:rStyle w:val="Numatytasispastraiposriftas"/>
          <w:rFonts w:cs="Arial" w:ascii="Arial" w:hAnsi="Arial"/>
          <w:sz w:val="22"/>
          <w:szCs w:val="22"/>
          <w:lang w:eastAsia="lt-LT"/>
        </w:rPr>
        <w:t>prekyba naudotomis transporto priemonėmis, žemės ūkio technika, miško ruošos technika.</w:t>
      </w:r>
    </w:p>
    <w:p>
      <w:pPr>
        <w:pStyle w:val="Heading2"/>
        <w:numPr>
          <w:ilvl w:val="3"/>
          <w:numId w:val="4"/>
        </w:numPr>
        <w:tabs>
          <w:tab w:val="clear" w:pos="709"/>
          <w:tab w:val="left" w:pos="-2373" w:leader="none"/>
        </w:tabs>
        <w:jc w:val="start"/>
        <w:outlineLvl w:val="9"/>
        <w:rPr/>
      </w:pPr>
      <w:bookmarkStart w:id="8" w:name="_Toc54690187"/>
      <w:bookmarkStart w:id="9" w:name="_Hlk158100752"/>
      <w:bookmarkEnd w:id="9"/>
      <w:r>
        <w:rPr>
          <w:rStyle w:val="Numatytasispastraiposriftas"/>
          <w:rFonts w:cs="Arial" w:ascii="Arial" w:hAnsi="Arial"/>
          <w:b/>
          <w:sz w:val="22"/>
          <w:szCs w:val="22"/>
        </w:rPr>
        <w:t>Pirkimo objekto apibrėžimas</w:t>
      </w:r>
      <w:bookmarkEnd w:id="8"/>
    </w:p>
    <w:p>
      <w:pPr>
        <w:pStyle w:val="Normal"/>
        <w:rPr>
          <w:rFonts w:ascii="Arial" w:hAnsi="Arial" w:cs="Arial"/>
          <w:b/>
          <w:sz w:val="22"/>
          <w:szCs w:val="22"/>
          <w:lang w:eastAsia="lt-LT"/>
        </w:rPr>
      </w:pPr>
      <w:r>
        <w:rPr>
          <w:rFonts w:cs="Arial" w:ascii="Arial" w:hAnsi="Arial"/>
          <w:b/>
          <w:sz w:val="22"/>
          <w:szCs w:val="22"/>
          <w:lang w:eastAsia="lt-LT"/>
        </w:rPr>
      </w:r>
    </w:p>
    <w:p>
      <w:pPr>
        <w:pStyle w:val="Normal"/>
        <w:rPr/>
      </w:pPr>
      <w:r>
        <w:rPr>
          <w:rStyle w:val="Numatytasispastraiposriftas"/>
          <w:rFonts w:cs="Arial" w:ascii="Arial" w:hAnsi="Arial"/>
          <w:b/>
          <w:sz w:val="22"/>
          <w:szCs w:val="22"/>
          <w:u w:val="single"/>
        </w:rPr>
        <w:t>Veiklos ir produkto civilinės atsakomybės draudimas, atsakomybės už patikėtą turtą draudimas</w:t>
      </w:r>
    </w:p>
    <w:p>
      <w:pPr>
        <w:pStyle w:val="Normal"/>
        <w:ind w:firstLine="360"/>
        <w:rPr>
          <w:rFonts w:ascii="Arial" w:hAnsi="Arial" w:cs="Arial"/>
          <w:sz w:val="22"/>
          <w:szCs w:val="22"/>
          <w:lang w:eastAsia="lt-LT"/>
        </w:rPr>
      </w:pPr>
      <w:r>
        <w:rPr>
          <w:rFonts w:cs="Arial" w:ascii="Arial" w:hAnsi="Arial"/>
          <w:sz w:val="22"/>
          <w:szCs w:val="22"/>
          <w:lang w:eastAsia="lt-LT"/>
        </w:rPr>
      </w:r>
    </w:p>
    <w:p>
      <w:pPr>
        <w:pStyle w:val="Normal"/>
        <w:jc w:val="both"/>
        <w:rPr/>
      </w:pPr>
      <w:r>
        <w:rPr>
          <w:rStyle w:val="Numatytasispastraiposriftas"/>
          <w:rFonts w:cs="Arial" w:ascii="Arial" w:hAnsi="Arial"/>
          <w:sz w:val="22"/>
          <w:szCs w:val="22"/>
        </w:rPr>
        <w:t>Draudėjo turtiniai interesai, susiję su:</w:t>
      </w:r>
    </w:p>
    <w:p>
      <w:pPr>
        <w:pStyle w:val="Normal"/>
        <w:numPr>
          <w:ilvl w:val="0"/>
          <w:numId w:val="7"/>
        </w:numPr>
        <w:jc w:val="both"/>
        <w:rPr/>
      </w:pPr>
      <w:r>
        <w:rPr>
          <w:rStyle w:val="Numatytasispastraiposriftas"/>
          <w:rFonts w:cs="Arial" w:ascii="Arial" w:hAnsi="Arial"/>
          <w:sz w:val="22"/>
          <w:szCs w:val="22"/>
          <w:lang w:eastAsia="lt-LT"/>
        </w:rPr>
        <w:t>Draudėjo civiline atsakomybe trečiajam asmeniui už žalą, padarytą Draudėjui vykdant apdraustą veiklą;</w:t>
      </w:r>
    </w:p>
    <w:p>
      <w:pPr>
        <w:pStyle w:val="Normal"/>
        <w:numPr>
          <w:ilvl w:val="0"/>
          <w:numId w:val="7"/>
        </w:numPr>
        <w:jc w:val="both"/>
        <w:rPr/>
      </w:pPr>
      <w:r>
        <w:rPr>
          <w:rStyle w:val="Numatytasispastraiposriftas"/>
          <w:rFonts w:cs="Arial" w:ascii="Arial" w:hAnsi="Arial"/>
          <w:sz w:val="22"/>
          <w:szCs w:val="22"/>
          <w:lang w:eastAsia="lt-LT"/>
        </w:rPr>
        <w:t>Draudėjo civiline atsakomybe trečiajam asmeniui už žalą, kilusią dėl Draudėjui priklausančio arba jo valdomo ir apdraustai veiklai naudojamo turto, teritorijos ar kitų objektų trūkumų;</w:t>
      </w:r>
    </w:p>
    <w:p>
      <w:pPr>
        <w:pStyle w:val="Normal"/>
        <w:numPr>
          <w:ilvl w:val="0"/>
          <w:numId w:val="7"/>
        </w:numPr>
        <w:jc w:val="both"/>
        <w:rPr/>
      </w:pPr>
      <w:r>
        <w:rPr>
          <w:rStyle w:val="Numatytasispastraiposriftas"/>
          <w:rFonts w:cs="Arial" w:ascii="Arial" w:hAnsi="Arial"/>
          <w:sz w:val="22"/>
          <w:szCs w:val="22"/>
          <w:lang w:eastAsia="lt-LT"/>
        </w:rPr>
        <w:t>Draudėjo civiline atsakomybe tretiesiems asmenims už žalą, padarytą Draudėjo pateiktu netinkamos kokybės produktu / paslauga;</w:t>
      </w:r>
    </w:p>
    <w:p>
      <w:pPr>
        <w:pStyle w:val="Normal"/>
        <w:numPr>
          <w:ilvl w:val="0"/>
          <w:numId w:val="7"/>
        </w:numPr>
        <w:jc w:val="both"/>
        <w:rPr/>
      </w:pPr>
      <w:r>
        <w:rPr>
          <w:rStyle w:val="Numatytasispastraiposriftas"/>
          <w:rFonts w:cs="Arial" w:ascii="Arial" w:hAnsi="Arial"/>
          <w:sz w:val="22"/>
          <w:szCs w:val="22"/>
          <w:lang w:eastAsia="lt-LT"/>
        </w:rPr>
        <w:t>Draudėjo civiline atsakomybe už žalą, atsiradusią dėl staigaus ir netikėto oro, vandens ar dirvožemio užteršimo, kilusio Draudėjui vykdant apdraustą veiklą, įskaitant</w:t>
      </w:r>
      <w:r>
        <w:rPr>
          <w:rStyle w:val="Numatytasispastraiposriftas"/>
          <w:rFonts w:cs="Arial" w:ascii="Arial" w:hAnsi="Arial"/>
          <w:sz w:val="22"/>
          <w:szCs w:val="22"/>
        </w:rPr>
        <w:t xml:space="preserve"> ir užteršimo išvalymo kaštus bei žalą aplinkai, kuri apskaičiuota aplinkos apsaugos pareigūnų Lietuvos Respublikos teisės aktų nustatyta tvarka;</w:t>
      </w:r>
    </w:p>
    <w:p>
      <w:pPr>
        <w:pStyle w:val="Normal"/>
        <w:numPr>
          <w:ilvl w:val="0"/>
          <w:numId w:val="7"/>
        </w:numPr>
        <w:jc w:val="both"/>
        <w:rPr/>
      </w:pPr>
      <w:r>
        <w:rPr>
          <w:rStyle w:val="Numatytasispastraiposriftas"/>
          <w:rFonts w:cs="Arial" w:ascii="Arial" w:hAnsi="Arial"/>
          <w:sz w:val="22"/>
          <w:szCs w:val="22"/>
          <w:lang w:eastAsia="lt-LT"/>
        </w:rPr>
        <w:t>Draudėjo civiline atsakomybe trečiajam asmeniui už kontrahentų padarytą žalą, už kurią Draudėjas atsako pagal teisės aktus, draudikas išmokėjęs draudimo išmoką, turi atgręžtinio reikalavimo teisę į patį kontrahentą. Kontrahentas – kita sutarties, kurią sudarė Draudėjas dėl draudžiamos veiklos, šalis (pavyzdžiui, Draudėjo subrangovas, tiekėjas, paslaugos Draudėjui teikėjas);</w:t>
      </w:r>
    </w:p>
    <w:p>
      <w:pPr>
        <w:pStyle w:val="Normal"/>
        <w:numPr>
          <w:ilvl w:val="0"/>
          <w:numId w:val="7"/>
        </w:numPr>
        <w:jc w:val="both"/>
        <w:rPr/>
      </w:pPr>
      <w:r>
        <w:rPr>
          <w:rStyle w:val="Numatytasispastraiposriftas"/>
          <w:rFonts w:cs="Arial" w:ascii="Arial" w:hAnsi="Arial"/>
          <w:sz w:val="22"/>
          <w:szCs w:val="22"/>
          <w:lang w:eastAsia="lt-LT"/>
        </w:rPr>
        <w:t>Draudėjo civiline atsakomybe, susijusia su savaeigių darbo mašinų naudojimu, valdymu, taip pat atsakomybe, susijusia su pakrovimo ir iškrovimo darbais (išskyrus žalą perkraunamam ir (ar) iškraunamam objektui) naudojant šias savaeiges mašinas;</w:t>
      </w:r>
    </w:p>
    <w:p>
      <w:pPr>
        <w:pStyle w:val="Normal"/>
        <w:numPr>
          <w:ilvl w:val="0"/>
          <w:numId w:val="7"/>
        </w:numPr>
        <w:jc w:val="both"/>
        <w:rPr/>
      </w:pPr>
      <w:r>
        <w:rPr>
          <w:rStyle w:val="Numatytasispastraiposriftas"/>
          <w:rFonts w:cs="Arial" w:ascii="Arial" w:hAnsi="Arial"/>
          <w:sz w:val="22"/>
          <w:szCs w:val="22"/>
          <w:lang w:eastAsia="lt-LT"/>
        </w:rPr>
        <w:t xml:space="preserve">Draudėjo civiline atsakomybe prieš trečiuosius asmenis už žalą, padarytą Draudėjo darbuotojų </w:t>
      </w:r>
      <w:r>
        <w:rPr>
          <w:rStyle w:val="Numatytasispastraiposriftas"/>
          <w:rFonts w:cs="Arial" w:ascii="Arial" w:hAnsi="Arial"/>
          <w:sz w:val="22"/>
          <w:szCs w:val="22"/>
        </w:rPr>
        <w:t>komandiruočių metu;</w:t>
      </w:r>
    </w:p>
    <w:p>
      <w:pPr>
        <w:pStyle w:val="Normal"/>
        <w:numPr>
          <w:ilvl w:val="0"/>
          <w:numId w:val="7"/>
        </w:numPr>
        <w:jc w:val="both"/>
        <w:rPr/>
      </w:pPr>
      <w:r>
        <w:rPr>
          <w:rStyle w:val="Numatytasispastraiposriftas"/>
          <w:rFonts w:cs="Arial" w:ascii="Arial" w:hAnsi="Arial"/>
          <w:sz w:val="22"/>
          <w:szCs w:val="22"/>
          <w:lang w:eastAsia="lt-LT"/>
        </w:rPr>
        <w:t>Draudėjo civiline atsakomybe trečiajam asmeniui už žalą, padarytą trečiojo asmens turtui, kuris žalos atsiradimo momentu buvo Draudėjo išsinuomotas, pasiskolintas, saugojamas, prižiūrimas, valdomas, naudojamas, kontroliuojamas, transportuojamas, jam patikėtas.</w:t>
      </w:r>
    </w:p>
    <w:p>
      <w:pPr>
        <w:pStyle w:val="Normal"/>
        <w:jc w:val="both"/>
        <w:rPr/>
      </w:pPr>
      <w:r>
        <w:rPr>
          <w:rStyle w:val="Numatytasispastraiposriftas"/>
          <w:rFonts w:cs="Arial" w:ascii="Arial" w:hAnsi="Arial"/>
          <w:sz w:val="22"/>
          <w:szCs w:val="22"/>
          <w:lang w:eastAsia="lt-LT"/>
        </w:rPr>
        <w:t>Kartu apdraudžiama Draudėjo civilinė atsakomybė, kaip potencialiai pavojingo įrenginio savininko, paties atliekančio nuolatinę potencialiai pavojingo įrenginio priežiūrą, civilinė atsakomybė, kaip tai yra reglamentuota Lietuvos Respublikos potencialiai pavojingų įrenginių priežiūros įstatymo 11 straipsnio 3 punkte“.</w:t>
      </w:r>
    </w:p>
    <w:p>
      <w:pPr>
        <w:pStyle w:val="Normal"/>
        <w:jc w:val="both"/>
        <w:rPr>
          <w:rFonts w:ascii="Arial" w:hAnsi="Arial" w:cs="Arial"/>
          <w:sz w:val="22"/>
          <w:szCs w:val="22"/>
          <w:lang w:eastAsia="lt-LT"/>
        </w:rPr>
      </w:pPr>
      <w:r>
        <w:rPr>
          <w:rFonts w:cs="Arial" w:ascii="Arial" w:hAnsi="Arial"/>
          <w:sz w:val="22"/>
          <w:szCs w:val="22"/>
          <w:lang w:eastAsia="lt-LT"/>
        </w:rPr>
      </w:r>
    </w:p>
    <w:p>
      <w:pPr>
        <w:pStyle w:val="Heading2"/>
        <w:numPr>
          <w:ilvl w:val="3"/>
          <w:numId w:val="4"/>
        </w:numPr>
        <w:tabs>
          <w:tab w:val="clear" w:pos="709"/>
          <w:tab w:val="left" w:pos="-2373" w:leader="none"/>
        </w:tabs>
        <w:jc w:val="start"/>
        <w:outlineLvl w:val="9"/>
        <w:rPr/>
      </w:pPr>
      <w:bookmarkStart w:id="10" w:name="_Toc54690188"/>
      <w:bookmarkStart w:id="11" w:name="_Hlk158100752_Copy_1"/>
      <w:bookmarkEnd w:id="11"/>
      <w:r>
        <w:rPr>
          <w:rStyle w:val="Numatytasispastraiposriftas"/>
          <w:rFonts w:cs="Arial" w:ascii="Arial" w:hAnsi="Arial"/>
          <w:b/>
          <w:sz w:val="22"/>
          <w:szCs w:val="22"/>
        </w:rPr>
        <w:t xml:space="preserve">Draudžiamieji įvykiai </w:t>
      </w:r>
      <w:bookmarkStart w:id="12" w:name="_Toc461799566"/>
      <w:bookmarkEnd w:id="12"/>
      <w:r>
        <w:rPr>
          <w:rStyle w:val="Numatytasispastraiposriftas"/>
          <w:rFonts w:cs="Arial" w:ascii="Arial" w:hAnsi="Arial"/>
          <w:b/>
          <w:sz w:val="22"/>
          <w:szCs w:val="22"/>
        </w:rPr>
        <w:t>ir Atsakomybė už žalą susijusiems asmenims</w:t>
      </w:r>
      <w:bookmarkEnd w:id="10"/>
    </w:p>
    <w:p>
      <w:pPr>
        <w:pStyle w:val="Normal"/>
        <w:rPr>
          <w:rFonts w:ascii="Arial" w:hAnsi="Arial" w:cs="Arial"/>
          <w:b/>
          <w:sz w:val="22"/>
          <w:szCs w:val="22"/>
          <w:u w:val="single"/>
        </w:rPr>
      </w:pPr>
      <w:r>
        <w:rPr>
          <w:rFonts w:cs="Arial" w:ascii="Arial" w:hAnsi="Arial"/>
          <w:b/>
          <w:sz w:val="22"/>
          <w:szCs w:val="22"/>
          <w:u w:val="single"/>
        </w:rPr>
      </w:r>
    </w:p>
    <w:p>
      <w:pPr>
        <w:pStyle w:val="Normal"/>
        <w:rPr/>
      </w:pPr>
      <w:r>
        <w:rPr>
          <w:rStyle w:val="Numatytasispastraiposriftas"/>
          <w:rFonts w:cs="Arial" w:ascii="Arial" w:hAnsi="Arial"/>
          <w:b/>
          <w:sz w:val="22"/>
          <w:szCs w:val="22"/>
          <w:u w:val="single"/>
        </w:rPr>
        <w:t>Draudžiamasis įvykis</w:t>
      </w:r>
    </w:p>
    <w:p>
      <w:pPr>
        <w:pStyle w:val="Normal"/>
        <w:rPr>
          <w:rFonts w:ascii="Arial" w:hAnsi="Arial" w:cs="Arial"/>
          <w:sz w:val="22"/>
          <w:szCs w:val="22"/>
        </w:rPr>
      </w:pPr>
      <w:r>
        <w:rPr>
          <w:rFonts w:cs="Arial" w:ascii="Arial" w:hAnsi="Arial"/>
          <w:sz w:val="22"/>
          <w:szCs w:val="22"/>
        </w:rPr>
      </w:r>
    </w:p>
    <w:p>
      <w:pPr>
        <w:pStyle w:val="Normal"/>
        <w:jc w:val="both"/>
        <w:rPr/>
      </w:pPr>
      <w:r>
        <w:rPr>
          <w:rStyle w:val="Numatytasispastraiposriftas"/>
          <w:rFonts w:cs="Arial" w:ascii="Arial" w:hAnsi="Arial"/>
          <w:sz w:val="22"/>
          <w:szCs w:val="22"/>
        </w:rPr>
        <w:t xml:space="preserve">Trečiųjų asmenų reikalavimo pateikimas dėl turto sunaikinimo, sugadinimo ar trečiojo asmens kūno sužalojimo ir / ar mirties </w:t>
      </w:r>
      <w:r>
        <w:rPr>
          <w:rStyle w:val="Numatytasispastraiposriftas"/>
          <w:rFonts w:cs="Arial" w:ascii="Arial" w:hAnsi="Arial"/>
          <w:sz w:val="22"/>
          <w:szCs w:val="22"/>
          <w:lang w:eastAsia="lt-LT"/>
        </w:rPr>
        <w:t>Draudėjui vykdant apdraustą veiklą, arba dėl Draudėjo nuosavybėje, valdyme esančių ir apdraustai veiklai naudojamų statinių, teritorijos ar kitų objektų trūkumų, patiektu produktu, jei tenkinamos visos žemiau nurodytos sąlygos:</w:t>
      </w:r>
    </w:p>
    <w:p>
      <w:pPr>
        <w:pStyle w:val="Normal"/>
        <w:numPr>
          <w:ilvl w:val="0"/>
          <w:numId w:val="8"/>
        </w:numPr>
        <w:jc w:val="both"/>
        <w:rPr/>
      </w:pPr>
      <w:r>
        <w:rPr>
          <w:rStyle w:val="Numatytasispastraiposriftas"/>
          <w:rFonts w:cs="Arial" w:ascii="Arial" w:hAnsi="Arial"/>
          <w:sz w:val="22"/>
          <w:szCs w:val="22"/>
          <w:lang w:eastAsia="lt-LT"/>
        </w:rPr>
        <w:t>reikalavimas pateiktas per draudimo apsaugos laikotarpį arba per išplėstinį reikalavimo pateikimo terminą ir draudikui apie jį pranešta per draudimo apsaugos laikotarpį arba per išplėstinį reikalavimo pateikimo terminą;</w:t>
      </w:r>
    </w:p>
    <w:p>
      <w:pPr>
        <w:pStyle w:val="Normal"/>
        <w:numPr>
          <w:ilvl w:val="0"/>
          <w:numId w:val="8"/>
        </w:numPr>
        <w:jc w:val="both"/>
        <w:rPr/>
      </w:pPr>
      <w:r>
        <w:rPr>
          <w:rStyle w:val="Numatytasispastraiposriftas"/>
          <w:rFonts w:cs="Arial" w:ascii="Arial" w:hAnsi="Arial"/>
          <w:sz w:val="22"/>
          <w:szCs w:val="22"/>
          <w:lang w:eastAsia="lt-LT"/>
        </w:rPr>
        <w:t>žala padaryta draudimo teritorijoje;</w:t>
      </w:r>
    </w:p>
    <w:p>
      <w:pPr>
        <w:pStyle w:val="Normal"/>
        <w:numPr>
          <w:ilvl w:val="0"/>
          <w:numId w:val="8"/>
        </w:numPr>
        <w:jc w:val="both"/>
        <w:rPr/>
      </w:pPr>
      <w:r>
        <w:rPr>
          <w:rStyle w:val="Numatytasispastraiposriftas"/>
          <w:rFonts w:cs="Arial" w:ascii="Arial" w:hAnsi="Arial"/>
          <w:sz w:val="22"/>
          <w:szCs w:val="22"/>
          <w:lang w:eastAsia="lt-LT"/>
        </w:rPr>
        <w:t>Draudėjas pagal galiojančius įstatymus atsako už žalą;</w:t>
      </w:r>
    </w:p>
    <w:p>
      <w:pPr>
        <w:pStyle w:val="Normal"/>
        <w:numPr>
          <w:ilvl w:val="0"/>
          <w:numId w:val="8"/>
        </w:numPr>
        <w:jc w:val="both"/>
        <w:rPr/>
      </w:pPr>
      <w:bookmarkStart w:id="13" w:name="_Hlk158100826"/>
      <w:r>
        <w:rPr>
          <w:rStyle w:val="Numatytasispastraiposriftas"/>
          <w:rFonts w:cs="Arial" w:ascii="Arial" w:hAnsi="Arial"/>
          <w:sz w:val="22"/>
          <w:szCs w:val="22"/>
          <w:lang w:eastAsia="lt-LT"/>
        </w:rPr>
        <w:t>žala padaryta laikotarpiu nuo pradžios datos (įskaitant retroaktyvų galiojimo periodą, jeigu jis taikomas) iki draudimo apsaugos laikotarpio pasibaigimo datos.</w:t>
      </w:r>
      <w:bookmarkEnd w:id="13"/>
    </w:p>
    <w:p>
      <w:pPr>
        <w:pStyle w:val="Normal"/>
        <w:rPr>
          <w:rFonts w:ascii="Arial" w:hAnsi="Arial" w:eastAsia="Batang" w:cs="Arial"/>
          <w:sz w:val="22"/>
          <w:szCs w:val="22"/>
          <w:shd w:fill="FFFF00" w:val="clear"/>
          <w:lang w:eastAsia="ko-KR"/>
        </w:rPr>
      </w:pPr>
      <w:r>
        <w:rPr>
          <w:rFonts w:eastAsia="Batang" w:cs="Arial" w:ascii="Arial" w:hAnsi="Arial"/>
          <w:sz w:val="22"/>
          <w:szCs w:val="22"/>
          <w:shd w:fill="FFFF00" w:val="clear"/>
          <w:lang w:eastAsia="ko-KR"/>
        </w:rPr>
      </w:r>
    </w:p>
    <w:p>
      <w:pPr>
        <w:pStyle w:val="Normal"/>
        <w:rPr/>
      </w:pPr>
      <w:r>
        <w:rPr>
          <w:rStyle w:val="Numatytasispastraiposriftas"/>
          <w:rFonts w:cs="Arial" w:ascii="Arial" w:hAnsi="Arial"/>
          <w:b/>
          <w:sz w:val="22"/>
          <w:szCs w:val="22"/>
          <w:u w:val="single"/>
        </w:rPr>
        <w:t>Atsakomybė už žalą susijusiems asmenims</w:t>
      </w:r>
    </w:p>
    <w:p>
      <w:pPr>
        <w:pStyle w:val="Normal"/>
        <w:rPr>
          <w:rFonts w:ascii="Arial" w:hAnsi="Arial" w:cs="Arial"/>
          <w:sz w:val="22"/>
          <w:szCs w:val="22"/>
        </w:rPr>
      </w:pPr>
      <w:r>
        <w:rPr>
          <w:rFonts w:cs="Arial" w:ascii="Arial" w:hAnsi="Arial"/>
          <w:sz w:val="22"/>
          <w:szCs w:val="22"/>
        </w:rPr>
      </w:r>
    </w:p>
    <w:p>
      <w:pPr>
        <w:pStyle w:val="Normal"/>
        <w:rPr/>
      </w:pPr>
      <w:r>
        <w:rPr>
          <w:rStyle w:val="Numatytasispastraiposriftas"/>
          <w:rFonts w:cs="Arial" w:ascii="Arial" w:hAnsi="Arial"/>
          <w:sz w:val="22"/>
          <w:szCs w:val="22"/>
        </w:rPr>
        <w:t>Taip pat apdraudžiama ir atsakomybė už žalą susijusiems asmenims.</w:t>
      </w:r>
    </w:p>
    <w:p>
      <w:pPr>
        <w:pStyle w:val="Normal"/>
        <w:jc w:val="both"/>
        <w:rPr/>
      </w:pPr>
      <w:r>
        <w:rPr>
          <w:rStyle w:val="Numatytasispastraiposriftas"/>
          <w:rFonts w:cs="Arial" w:ascii="Arial" w:hAnsi="Arial"/>
          <w:sz w:val="22"/>
          <w:szCs w:val="22"/>
        </w:rPr>
        <w:t>Su Draudėju susiję asmenys – tai vienas ar keli juridiniai ir/ ar fiziniai asmenys, kurie tiesiogiai ar netiesiogiai kontroliuoja ar yra kontroliuojami Draudėjo arba kartu su Draudėju yra kontroliuojami trečios šalies.</w:t>
      </w:r>
    </w:p>
    <w:p>
      <w:pPr>
        <w:pStyle w:val="Normal"/>
        <w:jc w:val="both"/>
        <w:rPr/>
      </w:pPr>
      <w:r>
        <w:rPr>
          <w:rStyle w:val="Numatytasispastraiposriftas"/>
          <w:rFonts w:cs="Arial" w:ascii="Arial" w:hAnsi="Arial"/>
          <w:sz w:val="22"/>
          <w:szCs w:val="22"/>
        </w:rPr>
        <w:t>Kontrolė – tiesiogiai ir/ar netiesiogiai įsigytas arba valdomas įmonės akcijų (pajų ar kitokių kapitalo dalių) paketas, suteikiantis jo savininkams arba valdytojams teisę į daugiau kaip 20 procentų balsų juridinio asmens dalyvių susirinkime, o taip pat teisę skirti (išrinkti) ar atšaukti administracijos vadovą, daugiau negu pusę valdybos ar stebėtojų tarybos narių (juos atitinkančių valdymo organų), faktiškai kontroliuoti susijusio asmens priimamus sprendimus dėl didesnės negu kitų asmenų akcijų (pajų ar kitokių kapitalo dalių) dalies valdymo, sudarytų sutarčių ar kitokių aplinkybių.</w:t>
      </w:r>
    </w:p>
    <w:p>
      <w:pPr>
        <w:pStyle w:val="Normal"/>
        <w:jc w:val="both"/>
        <w:rPr>
          <w:rFonts w:ascii="Arial" w:hAnsi="Arial" w:cs="Arial"/>
          <w:sz w:val="22"/>
          <w:szCs w:val="22"/>
        </w:rPr>
      </w:pPr>
      <w:r>
        <w:rPr>
          <w:rFonts w:cs="Arial" w:ascii="Arial" w:hAnsi="Arial"/>
          <w:sz w:val="22"/>
          <w:szCs w:val="22"/>
        </w:rPr>
      </w:r>
    </w:p>
    <w:p>
      <w:pPr>
        <w:pStyle w:val="Normal"/>
        <w:jc w:val="both"/>
        <w:rPr/>
      </w:pPr>
      <w:r>
        <w:rPr>
          <w:rStyle w:val="Numatytasispastraiposriftas"/>
          <w:rFonts w:cs="Arial" w:ascii="Arial" w:hAnsi="Arial"/>
          <w:sz w:val="22"/>
          <w:szCs w:val="22"/>
        </w:rPr>
        <w:t>Jeigu nepaisant sutarčių (įskaitant ir draudimo sutartis) sąlygų, Draudėjo atsakomybė prieš su Draudėju susijusias įmones išlieka ir jis privalo atlyginti padarytą turtinę ar neturtinę žalą, tai tokiu atveju ši sutartis galioja taip, kaip ji galiotų, jei šios įmonės nebūtų susijusios.</w:t>
      </w:r>
    </w:p>
    <w:p>
      <w:pPr>
        <w:pStyle w:val="Normal"/>
        <w:tabs>
          <w:tab w:val="clear" w:pos="709"/>
          <w:tab w:val="left" w:pos="851" w:leader="none"/>
        </w:tabs>
        <w:ind w:firstLine="567"/>
        <w:jc w:val="both"/>
        <w:rPr>
          <w:rFonts w:ascii="Arial" w:hAnsi="Arial" w:cs="Arial"/>
          <w:sz w:val="22"/>
          <w:szCs w:val="22"/>
          <w:lang w:eastAsia="lt-LT"/>
        </w:rPr>
      </w:pPr>
      <w:r>
        <w:rPr>
          <w:rFonts w:cs="Arial" w:ascii="Arial" w:hAnsi="Arial"/>
          <w:sz w:val="22"/>
          <w:szCs w:val="22"/>
          <w:lang w:eastAsia="lt-LT"/>
        </w:rPr>
      </w:r>
    </w:p>
    <w:p>
      <w:pPr>
        <w:pStyle w:val="Normal"/>
        <w:jc w:val="both"/>
        <w:rPr/>
      </w:pPr>
      <w:r>
        <w:rPr>
          <w:rStyle w:val="Numatytasispastraiposriftas"/>
          <w:rFonts w:eastAsia="Batang" w:cs="Arial" w:ascii="Arial" w:hAnsi="Arial"/>
          <w:sz w:val="22"/>
          <w:szCs w:val="22"/>
          <w:lang w:eastAsia="ko-KR"/>
        </w:rPr>
        <w:t>Jeigu kažkuri iš aukščiau paminėtų įmonių draudimo sutarties galiojimo laikotarpiu tampa nebesusijusi su Draudėju, tai ji automatiškai tampa trečiuoju asmeniu ir jos atžvilgiu draudimo apsauga pradeda galioti tokia apimtimi kaip visų kitų trečiųjų asmenų atžvilgiu.</w:t>
      </w:r>
    </w:p>
    <w:p>
      <w:pPr>
        <w:pStyle w:val="Normal"/>
        <w:jc w:val="both"/>
        <w:rPr>
          <w:rFonts w:ascii="Arial" w:hAnsi="Arial" w:cs="Arial"/>
          <w:sz w:val="22"/>
          <w:szCs w:val="22"/>
        </w:rPr>
      </w:pPr>
      <w:r>
        <w:rPr>
          <w:rFonts w:cs="Arial" w:ascii="Arial" w:hAnsi="Arial"/>
          <w:sz w:val="22"/>
          <w:szCs w:val="22"/>
        </w:rPr>
      </w:r>
    </w:p>
    <w:p>
      <w:pPr>
        <w:pStyle w:val="Heading2"/>
        <w:numPr>
          <w:ilvl w:val="3"/>
          <w:numId w:val="4"/>
        </w:numPr>
        <w:tabs>
          <w:tab w:val="clear" w:pos="709"/>
          <w:tab w:val="left" w:pos="-2373" w:leader="none"/>
        </w:tabs>
        <w:jc w:val="start"/>
        <w:outlineLvl w:val="9"/>
        <w:rPr/>
      </w:pPr>
      <w:bookmarkStart w:id="14" w:name="_Toc54690189"/>
      <w:r>
        <w:rPr>
          <w:rStyle w:val="Numatytasispastraiposriftas"/>
          <w:rFonts w:cs="Arial" w:ascii="Arial" w:hAnsi="Arial"/>
          <w:b/>
          <w:sz w:val="22"/>
          <w:szCs w:val="22"/>
        </w:rPr>
        <w:t>Nedraudžiamieji įvykiai</w:t>
      </w:r>
      <w:bookmarkEnd w:id="14"/>
    </w:p>
    <w:p>
      <w:pPr>
        <w:pStyle w:val="Normal"/>
        <w:rPr>
          <w:rFonts w:ascii="Arial" w:hAnsi="Arial" w:cs="Arial"/>
          <w:sz w:val="22"/>
          <w:szCs w:val="22"/>
        </w:rPr>
      </w:pPr>
      <w:r>
        <w:rPr>
          <w:rFonts w:cs="Arial" w:ascii="Arial" w:hAnsi="Arial"/>
          <w:sz w:val="22"/>
          <w:szCs w:val="22"/>
        </w:rPr>
      </w:r>
    </w:p>
    <w:p>
      <w:pPr>
        <w:pStyle w:val="Normal"/>
        <w:rPr/>
      </w:pPr>
      <w:r>
        <w:rPr>
          <w:rStyle w:val="Numatytasispastraiposriftas"/>
          <w:rFonts w:cs="Arial" w:ascii="Arial" w:hAnsi="Arial"/>
          <w:b/>
          <w:sz w:val="22"/>
          <w:szCs w:val="22"/>
          <w:u w:val="single"/>
        </w:rPr>
        <w:t>Veiklos ir produkto civilinė atsakomybė</w:t>
      </w:r>
    </w:p>
    <w:p>
      <w:pPr>
        <w:pStyle w:val="Normal"/>
        <w:rPr/>
      </w:pPr>
      <w:r>
        <w:rPr>
          <w:rStyle w:val="Numatytasispastraiposriftas"/>
          <w:rFonts w:cs="Arial" w:ascii="Arial" w:hAnsi="Arial"/>
          <w:sz w:val="22"/>
          <w:szCs w:val="22"/>
        </w:rPr>
        <w:t>Nedraudžiamieji įvykiai:</w:t>
      </w:r>
    </w:p>
    <w:p>
      <w:pPr>
        <w:pStyle w:val="Normal"/>
        <w:numPr>
          <w:ilvl w:val="0"/>
          <w:numId w:val="20"/>
        </w:numPr>
        <w:jc w:val="both"/>
        <w:rPr/>
      </w:pPr>
      <w:r>
        <w:rPr>
          <w:rStyle w:val="Numatytasispastraiposriftas"/>
          <w:rFonts w:cs="Arial" w:ascii="Arial" w:hAnsi="Arial"/>
          <w:sz w:val="22"/>
          <w:szCs w:val="22"/>
        </w:rPr>
        <w:t>Įvykiai, nesusiję su draudimo sutartyje nurodyta apdrausta veikla, nesusiję su Draudėjo nuosavybėje, valdyme esančiais ir apdraustai veiklai naudojamais statiniais, teritorija ar kitais objektais, nurodytais draudimo sutartyje laikomi nedraudžiamaisiais įvykiais.</w:t>
      </w:r>
    </w:p>
    <w:p>
      <w:pPr>
        <w:pStyle w:val="Normal"/>
        <w:jc w:val="both"/>
        <w:rPr>
          <w:rFonts w:ascii="Arial" w:hAnsi="Arial" w:cs="Arial"/>
          <w:sz w:val="22"/>
          <w:szCs w:val="22"/>
        </w:rPr>
      </w:pPr>
      <w:r>
        <w:rPr>
          <w:rFonts w:cs="Arial" w:ascii="Arial" w:hAnsi="Arial"/>
          <w:sz w:val="22"/>
          <w:szCs w:val="22"/>
        </w:rPr>
      </w:r>
    </w:p>
    <w:p>
      <w:pPr>
        <w:pStyle w:val="Normal"/>
        <w:numPr>
          <w:ilvl w:val="0"/>
          <w:numId w:val="9"/>
        </w:numPr>
        <w:jc w:val="both"/>
        <w:rPr/>
      </w:pPr>
      <w:r>
        <w:rPr>
          <w:rStyle w:val="Numatytasispastraiposriftas"/>
          <w:rFonts w:cs="Arial" w:ascii="Arial" w:hAnsi="Arial"/>
          <w:sz w:val="22"/>
          <w:szCs w:val="22"/>
        </w:rPr>
        <w:t>Nedraudžiama Draudėjo atsakomybė už žalą:</w:t>
      </w:r>
    </w:p>
    <w:p>
      <w:pPr>
        <w:pStyle w:val="Normal"/>
        <w:numPr>
          <w:ilvl w:val="1"/>
          <w:numId w:val="9"/>
        </w:numPr>
        <w:jc w:val="both"/>
        <w:rPr/>
      </w:pPr>
      <w:r>
        <w:rPr>
          <w:rStyle w:val="Numatytasispastraiposriftas"/>
          <w:rFonts w:cs="Arial" w:ascii="Arial" w:hAnsi="Arial"/>
          <w:sz w:val="22"/>
          <w:szCs w:val="22"/>
        </w:rPr>
        <w:t>susijusią su profesionalios medžioklės plotų priežiūra ir medžioklės organizavimu;</w:t>
      </w:r>
    </w:p>
    <w:p>
      <w:pPr>
        <w:pStyle w:val="Normal"/>
        <w:numPr>
          <w:ilvl w:val="1"/>
          <w:numId w:val="9"/>
        </w:numPr>
        <w:jc w:val="both"/>
        <w:rPr/>
      </w:pPr>
      <w:r>
        <w:rPr>
          <w:rStyle w:val="Numatytasispastraiposriftas"/>
          <w:rFonts w:cs="Arial" w:ascii="Arial" w:hAnsi="Arial"/>
          <w:sz w:val="22"/>
          <w:szCs w:val="22"/>
        </w:rPr>
        <w:t>kilusią dėl klaidų ar trūkumų tyrimuose, matavimų rezultatuose, kalkuliacijose, brėžiniuose, darbų specifikacijose, išvadose, ataskaitose, instrukcijose, konsultacijose, išskyrus kai jie pateikiami kartu su Draudėjo produktu;</w:t>
      </w:r>
    </w:p>
    <w:p>
      <w:pPr>
        <w:pStyle w:val="Normal"/>
        <w:numPr>
          <w:ilvl w:val="1"/>
          <w:numId w:val="9"/>
        </w:numPr>
        <w:jc w:val="both"/>
        <w:rPr/>
      </w:pPr>
      <w:r>
        <w:rPr>
          <w:rStyle w:val="Numatytasispastraiposriftas"/>
          <w:rFonts w:cs="Arial" w:ascii="Arial" w:hAnsi="Arial"/>
          <w:sz w:val="22"/>
          <w:szCs w:val="22"/>
        </w:rPr>
        <w:t>kilusią dėl netinkamo sutarties vykdymo ar neįvykdymo. Jeigu pagal sutartį atsakomybės už žalą apimtis yra didesnė nei ta, kurią nustato įstatymas nesant sutarties, draudimas galioja ta apimtimi, kiek atsakomybė už žalą kiltų pagal įstatymą nesant sutarties;</w:t>
      </w:r>
    </w:p>
    <w:p>
      <w:pPr>
        <w:pStyle w:val="Normal"/>
        <w:numPr>
          <w:ilvl w:val="1"/>
          <w:numId w:val="9"/>
        </w:numPr>
        <w:jc w:val="both"/>
        <w:rPr/>
      </w:pPr>
      <w:r>
        <w:rPr>
          <w:rStyle w:val="Numatytasispastraiposriftas"/>
          <w:rFonts w:cs="Arial" w:ascii="Arial" w:hAnsi="Arial"/>
          <w:sz w:val="22"/>
          <w:szCs w:val="22"/>
        </w:rPr>
        <w:t>susijusią su:</w:t>
      </w:r>
    </w:p>
    <w:p>
      <w:pPr>
        <w:pStyle w:val="Normal"/>
        <w:numPr>
          <w:ilvl w:val="0"/>
          <w:numId w:val="21"/>
        </w:numPr>
        <w:tabs>
          <w:tab w:val="clear" w:pos="709"/>
          <w:tab w:val="left" w:pos="2880" w:leader="none"/>
        </w:tabs>
        <w:ind w:start="1440"/>
        <w:jc w:val="both"/>
        <w:rPr/>
      </w:pPr>
      <w:r>
        <w:rPr>
          <w:rStyle w:val="Numatytasispastraiposriftas"/>
          <w:rFonts w:cs="Arial" w:ascii="Arial" w:hAnsi="Arial"/>
          <w:sz w:val="22"/>
          <w:szCs w:val="22"/>
        </w:rPr>
        <w:t>bet kokiu laivu ar orlaiviu, kurie pagaminti plaukimui arba kelionėms vandeniu arba oru, erdve, jeigu toks laivas ar orlaivis yra Draudėjo nuosavybė, jo išsinuomotas arba valdomas, naudojamas kitu pagrindu;</w:t>
      </w:r>
    </w:p>
    <w:p>
      <w:pPr>
        <w:pStyle w:val="Normal"/>
        <w:numPr>
          <w:ilvl w:val="0"/>
          <w:numId w:val="10"/>
        </w:numPr>
        <w:tabs>
          <w:tab w:val="clear" w:pos="709"/>
          <w:tab w:val="left" w:pos="2880" w:leader="none"/>
        </w:tabs>
        <w:ind w:start="1440"/>
        <w:jc w:val="both"/>
        <w:rPr/>
      </w:pPr>
      <w:r>
        <w:rPr>
          <w:rStyle w:val="Numatytasispastraiposriftas"/>
          <w:rFonts w:cs="Arial" w:ascii="Arial" w:hAnsi="Arial"/>
          <w:sz w:val="22"/>
          <w:szCs w:val="22"/>
        </w:rPr>
        <w:t>bet kokio laivo ar orlaivio, vandens ar oro transporto priemonės pakrovimu arba iškrovimu;</w:t>
      </w:r>
    </w:p>
    <w:p>
      <w:pPr>
        <w:pStyle w:val="Normal"/>
        <w:numPr>
          <w:ilvl w:val="0"/>
          <w:numId w:val="10"/>
        </w:numPr>
        <w:tabs>
          <w:tab w:val="clear" w:pos="709"/>
          <w:tab w:val="left" w:pos="2880" w:leader="none"/>
        </w:tabs>
        <w:ind w:start="1440"/>
        <w:jc w:val="both"/>
        <w:rPr/>
      </w:pPr>
      <w:r>
        <w:rPr>
          <w:rStyle w:val="Numatytasispastraiposriftas"/>
          <w:rFonts w:cs="Arial" w:ascii="Arial" w:hAnsi="Arial"/>
          <w:sz w:val="22"/>
          <w:szCs w:val="22"/>
        </w:rPr>
        <w:t>oro arba jūros uosto valdymu, nuosavybe arba bet kokia veikla jų teritorijoje;</w:t>
      </w:r>
    </w:p>
    <w:p>
      <w:pPr>
        <w:pStyle w:val="Normal"/>
        <w:numPr>
          <w:ilvl w:val="1"/>
          <w:numId w:val="9"/>
        </w:numPr>
        <w:jc w:val="both"/>
        <w:rPr/>
      </w:pPr>
      <w:r>
        <w:rPr>
          <w:rStyle w:val="Numatytasispastraiposriftas"/>
          <w:rFonts w:cs="Arial" w:ascii="Arial" w:hAnsi="Arial"/>
          <w:sz w:val="22"/>
          <w:szCs w:val="22"/>
        </w:rPr>
        <w:t>susijusią su motorinės transporto priemonės, kurios valdytojo civilinę atsakomybę galima apdrausti privalomuoju transporto priemonės valdytojo civilinės atsakomybės draudimu, naudojimu kelių eisme. Tačiau apdrausta atsakomybė dėl žalos transporto priemonei, jos pakrovimo, iškrovimo ar kitos operacijos vykdymo metu, su sąlyga, kad ji žalos padarymo metu nebuvo Draudėjo valdoma;</w:t>
      </w:r>
    </w:p>
    <w:p>
      <w:pPr>
        <w:pStyle w:val="Normal"/>
        <w:numPr>
          <w:ilvl w:val="1"/>
          <w:numId w:val="9"/>
        </w:numPr>
        <w:jc w:val="both"/>
        <w:rPr/>
      </w:pPr>
      <w:r>
        <w:rPr>
          <w:rStyle w:val="Numatytasispastraiposriftas"/>
          <w:rFonts w:cs="Arial" w:ascii="Arial" w:hAnsi="Arial"/>
          <w:sz w:val="22"/>
          <w:szCs w:val="22"/>
        </w:rPr>
        <w:t>susijusią su finansiniais nuostoliais, kurie kilo ne kaip žalos trečiajam asmeniui, dėl jo kūno sužalojimo (įskaitant mirtį) arba materialaus turto sunaikinimo (sugadinimo), pasekmė;</w:t>
      </w:r>
    </w:p>
    <w:p>
      <w:pPr>
        <w:pStyle w:val="Normal"/>
        <w:numPr>
          <w:ilvl w:val="1"/>
          <w:numId w:val="9"/>
        </w:numPr>
        <w:jc w:val="both"/>
        <w:rPr/>
      </w:pPr>
      <w:r>
        <w:rPr>
          <w:rStyle w:val="Numatytasispastraiposriftas"/>
          <w:rFonts w:cs="Arial" w:ascii="Arial" w:hAnsi="Arial"/>
          <w:sz w:val="22"/>
          <w:szCs w:val="22"/>
        </w:rPr>
        <w:t>padarytą trečiojo asmens turtui Draudėjo tyčine veika, išskyrus kai tyčinė veika atliekama siekiant apsaugoti turtą ir / ar sveikatą (gyvybę);</w:t>
      </w:r>
    </w:p>
    <w:p>
      <w:pPr>
        <w:pStyle w:val="Normal"/>
        <w:numPr>
          <w:ilvl w:val="1"/>
          <w:numId w:val="9"/>
        </w:numPr>
        <w:jc w:val="both"/>
        <w:rPr/>
      </w:pPr>
      <w:r>
        <w:rPr>
          <w:rStyle w:val="Numatytasispastraiposriftas"/>
          <w:rFonts w:cs="Arial" w:ascii="Arial" w:hAnsi="Arial"/>
          <w:sz w:val="22"/>
          <w:szCs w:val="22"/>
        </w:rPr>
        <w:t>kilusią dėl ilgalaikio (tęstinio) temperatūros, dujų, garų, dūmų, suodžių, drėgmės ar kritulių poveikio, grunto suslūgimo ar nuošliaužos, potvynio ar užpylimo kilusio dėl lietaus ar sniego (ledo) tirpsmo vandens;</w:t>
      </w:r>
    </w:p>
    <w:p>
      <w:pPr>
        <w:pStyle w:val="Normal"/>
        <w:numPr>
          <w:ilvl w:val="1"/>
          <w:numId w:val="9"/>
        </w:numPr>
        <w:jc w:val="both"/>
        <w:rPr/>
      </w:pPr>
      <w:r>
        <w:rPr>
          <w:rStyle w:val="Numatytasispastraiposriftas"/>
          <w:rFonts w:cs="Arial" w:ascii="Arial" w:hAnsi="Arial"/>
          <w:sz w:val="22"/>
          <w:szCs w:val="22"/>
        </w:rPr>
        <w:t>kilusią dėl sprogmenų, fejerverkų gamybos, valdymo, saugojimo;</w:t>
      </w:r>
    </w:p>
    <w:p>
      <w:pPr>
        <w:pStyle w:val="Normal"/>
        <w:numPr>
          <w:ilvl w:val="1"/>
          <w:numId w:val="9"/>
        </w:numPr>
        <w:jc w:val="both"/>
        <w:rPr/>
      </w:pPr>
      <w:r>
        <w:rPr>
          <w:rStyle w:val="Numatytasispastraiposriftas"/>
          <w:rFonts w:cs="Arial" w:ascii="Arial" w:hAnsi="Arial"/>
          <w:sz w:val="22"/>
          <w:szCs w:val="22"/>
        </w:rPr>
        <w:t>kilusią dėl asmens įžeidimo, garbės ir orumo žeminimo, teisės į privatų gyvenimą ir jo slaptumą pažeidimo;</w:t>
      </w:r>
    </w:p>
    <w:p>
      <w:pPr>
        <w:pStyle w:val="Normal"/>
        <w:numPr>
          <w:ilvl w:val="1"/>
          <w:numId w:val="9"/>
        </w:numPr>
        <w:jc w:val="both"/>
        <w:rPr/>
      </w:pPr>
      <w:r>
        <w:rPr>
          <w:rStyle w:val="Numatytasispastraiposriftas"/>
          <w:rFonts w:cs="Arial" w:ascii="Arial" w:hAnsi="Arial"/>
          <w:sz w:val="22"/>
          <w:szCs w:val="22"/>
        </w:rPr>
        <w:t>tiesiogiai sąlygotos, padarytos dėl bet kokios formos ir kiekio silicio dioksido nurijimo, įkvėpimo, absorbcijos ar buvimo silicio dioksido poveikyje;</w:t>
      </w:r>
    </w:p>
    <w:p>
      <w:pPr>
        <w:pStyle w:val="Normal"/>
        <w:numPr>
          <w:ilvl w:val="1"/>
          <w:numId w:val="9"/>
        </w:numPr>
        <w:jc w:val="both"/>
        <w:rPr/>
      </w:pPr>
      <w:r>
        <w:rPr>
          <w:rStyle w:val="Numatytasispastraiposriftas"/>
          <w:rFonts w:cs="Arial" w:ascii="Arial" w:hAnsi="Arial"/>
          <w:sz w:val="22"/>
          <w:szCs w:val="22"/>
        </w:rPr>
        <w:t>tiesiogiai sąlygotos, padarytos, kylančios dėl bet kokių „grybelių“ ir / ar „sporų“ buvimo, įkvėpimo ar buvimo jų poveikyje, taip pat kaštams ar išlaidoms, bet kokiu būdu susijusioms ar kylančioms iš panaikinimo, sušvelninimo, pašalinimo, sulaikymo, detoksikacijos, neutralizacijos, stebėsenos, kontroliavimo, atsikratymo, ar bet kokio įsipareigojimo ištirti ar įvertinti bet kokių „grybeli“ ir / ar „sporų“ buvimą ar efektą;</w:t>
      </w:r>
    </w:p>
    <w:p>
      <w:pPr>
        <w:pStyle w:val="Normal"/>
        <w:tabs>
          <w:tab w:val="clear" w:pos="709"/>
        </w:tabs>
        <w:ind w:start="1080"/>
        <w:jc w:val="both"/>
        <w:rPr/>
      </w:pPr>
      <w:r>
        <w:rPr>
          <w:rStyle w:val="Numatytasispastraiposriftas"/>
          <w:rFonts w:cs="Arial" w:ascii="Arial" w:hAnsi="Arial"/>
          <w:sz w:val="22"/>
          <w:szCs w:val="22"/>
        </w:rPr>
        <w:t>Sąvoka „Grybeliai“ apima, bet neapsiriboja, bet kokios formos ar tipo pelėsius, grybus, mieles, ar bioteršalus;</w:t>
      </w:r>
    </w:p>
    <w:p>
      <w:pPr>
        <w:pStyle w:val="Normal"/>
        <w:tabs>
          <w:tab w:val="clear" w:pos="709"/>
        </w:tabs>
        <w:ind w:start="1080"/>
        <w:jc w:val="both"/>
        <w:rPr/>
      </w:pPr>
      <w:r>
        <w:rPr>
          <w:rStyle w:val="Numatytasispastraiposriftas"/>
          <w:rFonts w:cs="Arial" w:ascii="Arial" w:hAnsi="Arial"/>
          <w:sz w:val="22"/>
          <w:szCs w:val="22"/>
        </w:rPr>
        <w:t>Sąvoka „Sporos“ apima, bet neapsiriboja, bet kokią medžiagą, atsirandančią, kylančią iš bet kokių „grybelių“;</w:t>
      </w:r>
    </w:p>
    <w:p>
      <w:pPr>
        <w:pStyle w:val="Normal"/>
        <w:numPr>
          <w:ilvl w:val="1"/>
          <w:numId w:val="9"/>
        </w:numPr>
        <w:jc w:val="both"/>
        <w:rPr/>
      </w:pPr>
      <w:r>
        <w:rPr>
          <w:rStyle w:val="Numatytasispastraiposriftas"/>
          <w:rFonts w:cs="Arial" w:ascii="Arial" w:hAnsi="Arial"/>
          <w:sz w:val="22"/>
          <w:szCs w:val="22"/>
        </w:rPr>
        <w:t>tiesiogiai ir / ar netiesiogiai sukeltą, susijusią arba atsiradusią dėl genetiškai modifikuoto komponento, bet kokio išvesto baltymo arba bet kokio produkto, savo sudėtyje turinčio tokį komponentą ar baltymą;</w:t>
      </w:r>
    </w:p>
    <w:p>
      <w:pPr>
        <w:pStyle w:val="Normal"/>
        <w:numPr>
          <w:ilvl w:val="1"/>
          <w:numId w:val="9"/>
        </w:numPr>
        <w:jc w:val="both"/>
        <w:rPr/>
      </w:pPr>
      <w:r>
        <w:rPr>
          <w:rStyle w:val="Numatytasispastraiposriftas"/>
          <w:rFonts w:cs="Arial" w:ascii="Arial" w:hAnsi="Arial"/>
          <w:sz w:val="22"/>
          <w:szCs w:val="22"/>
        </w:rPr>
        <w:t>tiesiogiai ir / ar netiesiogiai padarytą dokumentams, programinei įrangai, duomenims, neatsižvelgiant į jų išraiškos būdą ar formą, tačiau išlaidos, reikalingos dokumentų, programinės įrangos, duomenų atstatymui, perrašymui, atkūrimui, nepriklausomai nuo jų išraiškos būdo ar formos, yra atlyginamos;</w:t>
      </w:r>
    </w:p>
    <w:p>
      <w:pPr>
        <w:pStyle w:val="Normal"/>
        <w:numPr>
          <w:ilvl w:val="1"/>
          <w:numId w:val="9"/>
        </w:numPr>
        <w:jc w:val="both"/>
        <w:rPr/>
      </w:pPr>
      <w:r>
        <w:rPr>
          <w:rStyle w:val="Numatytasispastraiposriftas"/>
          <w:rFonts w:cs="Arial" w:ascii="Arial" w:hAnsi="Arial"/>
          <w:sz w:val="22"/>
          <w:szCs w:val="22"/>
        </w:rPr>
        <w:t>tiesiogiai sukeltą dėl užkrečiamų ligų;</w:t>
      </w:r>
    </w:p>
    <w:p>
      <w:pPr>
        <w:pStyle w:val="Normal"/>
        <w:numPr>
          <w:ilvl w:val="1"/>
          <w:numId w:val="9"/>
        </w:numPr>
        <w:jc w:val="both"/>
        <w:rPr/>
      </w:pPr>
      <w:r>
        <w:rPr>
          <w:rStyle w:val="Numatytasispastraiposriftas"/>
          <w:rFonts w:cs="Arial" w:ascii="Arial" w:hAnsi="Arial"/>
          <w:sz w:val="22"/>
          <w:szCs w:val="22"/>
        </w:rPr>
        <w:t>aplinkai, kai žalos priežastis yra lėtas ar laipsniškas procesas, pasikartojantys įvykiai, tęstinis veiksmas (veikimas ar neveikimas); šio punkto prasme, pasikartojantys įvykiai suprantami kaip įvykiai, kilę dėl tos pačios priežasties ir toje pačioje vietoje, kai vėlesnio įvykio priežastis yra remonto, priežiūros, patikrinimo darbų, likviduojant pirmojo įvykio priežastis, atlikimas pažeidžiant (nesilaikant) privalomų techninių normų, taisyklių, tvarkų ar kitų panašaus pobūdžio aktų; tęstinis veiksmas – veikimas arba neveikimas, kuris vyksta kiekvieną dieną (Draudėjas neatlieka veiksmų, kuriuos privalo atlikti, ar atlieka veiksmus, kurių neturi teisės atlikti, ar nenutraukia kitokio pažeidimo);</w:t>
      </w:r>
    </w:p>
    <w:p>
      <w:pPr>
        <w:pStyle w:val="Normal"/>
        <w:numPr>
          <w:ilvl w:val="1"/>
          <w:numId w:val="9"/>
        </w:numPr>
        <w:jc w:val="both"/>
        <w:rPr/>
      </w:pPr>
      <w:r>
        <w:rPr>
          <w:rStyle w:val="Numatytasispastraiposriftas"/>
          <w:rFonts w:cs="Arial" w:ascii="Arial" w:hAnsi="Arial"/>
          <w:sz w:val="22"/>
          <w:szCs w:val="22"/>
        </w:rPr>
        <w:t>kilusią dėl ar bet kokiu būdu susijusią su apdrausto produkto nepatiekimu;</w:t>
      </w:r>
    </w:p>
    <w:p>
      <w:pPr>
        <w:pStyle w:val="Normal"/>
        <w:numPr>
          <w:ilvl w:val="1"/>
          <w:numId w:val="9"/>
        </w:numPr>
        <w:jc w:val="both"/>
        <w:rPr/>
      </w:pPr>
      <w:r>
        <w:rPr>
          <w:rStyle w:val="Numatytasispastraiposriftas"/>
          <w:rFonts w:cs="Arial" w:ascii="Arial" w:hAnsi="Arial"/>
          <w:sz w:val="22"/>
          <w:szCs w:val="22"/>
        </w:rPr>
        <w:t>draudimas netaikomas:</w:t>
      </w:r>
    </w:p>
    <w:p>
      <w:pPr>
        <w:pStyle w:val="Normal"/>
        <w:numPr>
          <w:ilvl w:val="1"/>
          <w:numId w:val="11"/>
        </w:numPr>
        <w:jc w:val="both"/>
        <w:rPr/>
      </w:pPr>
      <w:r>
        <w:rPr>
          <w:rStyle w:val="Numatytasispastraiposriftas"/>
          <w:rFonts w:cs="Arial" w:ascii="Arial" w:hAnsi="Arial"/>
          <w:sz w:val="22"/>
          <w:szCs w:val="22"/>
        </w:rPr>
        <w:t>Draudėjo atsakomybei dėl sutartyse ir įstatymuose numatytų baudų, nuobaudų, netesybų arba kitų panašaus pobūdžio sankcijų;</w:t>
      </w:r>
    </w:p>
    <w:p>
      <w:pPr>
        <w:pStyle w:val="Normal"/>
        <w:numPr>
          <w:ilvl w:val="1"/>
          <w:numId w:val="11"/>
        </w:numPr>
        <w:jc w:val="both"/>
        <w:rPr/>
      </w:pPr>
      <w:r>
        <w:rPr>
          <w:rStyle w:val="Numatytasispastraiposriftas"/>
          <w:rFonts w:cs="Arial" w:ascii="Arial" w:hAnsi="Arial"/>
          <w:sz w:val="22"/>
          <w:szCs w:val="22"/>
        </w:rPr>
        <w:t>paties Draudėjo patirtiems nuostoliams arba išlaidoms patirtoms taisant veiklos rezultatą arba iš naujo atliekant blogai padarytą darbą.</w:t>
      </w:r>
    </w:p>
    <w:p>
      <w:pPr>
        <w:pStyle w:val="Normal"/>
        <w:jc w:val="both"/>
        <w:rPr>
          <w:rFonts w:ascii="Arial" w:hAnsi="Arial" w:cs="Arial"/>
          <w:sz w:val="22"/>
          <w:szCs w:val="22"/>
        </w:rPr>
      </w:pPr>
      <w:r>
        <w:rPr>
          <w:rFonts w:cs="Arial" w:ascii="Arial" w:hAnsi="Arial"/>
          <w:sz w:val="22"/>
          <w:szCs w:val="22"/>
        </w:rPr>
      </w:r>
    </w:p>
    <w:p>
      <w:pPr>
        <w:pStyle w:val="Normal"/>
        <w:rPr/>
      </w:pPr>
      <w:r>
        <w:rPr>
          <w:rStyle w:val="Numatytasispastraiposriftas"/>
          <w:rFonts w:cs="Arial" w:ascii="Arial" w:hAnsi="Arial"/>
          <w:b/>
          <w:sz w:val="22"/>
          <w:szCs w:val="22"/>
          <w:u w:val="single"/>
        </w:rPr>
        <w:t>Visais atvejais taip pat nedraudžiama Draudėjo atsakomybė už žalą:</w:t>
      </w:r>
    </w:p>
    <w:p>
      <w:pPr>
        <w:pStyle w:val="Normal"/>
        <w:jc w:val="both"/>
        <w:rPr>
          <w:rFonts w:ascii="Arial" w:hAnsi="Arial" w:cs="Arial"/>
          <w:sz w:val="22"/>
          <w:szCs w:val="22"/>
        </w:rPr>
      </w:pPr>
      <w:r>
        <w:rPr>
          <w:rFonts w:cs="Arial" w:ascii="Arial" w:hAnsi="Arial"/>
          <w:sz w:val="22"/>
          <w:szCs w:val="22"/>
        </w:rPr>
      </w:r>
    </w:p>
    <w:p>
      <w:pPr>
        <w:pStyle w:val="Normal"/>
        <w:numPr>
          <w:ilvl w:val="0"/>
          <w:numId w:val="22"/>
        </w:numPr>
        <w:jc w:val="both"/>
        <w:rPr/>
      </w:pPr>
      <w:r>
        <w:rPr>
          <w:rStyle w:val="Numatytasispastraiposriftas"/>
          <w:rFonts w:cs="Arial" w:ascii="Arial" w:hAnsi="Arial"/>
          <w:sz w:val="22"/>
          <w:szCs w:val="22"/>
        </w:rPr>
        <w:t>kilusią dėl ilgalaikio oro, vandens, dirvožemio užteršimo poveikio; radioaktyvaus užteršimo;</w:t>
      </w:r>
    </w:p>
    <w:p>
      <w:pPr>
        <w:pStyle w:val="Normal"/>
        <w:numPr>
          <w:ilvl w:val="0"/>
          <w:numId w:val="12"/>
        </w:numPr>
        <w:jc w:val="both"/>
        <w:rPr/>
      </w:pPr>
      <w:r>
        <w:rPr>
          <w:rStyle w:val="Numatytasispastraiposriftas"/>
          <w:rFonts w:cs="Arial" w:ascii="Arial" w:hAnsi="Arial"/>
          <w:sz w:val="22"/>
          <w:szCs w:val="22"/>
        </w:rPr>
        <w:t>tiesiogiai ir / arba netiesiogiai sukeltą, susijusią arba atsiradusią dėl ilgalaikio karbamido formaldehidinių dervų, dioksinų, polichlorinto bifenilo (PCB) ir kitų ilgalaikių organinių teršalų poveikio;</w:t>
      </w:r>
    </w:p>
    <w:p>
      <w:pPr>
        <w:pStyle w:val="Normal"/>
        <w:numPr>
          <w:ilvl w:val="0"/>
          <w:numId w:val="12"/>
        </w:numPr>
        <w:jc w:val="both"/>
        <w:rPr/>
      </w:pPr>
      <w:r>
        <w:rPr>
          <w:rStyle w:val="Numatytasispastraiposriftas"/>
          <w:rFonts w:cs="Arial" w:ascii="Arial" w:hAnsi="Arial"/>
          <w:sz w:val="22"/>
          <w:szCs w:val="22"/>
        </w:rPr>
        <w:t>padarytą Draudėjui ar jo šeimos nariams, taip pat asmenims ir jų šeimos nariams, kurie valdo Draudėjo akcijas, suteikiančias daugiau negu 50% juridinio asmens balsavimo teisių;</w:t>
      </w:r>
    </w:p>
    <w:p>
      <w:pPr>
        <w:pStyle w:val="Normal"/>
        <w:numPr>
          <w:ilvl w:val="0"/>
          <w:numId w:val="12"/>
        </w:numPr>
        <w:jc w:val="both"/>
        <w:rPr/>
      </w:pPr>
      <w:r>
        <w:rPr>
          <w:rStyle w:val="Numatytasispastraiposriftas"/>
          <w:rFonts w:cs="Arial" w:ascii="Arial" w:hAnsi="Arial"/>
          <w:sz w:val="22"/>
          <w:szCs w:val="22"/>
        </w:rPr>
        <w:t>tiesiogiai ir / ar netiesiogiai sukeltą ir / ar atsiradusią dėl asbesto, asbesto dulkių ir / ar asbesto turinčių savo sudėtyje medžiagų;</w:t>
      </w:r>
    </w:p>
    <w:p>
      <w:pPr>
        <w:pStyle w:val="Normal"/>
        <w:numPr>
          <w:ilvl w:val="0"/>
          <w:numId w:val="12"/>
        </w:numPr>
        <w:jc w:val="both"/>
        <w:rPr/>
      </w:pPr>
      <w:r>
        <w:rPr>
          <w:rStyle w:val="Numatytasispastraiposriftas"/>
          <w:rFonts w:cs="Arial" w:ascii="Arial" w:hAnsi="Arial"/>
          <w:sz w:val="22"/>
          <w:szCs w:val="22"/>
        </w:rPr>
        <w:t>tiesiogiai atsiradusią dėl pernešamos (užkrečiamos) spongiforminės encefalopatijos (TSE), įskaitant, bet neapsiribojant spongiformine galvijų encefalopatija (BSE) ar nauja Jakobo-Kreutzfeld ligos atmaina;</w:t>
      </w:r>
    </w:p>
    <w:p>
      <w:pPr>
        <w:pStyle w:val="Normal"/>
        <w:numPr>
          <w:ilvl w:val="0"/>
          <w:numId w:val="12"/>
        </w:numPr>
        <w:jc w:val="both"/>
        <w:rPr/>
      </w:pPr>
      <w:r>
        <w:rPr>
          <w:rStyle w:val="Numatytasispastraiposriftas"/>
          <w:rFonts w:cs="Arial" w:ascii="Arial" w:hAnsi="Arial"/>
          <w:sz w:val="22"/>
          <w:szCs w:val="22"/>
        </w:rPr>
        <w:t>tiesiogiai atsiradusią dėl DES (dietilstibestrolio ar jo darinių) kontraceptinių preparatų aktyvaus ir pasyvaus vartojimo ar naudojimo;</w:t>
      </w:r>
    </w:p>
    <w:p>
      <w:pPr>
        <w:pStyle w:val="Normal"/>
        <w:numPr>
          <w:ilvl w:val="0"/>
          <w:numId w:val="12"/>
        </w:numPr>
        <w:jc w:val="both"/>
        <w:rPr/>
      </w:pPr>
      <w:r>
        <w:rPr>
          <w:rStyle w:val="Numatytasispastraiposriftas"/>
          <w:rFonts w:cs="Arial" w:ascii="Arial" w:hAnsi="Arial"/>
          <w:sz w:val="22"/>
          <w:szCs w:val="22"/>
        </w:rPr>
        <w:t>tiesiogiai atsiradusią dėl žmogaus imunodeficito viruso (ŽIV) arba šio viruso mutavusių derivantų ir / arba atmainų, taip pat tiesiogiai atsiradusią dėl būklės, bet kokiu būdu susijusios su įgytu imunodeficito sindromu (AIDS) ar kitu panašaus pobūdžio sindromu;</w:t>
      </w:r>
    </w:p>
    <w:p>
      <w:pPr>
        <w:pStyle w:val="Normal"/>
        <w:numPr>
          <w:ilvl w:val="0"/>
          <w:numId w:val="12"/>
        </w:numPr>
        <w:jc w:val="both"/>
        <w:rPr/>
      </w:pPr>
      <w:r>
        <w:rPr>
          <w:rStyle w:val="Numatytasispastraiposriftas"/>
          <w:rFonts w:cs="Arial" w:ascii="Arial" w:hAnsi="Arial"/>
          <w:sz w:val="22"/>
          <w:szCs w:val="22"/>
        </w:rPr>
        <w:t>tiesiogiai ir / ar netiesiogiai sukeltą, susijusią arba atsiradusią dėl genetiškai modifikuoto komponento, bet kokio išvesto baltymo arba bet kokio produkto, savo sudėtyje turinčio tokį komponentą ar baltymą;</w:t>
      </w:r>
    </w:p>
    <w:p>
      <w:pPr>
        <w:pStyle w:val="Normal"/>
        <w:numPr>
          <w:ilvl w:val="0"/>
          <w:numId w:val="12"/>
        </w:numPr>
        <w:jc w:val="both"/>
        <w:rPr/>
      </w:pPr>
      <w:r>
        <w:rPr>
          <w:rStyle w:val="Numatytasispastraiposriftas"/>
          <w:rFonts w:cs="Arial" w:ascii="Arial" w:hAnsi="Arial"/>
          <w:sz w:val="22"/>
          <w:szCs w:val="22"/>
          <w:lang w:eastAsia="lt-LT"/>
        </w:rPr>
        <w:t>tiesiogiai ir / ar netiesiogiai sukeltą, susijusią arba atsiradusią dėl elektromagnetinio lauko (EMF) ir / ar bet kokio pobūdžio elektromagnetinės radiacijos (EMR), įskaitant, bet neapsiribojant mobiliųjų telefonų, elektros linijų arba bet kokio pobūdžio elektros prietaisų skleidžiamo EMF/EMR poveikio;</w:t>
      </w:r>
    </w:p>
    <w:p>
      <w:pPr>
        <w:pStyle w:val="Normal"/>
        <w:numPr>
          <w:ilvl w:val="0"/>
          <w:numId w:val="12"/>
        </w:numPr>
        <w:jc w:val="both"/>
        <w:rPr/>
      </w:pPr>
      <w:r>
        <w:rPr>
          <w:rStyle w:val="Numatytasispastraiposriftas"/>
          <w:rFonts w:cs="Arial" w:ascii="Arial" w:hAnsi="Arial"/>
          <w:sz w:val="22"/>
          <w:szCs w:val="22"/>
        </w:rPr>
        <w:t>atsiradusią tiesiogiai dėl tabako produktų aktyvaus ar pasyvaus vartojimo ar naudojimo;</w:t>
      </w:r>
    </w:p>
    <w:p>
      <w:pPr>
        <w:pStyle w:val="Normal"/>
        <w:numPr>
          <w:ilvl w:val="0"/>
          <w:numId w:val="12"/>
        </w:numPr>
        <w:jc w:val="both"/>
        <w:rPr/>
      </w:pPr>
      <w:r>
        <w:rPr>
          <w:rStyle w:val="Numatytasispastraiposriftas"/>
          <w:rFonts w:cs="Arial" w:ascii="Arial" w:hAnsi="Arial"/>
          <w:sz w:val="22"/>
          <w:szCs w:val="22"/>
        </w:rPr>
        <w:t>tiesiogiai ar netiesiogiai susijusią su terorizmu ar (ir) apribojimais bei terorizmo prevencinėmis priemonėmis (įskaitant, bet neapsiribojant, eismo apribojimą ar sustabdymą, papildomą kontrolę, tam tikrų gaminių transportavimo uždraudimą). Sąvoka „terorizmas“ reiškia asmens ar asmenų grupės (-ių), veikiančių savarankiškai ar kokios nors organizacijos vardu / užsakymu, bet kokį neteisėtą veiksmą arba neveikimą, įskaitant, bet neapsiribojant, jėgos ar smurto panaudojimą, kėsinantis į žmonių sveikatą ir (arba) gyvybę, taip pat turtą, turtinius interesus ir (arba) teises, įvykdytą dėl politinių, religinių ar ideologinių priežasčių, įskaitant, bet neapsiribojant, ketinimą daryti įtaką bet kokiai valdžiai ir (ar) sukelti visuomenėje baimę dėl minėtų priežasčių;</w:t>
      </w:r>
    </w:p>
    <w:p>
      <w:pPr>
        <w:pStyle w:val="Normal"/>
        <w:numPr>
          <w:ilvl w:val="0"/>
          <w:numId w:val="12"/>
        </w:numPr>
        <w:jc w:val="both"/>
        <w:rPr/>
      </w:pPr>
      <w:r>
        <w:rPr>
          <w:rStyle w:val="Numatytasispastraiposriftas"/>
          <w:rFonts w:cs="Arial" w:ascii="Arial" w:hAnsi="Arial"/>
          <w:sz w:val="22"/>
          <w:szCs w:val="22"/>
        </w:rPr>
        <w:t>tiesiogiai ar netiesiogiai atsiradusią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p>
      <w:pPr>
        <w:pStyle w:val="Normal"/>
        <w:numPr>
          <w:ilvl w:val="0"/>
          <w:numId w:val="12"/>
        </w:numPr>
        <w:jc w:val="both"/>
        <w:rPr/>
      </w:pPr>
      <w:r>
        <w:rPr>
          <w:rStyle w:val="Numatytasispastraiposriftas"/>
          <w:rFonts w:cs="Arial" w:ascii="Arial" w:hAnsi="Arial"/>
          <w:sz w:val="22"/>
          <w:szCs w:val="22"/>
        </w:rPr>
        <w:t>atsiradusią dėl neteisėto trečiųjų asmenų ar/ir neteisingo (netinkamo) duomenų ar elektroninio duomenų apdorojimo priemonių bei programų naudojimo, kompiuterinių ar/ir kibernetinių atakų,  sutrikdant duomenų srautus, pakeičiant ar papildant duomenis Draudėjo elektroninio duomenų apdorojimo sistemoje. Duomenų apdorojimo sistema – kompiuteriai (elektroninės skaičiavimo mašinos), kitokia skaičiavimo, elektroninė ir/ar mechaninė įranga, kuri yra prijungta prie kompiuterio, kompiuterio aparatinė dalis, programinė įranga, elektroniniai duomenų apdorojimo įrenginiai ir visa kita, kieno darbas visiškai ar iš dalies priklauso nuo integruotų schemų bei mikrokontrolerių;</w:t>
      </w:r>
    </w:p>
    <w:p>
      <w:pPr>
        <w:pStyle w:val="Normal"/>
        <w:numPr>
          <w:ilvl w:val="0"/>
          <w:numId w:val="12"/>
        </w:numPr>
        <w:jc w:val="both"/>
        <w:rPr/>
      </w:pPr>
      <w:r>
        <w:rPr>
          <w:rStyle w:val="Numatytasispastraiposriftas"/>
          <w:rFonts w:cs="Arial" w:ascii="Arial" w:hAnsi="Arial"/>
          <w:sz w:val="22"/>
          <w:szCs w:val="22"/>
        </w:rPr>
        <w:t>neatlyginami administracinio, baudžiamojo pobūdžio reikalavimai bei reikalavimai, kai jie turi:</w:t>
      </w:r>
    </w:p>
    <w:p>
      <w:pPr>
        <w:pStyle w:val="Normal"/>
        <w:numPr>
          <w:ilvl w:val="0"/>
          <w:numId w:val="13"/>
        </w:numPr>
        <w:jc w:val="both"/>
        <w:rPr/>
      </w:pPr>
      <w:r>
        <w:rPr>
          <w:rStyle w:val="Numatytasispastraiposriftas"/>
          <w:rFonts w:cs="Arial" w:ascii="Arial" w:hAnsi="Arial"/>
          <w:sz w:val="22"/>
          <w:szCs w:val="22"/>
        </w:rPr>
        <w:t>baudų ar baudinių požymių (angl. kalba – punitive, exemplary damages) ir / ar;</w:t>
      </w:r>
    </w:p>
    <w:p>
      <w:pPr>
        <w:pStyle w:val="Normal"/>
        <w:numPr>
          <w:ilvl w:val="0"/>
          <w:numId w:val="13"/>
        </w:numPr>
        <w:jc w:val="both"/>
        <w:rPr/>
      </w:pPr>
      <w:r>
        <w:rPr>
          <w:rStyle w:val="Numatytasispastraiposriftas"/>
          <w:rFonts w:cs="Arial" w:ascii="Arial" w:hAnsi="Arial"/>
          <w:sz w:val="22"/>
          <w:szCs w:val="22"/>
        </w:rPr>
        <w:t>požymių, kuriais siekiama mokomųjų, šviečiamųjų ar aiškinamųjų tikslų tiek visuomenei, tiek Draudėjui ir yra išreiškiami mokėtinomis pinigų sumomis ir / ar;</w:t>
      </w:r>
    </w:p>
    <w:p>
      <w:pPr>
        <w:pStyle w:val="Normal"/>
        <w:numPr>
          <w:ilvl w:val="0"/>
          <w:numId w:val="13"/>
        </w:numPr>
        <w:jc w:val="both"/>
        <w:rPr/>
      </w:pPr>
      <w:r>
        <w:rPr>
          <w:rStyle w:val="Numatytasispastraiposriftas"/>
          <w:rFonts w:cs="Arial" w:ascii="Arial" w:hAnsi="Arial"/>
          <w:sz w:val="22"/>
          <w:szCs w:val="22"/>
        </w:rPr>
        <w:t>kai reikalaujama ne su išmokos mokėjimo terminu susijusių baudų, palūkanų delspinigių.</w:t>
      </w:r>
    </w:p>
    <w:p>
      <w:pPr>
        <w:pStyle w:val="Normal"/>
        <w:numPr>
          <w:ilvl w:val="0"/>
          <w:numId w:val="12"/>
        </w:numPr>
        <w:jc w:val="both"/>
        <w:rPr/>
      </w:pPr>
      <w:r>
        <w:rPr>
          <w:rStyle w:val="Numatytasispastraiposriftas"/>
          <w:rFonts w:cs="Arial" w:ascii="Arial" w:hAnsi="Arial"/>
          <w:sz w:val="22"/>
          <w:szCs w:val="22"/>
        </w:rPr>
        <w:t>visoms rizikoms, kurių draudimas neatitinka ar tampa nesuderinamas su Jungtinių Tautų, Europos Sąjungos ar JAV taikomais prekybos apribojimais, draudimais arba sankcijomis, draudimo apsauga nustoja galioti nuo dienos, kai įsigalioja minėti apribojimai, draudimai arba sankcijos. Tuo atveju, jeigu įvestos Jungtinių Tautų, Europos Sąjungos ar JAV sankcijos toliau tiesiogiai ar netiesiogiai trukdys draudikui teikti draudimo paslaugas pagal šią sutartį, draudikas turi teisę nutraukti šią sutartį raštu pranešęs kitai šaliai. Sutartis nutraukiama po 14 dienų nuo tos dienos, kai kita šalis gauna pranešimą apie sutarties nutraukimą. Tuo atveju, kai pranešimo pristatyti neįmanoma (arba pranešimas nepasiekia adresato) dėl komunikacijos (susisiekimo) priemonių darbo sutrikimo, laikoma, kad pranešimas apie nutraukimą gautas tuomet, kai tik jis buvo išsiųstas arba buvo ketinama jį išsiųsti.</w:t>
      </w:r>
    </w:p>
    <w:p>
      <w:pPr>
        <w:pStyle w:val="Normal"/>
        <w:tabs>
          <w:tab w:val="clear" w:pos="709"/>
        </w:tabs>
        <w:ind w:start="1980"/>
        <w:rPr>
          <w:rFonts w:ascii="Arial" w:hAnsi="Arial" w:cs="Arial"/>
          <w:sz w:val="22"/>
          <w:szCs w:val="22"/>
        </w:rPr>
      </w:pPr>
      <w:r>
        <w:rPr>
          <w:rFonts w:cs="Arial" w:ascii="Arial" w:hAnsi="Arial"/>
          <w:sz w:val="22"/>
          <w:szCs w:val="22"/>
        </w:rPr>
      </w:r>
    </w:p>
    <w:p>
      <w:pPr>
        <w:pStyle w:val="Normal"/>
        <w:rPr/>
      </w:pPr>
      <w:r>
        <w:rPr>
          <w:rStyle w:val="Numatytasispastraiposriftas"/>
          <w:rFonts w:cs="Arial" w:ascii="Arial" w:hAnsi="Arial"/>
          <w:b/>
          <w:sz w:val="22"/>
          <w:szCs w:val="22"/>
          <w:u w:val="single"/>
        </w:rPr>
        <w:t>Atsakomybė už patikėtą turtą</w:t>
      </w:r>
    </w:p>
    <w:p>
      <w:pPr>
        <w:pStyle w:val="Normal"/>
        <w:rPr>
          <w:rFonts w:ascii="Arial" w:hAnsi="Arial" w:eastAsia="Batang" w:cs="Arial"/>
          <w:sz w:val="22"/>
          <w:szCs w:val="22"/>
          <w:lang w:eastAsia="ko-KR"/>
        </w:rPr>
      </w:pPr>
      <w:r>
        <w:rPr>
          <w:rFonts w:eastAsia="Batang" w:cs="Arial" w:ascii="Arial" w:hAnsi="Arial"/>
          <w:sz w:val="22"/>
          <w:szCs w:val="22"/>
          <w:lang w:eastAsia="ko-KR"/>
        </w:rPr>
      </w:r>
    </w:p>
    <w:p>
      <w:pPr>
        <w:pStyle w:val="Normal"/>
        <w:tabs>
          <w:tab w:val="left" w:pos="709" w:leader="none"/>
        </w:tabs>
        <w:rPr/>
      </w:pPr>
      <w:r>
        <w:rPr>
          <w:rStyle w:val="Numatytasispastraiposriftas"/>
          <w:rFonts w:eastAsia="Batang" w:cs="Arial" w:ascii="Arial" w:hAnsi="Arial"/>
          <w:sz w:val="22"/>
          <w:szCs w:val="22"/>
          <w:lang w:eastAsia="ko-KR"/>
        </w:rPr>
        <w:t>Draudimo objektu nelaikoma:</w:t>
      </w:r>
    </w:p>
    <w:p>
      <w:pPr>
        <w:pStyle w:val="Sraopastraipa"/>
        <w:numPr>
          <w:ilvl w:val="0"/>
          <w:numId w:val="23"/>
        </w:numPr>
        <w:jc w:val="both"/>
        <w:rPr/>
      </w:pPr>
      <w:r>
        <w:rPr>
          <w:rStyle w:val="Numatytasispastraiposriftas"/>
          <w:rFonts w:eastAsia="Batang" w:cs="Arial" w:ascii="Arial" w:hAnsi="Arial"/>
          <w:sz w:val="22"/>
          <w:szCs w:val="22"/>
          <w:lang w:val="lt-LT" w:eastAsia="ko-KR"/>
        </w:rPr>
        <w:t>atsakomybė dėl žalos turtui, esančiam pas Draudėją (toliau tekste – turtas), kurios priežastis – nusidėvėjimas, amortizacija ar kitas panašus veiksnys;</w:t>
      </w:r>
    </w:p>
    <w:p>
      <w:pPr>
        <w:pStyle w:val="Sraopastraipa"/>
        <w:numPr>
          <w:ilvl w:val="0"/>
          <w:numId w:val="14"/>
        </w:numPr>
        <w:jc w:val="both"/>
        <w:rPr/>
      </w:pPr>
      <w:r>
        <w:rPr>
          <w:rStyle w:val="Numatytasispastraiposriftas"/>
          <w:rFonts w:eastAsia="Batang" w:cs="Arial" w:ascii="Arial" w:hAnsi="Arial"/>
          <w:sz w:val="22"/>
          <w:szCs w:val="22"/>
          <w:lang w:val="lt-LT" w:eastAsia="ko-KR"/>
        </w:rPr>
        <w:t>atsakomybė dėl žalos turtui, Draudėjo padarytos vykdant kitą veiklą nei draudimo polise nurodyta apdrausta veikla;</w:t>
      </w:r>
    </w:p>
    <w:p>
      <w:pPr>
        <w:pStyle w:val="Sraopastraipa"/>
        <w:numPr>
          <w:ilvl w:val="0"/>
          <w:numId w:val="14"/>
        </w:numPr>
        <w:jc w:val="both"/>
        <w:rPr/>
      </w:pPr>
      <w:r>
        <w:rPr>
          <w:rStyle w:val="Numatytasispastraiposriftas"/>
          <w:rFonts w:eastAsia="Batang" w:cs="Arial" w:ascii="Arial" w:hAnsi="Arial"/>
          <w:sz w:val="22"/>
          <w:szCs w:val="22"/>
          <w:lang w:val="lt-LT" w:eastAsia="ko-KR"/>
        </w:rPr>
        <w:t>atsakomybė pagal Tarptautinę krovinių vežimo keliais sutarties konvenciją ir (ar) kitą panašų norminį aktą;</w:t>
      </w:r>
    </w:p>
    <w:p>
      <w:pPr>
        <w:pStyle w:val="Sraopastraipa"/>
        <w:numPr>
          <w:ilvl w:val="0"/>
          <w:numId w:val="14"/>
        </w:numPr>
        <w:jc w:val="both"/>
        <w:rPr/>
      </w:pPr>
      <w:r>
        <w:rPr>
          <w:rStyle w:val="Numatytasispastraiposriftas"/>
          <w:rFonts w:eastAsia="Batang" w:cs="Arial" w:ascii="Arial" w:hAnsi="Arial"/>
          <w:sz w:val="22"/>
          <w:szCs w:val="22"/>
          <w:lang w:val="lt-LT" w:eastAsia="ko-KR"/>
        </w:rPr>
        <w:t>atsakomybė dėl turto dingimo ar trūkumo, kai turto dingimo ar trūkumo priežasties negalima protingai paaiškinti arba nesant aiškių išorinių vagystės ar plėšimo pėdsakų;</w:t>
      </w:r>
    </w:p>
    <w:p>
      <w:pPr>
        <w:pStyle w:val="Sraopastraipa"/>
        <w:numPr>
          <w:ilvl w:val="0"/>
          <w:numId w:val="14"/>
        </w:numPr>
        <w:jc w:val="both"/>
        <w:rPr/>
      </w:pPr>
      <w:r>
        <w:rPr>
          <w:rStyle w:val="Numatytasispastraiposriftas"/>
          <w:rFonts w:eastAsia="Batang" w:cs="Arial" w:ascii="Arial" w:hAnsi="Arial"/>
          <w:sz w:val="22"/>
          <w:szCs w:val="22"/>
          <w:lang w:val="lt-LT" w:eastAsia="ko-KR"/>
        </w:rPr>
        <w:t>atsakomybė dėl grynųjų pinigų, vertybinių popierių, brangiųjų metalų (aukso, platinos, sidabro) luitų, šlicho, grynuolių, gamybinės ir laboratorinės paskirties pusfabrikačių bei dirbinių, deimantų, taip pat juvelyrinių ir kitų buitinių dirbinių iš aukso, sidabro, platinos ir platinos grupės metalų, brangakmenių, perlų bei jų laužo, meno kūrinių, antikvarinių daiktų, turinčių numizmatinę, sfragistinę, heraldinę ar filatelinę vertę, ordinų ir medalių, kolekcijų, rinkinių, komplektų ar kitokių darinių, turinčių meninę, istorinę ar kitokią kultūrinę vertę dingimo, visiško ar dalinio praradimo, sunaikinimo, pametimo, netekimo, netekimo galimybės naudotis.</w:t>
      </w:r>
    </w:p>
    <w:p>
      <w:pPr>
        <w:pStyle w:val="Normal"/>
        <w:jc w:val="both"/>
        <w:rPr>
          <w:rFonts w:ascii="Arial" w:hAnsi="Arial" w:eastAsia="Batang" w:cs="Arial"/>
          <w:sz w:val="22"/>
          <w:szCs w:val="22"/>
          <w:lang w:eastAsia="ko-KR"/>
        </w:rPr>
      </w:pPr>
      <w:r>
        <w:rPr>
          <w:rFonts w:eastAsia="Batang" w:cs="Arial" w:ascii="Arial" w:hAnsi="Arial"/>
          <w:sz w:val="22"/>
          <w:szCs w:val="22"/>
          <w:lang w:eastAsia="ko-KR"/>
        </w:rPr>
      </w:r>
    </w:p>
    <w:p>
      <w:pPr>
        <w:pStyle w:val="Heading2"/>
        <w:numPr>
          <w:ilvl w:val="3"/>
          <w:numId w:val="4"/>
        </w:numPr>
        <w:tabs>
          <w:tab w:val="clear" w:pos="709"/>
          <w:tab w:val="left" w:pos="-2373" w:leader="none"/>
        </w:tabs>
        <w:jc w:val="start"/>
        <w:outlineLvl w:val="9"/>
        <w:rPr/>
      </w:pPr>
      <w:bookmarkStart w:id="15" w:name="_Toc54690190"/>
      <w:r>
        <w:rPr>
          <w:rStyle w:val="Numatytasispastraiposriftas"/>
          <w:rFonts w:cs="Arial" w:ascii="Arial" w:hAnsi="Arial"/>
          <w:b/>
          <w:sz w:val="22"/>
          <w:szCs w:val="22"/>
        </w:rPr>
        <w:t>Draudimo apsaugos galiojimo teritorija</w:t>
      </w:r>
      <w:bookmarkEnd w:id="15"/>
    </w:p>
    <w:p>
      <w:pPr>
        <w:pStyle w:val="Normal"/>
        <w:rPr>
          <w:rFonts w:ascii="Arial" w:hAnsi="Arial" w:cs="Arial"/>
          <w:sz w:val="22"/>
          <w:szCs w:val="22"/>
        </w:rPr>
      </w:pPr>
      <w:r>
        <w:rPr>
          <w:rFonts w:cs="Arial" w:ascii="Arial" w:hAnsi="Arial"/>
          <w:sz w:val="22"/>
          <w:szCs w:val="22"/>
        </w:rPr>
      </w:r>
    </w:p>
    <w:tbl>
      <w:tblPr>
        <w:tblW w:w="9754" w:type="dxa"/>
        <w:jc w:val="start"/>
        <w:tblInd w:w="-113" w:type="dxa"/>
        <w:tblLayout w:type="fixed"/>
        <w:tblCellMar>
          <w:top w:w="0" w:type="dxa"/>
          <w:start w:w="108" w:type="dxa"/>
          <w:bottom w:w="0" w:type="dxa"/>
          <w:end w:w="108" w:type="dxa"/>
        </w:tblCellMar>
      </w:tblPr>
      <w:tblGrid>
        <w:gridCol w:w="648"/>
        <w:gridCol w:w="6297"/>
        <w:gridCol w:w="2809"/>
      </w:tblGrid>
      <w:tr>
        <w:trPr>
          <w:trHeight w:val="323" w:hRule="atLeast"/>
        </w:trPr>
        <w:tc>
          <w:tcPr>
            <w:tcW w:w="64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9"/>
              </w:tabs>
              <w:ind w:start="360"/>
              <w:rPr>
                <w:rFonts w:ascii="Arial" w:hAnsi="Arial" w:cs="Arial"/>
                <w:b/>
                <w:sz w:val="22"/>
                <w:szCs w:val="22"/>
              </w:rPr>
            </w:pPr>
            <w:r>
              <w:rPr>
                <w:rFonts w:cs="Arial" w:ascii="Arial" w:hAnsi="Arial"/>
                <w:b/>
                <w:sz w:val="22"/>
                <w:szCs w:val="22"/>
              </w:rPr>
            </w:r>
          </w:p>
        </w:tc>
        <w:tc>
          <w:tcPr>
            <w:tcW w:w="6297"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b/>
                <w:sz w:val="22"/>
                <w:szCs w:val="22"/>
              </w:rPr>
              <w:t>Perkamo objekto dalys</w:t>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b/>
                <w:sz w:val="22"/>
                <w:szCs w:val="22"/>
              </w:rPr>
              <w:t>Galiojimo teritorija</w:t>
            </w:r>
          </w:p>
        </w:tc>
      </w:tr>
      <w:tr>
        <w:trPr>
          <w:trHeight w:val="323" w:hRule="atLeast"/>
        </w:trPr>
        <w:tc>
          <w:tcPr>
            <w:tcW w:w="648"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1.</w:t>
            </w:r>
          </w:p>
        </w:tc>
        <w:tc>
          <w:tcPr>
            <w:tcW w:w="6297"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Veiklos ir produkto civilinės atsakomybės draudimas</w:t>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Lietuva</w:t>
            </w:r>
            <w:r>
              <w:rPr>
                <w:rStyle w:val="Numatytasispastraiposriftas"/>
                <w:rFonts w:cs="Arial" w:ascii="Arial" w:hAnsi="Arial"/>
                <w:sz w:val="22"/>
                <w:szCs w:val="22"/>
                <w:lang w:val="en-US"/>
              </w:rPr>
              <w:t>*</w:t>
            </w:r>
          </w:p>
        </w:tc>
      </w:tr>
      <w:tr>
        <w:trPr>
          <w:trHeight w:val="323" w:hRule="atLeast"/>
        </w:trPr>
        <w:tc>
          <w:tcPr>
            <w:tcW w:w="648"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lang w:val="en-US"/>
              </w:rPr>
              <w:t>2.</w:t>
            </w:r>
          </w:p>
        </w:tc>
        <w:tc>
          <w:tcPr>
            <w:tcW w:w="6297"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Atsakomybės už patikėtą turtą draudimas</w:t>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Lietuva</w:t>
            </w:r>
          </w:p>
        </w:tc>
      </w:tr>
    </w:tbl>
    <w:p>
      <w:pPr>
        <w:pStyle w:val="Normal"/>
        <w:spacing w:before="150" w:after="0"/>
        <w:jc w:val="both"/>
        <w:rPr/>
      </w:pPr>
      <w:r>
        <w:rPr>
          <w:rStyle w:val="Numatytasispastraiposriftas"/>
          <w:rFonts w:cs="Arial" w:ascii="Arial" w:hAnsi="Arial"/>
          <w:b/>
          <w:sz w:val="22"/>
          <w:szCs w:val="22"/>
        </w:rPr>
        <w:t>* Pastaba</w:t>
      </w:r>
      <w:r>
        <w:rPr>
          <w:rStyle w:val="Numatytasispastraiposriftas"/>
          <w:rFonts w:cs="Arial" w:ascii="Arial" w:hAnsi="Arial"/>
          <w:sz w:val="22"/>
          <w:szCs w:val="22"/>
        </w:rPr>
        <w:t>: Civilinės atsakomybės, kilusios dėl Draudėjo darbuotojų padarytų nuostolių ar žalos komandiruočių metu, draudimo apsaugos galiojimo teritorija – Geografinė Europa, išskyrus Rusiją, Baltarusiją, Ukrainą.</w:t>
      </w:r>
    </w:p>
    <w:p>
      <w:pPr>
        <w:pStyle w:val="Sraopastraipa"/>
        <w:tabs>
          <w:tab w:val="left" w:pos="540" w:leader="none"/>
        </w:tabs>
        <w:spacing w:before="60" w:after="60"/>
        <w:ind w:start="0"/>
        <w:jc w:val="both"/>
        <w:rPr>
          <w:rFonts w:ascii="Arial" w:hAnsi="Arial"/>
          <w:sz w:val="22"/>
          <w:szCs w:val="22"/>
        </w:rPr>
      </w:pPr>
      <w:r>
        <w:rPr>
          <w:rFonts w:ascii="Arial" w:hAnsi="Arial"/>
          <w:sz w:val="22"/>
          <w:szCs w:val="22"/>
        </w:rPr>
      </w:r>
    </w:p>
    <w:p>
      <w:pPr>
        <w:pStyle w:val="Heading2"/>
        <w:numPr>
          <w:ilvl w:val="3"/>
          <w:numId w:val="4"/>
        </w:numPr>
        <w:tabs>
          <w:tab w:val="clear" w:pos="709"/>
          <w:tab w:val="left" w:pos="-2373" w:leader="none"/>
        </w:tabs>
        <w:jc w:val="start"/>
        <w:outlineLvl w:val="9"/>
        <w:rPr/>
      </w:pPr>
      <w:bookmarkStart w:id="16" w:name="_Toc54690191"/>
      <w:r>
        <w:rPr>
          <w:rStyle w:val="Numatytasispastraiposriftas"/>
          <w:rFonts w:cs="Arial" w:ascii="Arial" w:hAnsi="Arial"/>
          <w:b/>
          <w:sz w:val="22"/>
          <w:szCs w:val="22"/>
        </w:rPr>
        <w:t>Išplėstinis reikalavimo pateikimo terminas</w:t>
      </w:r>
      <w:bookmarkEnd w:id="16"/>
    </w:p>
    <w:p>
      <w:pPr>
        <w:pStyle w:val="Normal"/>
        <w:rPr>
          <w:rFonts w:ascii="Arial" w:hAnsi="Arial" w:cs="Arial"/>
          <w:sz w:val="22"/>
          <w:szCs w:val="22"/>
        </w:rPr>
      </w:pPr>
      <w:r>
        <w:rPr>
          <w:rFonts w:cs="Arial" w:ascii="Arial" w:hAnsi="Arial"/>
          <w:sz w:val="22"/>
          <w:szCs w:val="22"/>
        </w:rPr>
      </w:r>
    </w:p>
    <w:p>
      <w:pPr>
        <w:pStyle w:val="Normal"/>
        <w:rPr/>
      </w:pPr>
      <w:r>
        <w:rPr>
          <w:rStyle w:val="Numatytasispastraiposriftas"/>
          <w:rFonts w:cs="Arial" w:ascii="Arial" w:hAnsi="Arial"/>
          <w:sz w:val="22"/>
          <w:szCs w:val="22"/>
        </w:rPr>
        <w:t>Ne vėliau kaip per 6 mėnesius po draudimo apsaugos galiojimo pasibaigimo.</w:t>
      </w:r>
    </w:p>
    <w:p>
      <w:pPr>
        <w:pStyle w:val="Normal"/>
        <w:rPr>
          <w:rFonts w:ascii="Arial" w:hAnsi="Arial" w:cs="Arial"/>
          <w:sz w:val="22"/>
          <w:szCs w:val="22"/>
        </w:rPr>
      </w:pPr>
      <w:r>
        <w:rPr>
          <w:rFonts w:cs="Arial" w:ascii="Arial" w:hAnsi="Arial"/>
          <w:sz w:val="22"/>
          <w:szCs w:val="22"/>
        </w:rPr>
      </w:r>
    </w:p>
    <w:p>
      <w:pPr>
        <w:pStyle w:val="Heading2"/>
        <w:numPr>
          <w:ilvl w:val="3"/>
          <w:numId w:val="4"/>
        </w:numPr>
        <w:tabs>
          <w:tab w:val="clear" w:pos="709"/>
          <w:tab w:val="left" w:pos="-2373" w:leader="none"/>
        </w:tabs>
        <w:jc w:val="start"/>
        <w:outlineLvl w:val="9"/>
        <w:rPr/>
      </w:pPr>
      <w:bookmarkStart w:id="17" w:name="_Toc54690192"/>
      <w:r>
        <w:rPr>
          <w:rStyle w:val="Numatytasispastraiposriftas"/>
          <w:rFonts w:cs="Arial" w:ascii="Arial" w:hAnsi="Arial"/>
          <w:b/>
          <w:sz w:val="22"/>
          <w:szCs w:val="22"/>
        </w:rPr>
        <w:t>Retroaktyvus galiojimo laikotarpis</w:t>
      </w:r>
      <w:bookmarkEnd w:id="17"/>
    </w:p>
    <w:p>
      <w:pPr>
        <w:pStyle w:val="Normal"/>
        <w:rPr>
          <w:rFonts w:ascii="Arial" w:hAnsi="Arial" w:cs="Arial"/>
          <w:sz w:val="22"/>
          <w:szCs w:val="22"/>
        </w:rPr>
      </w:pPr>
      <w:r>
        <w:rPr>
          <w:rFonts w:cs="Arial" w:ascii="Arial" w:hAnsi="Arial"/>
          <w:sz w:val="22"/>
          <w:szCs w:val="22"/>
        </w:rPr>
      </w:r>
    </w:p>
    <w:p>
      <w:pPr>
        <w:pStyle w:val="Normal"/>
        <w:rPr/>
      </w:pPr>
      <w:r>
        <w:rPr>
          <w:rStyle w:val="Numatytasispastraiposriftas"/>
          <w:rFonts w:cs="Arial" w:ascii="Arial" w:hAnsi="Arial"/>
          <w:sz w:val="22"/>
          <w:szCs w:val="22"/>
        </w:rPr>
        <w:t>Retroaktyvus draudimo apsaugos galiojimas 6 mėnesiai.</w:t>
      </w:r>
    </w:p>
    <w:p>
      <w:pPr>
        <w:pStyle w:val="Normal"/>
        <w:rPr>
          <w:rFonts w:ascii="Arial" w:hAnsi="Arial" w:cs="Arial"/>
          <w:sz w:val="22"/>
          <w:szCs w:val="22"/>
        </w:rPr>
      </w:pPr>
      <w:r>
        <w:rPr>
          <w:rFonts w:cs="Arial" w:ascii="Arial" w:hAnsi="Arial"/>
          <w:sz w:val="22"/>
          <w:szCs w:val="22"/>
        </w:rPr>
      </w:r>
    </w:p>
    <w:p>
      <w:pPr>
        <w:pStyle w:val="Heading2"/>
        <w:numPr>
          <w:ilvl w:val="3"/>
          <w:numId w:val="4"/>
        </w:numPr>
        <w:tabs>
          <w:tab w:val="clear" w:pos="709"/>
          <w:tab w:val="left" w:pos="-2373" w:leader="none"/>
        </w:tabs>
        <w:outlineLvl w:val="9"/>
        <w:rPr/>
      </w:pPr>
      <w:bookmarkStart w:id="18" w:name="_Toc54690193"/>
      <w:r>
        <w:rPr>
          <w:rStyle w:val="Numatytasispastraiposriftas"/>
          <w:rFonts w:cs="Arial" w:ascii="Arial" w:hAnsi="Arial"/>
          <w:b/>
          <w:sz w:val="22"/>
          <w:szCs w:val="22"/>
        </w:rPr>
        <w:t>Papildomos sąlygos taikomos perkamam draudimo objektui</w:t>
      </w:r>
      <w:bookmarkEnd w:id="18"/>
    </w:p>
    <w:p>
      <w:pPr>
        <w:pStyle w:val="Normal"/>
        <w:jc w:val="both"/>
        <w:rPr>
          <w:rFonts w:ascii="Arial" w:hAnsi="Arial"/>
          <w:sz w:val="22"/>
          <w:szCs w:val="22"/>
        </w:rPr>
      </w:pPr>
      <w:r>
        <w:rPr>
          <w:rFonts w:ascii="Arial" w:hAnsi="Arial"/>
          <w:sz w:val="22"/>
          <w:szCs w:val="22"/>
        </w:rPr>
      </w:r>
    </w:p>
    <w:p>
      <w:pPr>
        <w:pStyle w:val="Sraopastraipa"/>
        <w:numPr>
          <w:ilvl w:val="0"/>
          <w:numId w:val="24"/>
        </w:numPr>
        <w:jc w:val="both"/>
        <w:rPr/>
      </w:pPr>
      <w:r>
        <w:rPr>
          <w:rStyle w:val="Numatytasispastraiposriftas"/>
          <w:rFonts w:cs="Arial" w:ascii="Arial" w:hAnsi="Arial"/>
          <w:sz w:val="22"/>
          <w:szCs w:val="22"/>
          <w:lang w:val="lt-LT"/>
        </w:rPr>
        <w:t>Draudimo išmokos limitas neturtinei žalai yra ribojamas bendra draudimo suma.</w:t>
      </w:r>
    </w:p>
    <w:p>
      <w:pPr>
        <w:pStyle w:val="Sraopastraipa"/>
        <w:numPr>
          <w:ilvl w:val="0"/>
          <w:numId w:val="15"/>
        </w:numPr>
        <w:jc w:val="both"/>
        <w:rPr/>
      </w:pPr>
      <w:r>
        <w:rPr>
          <w:rStyle w:val="Numatytasispastraiposriftas"/>
          <w:rFonts w:cs="Arial" w:ascii="Arial" w:hAnsi="Arial"/>
          <w:sz w:val="22"/>
          <w:szCs w:val="22"/>
          <w:lang w:val="lt-LT"/>
        </w:rPr>
        <w:t>Draudimo išmokos suma išlaidoms, susijusioms su reikalavimo nagrinėjimu ir atsikirtimu yra ribojama bendra draudimo suma.</w:t>
      </w:r>
    </w:p>
    <w:p>
      <w:pPr>
        <w:pStyle w:val="Sraopastraipa"/>
        <w:numPr>
          <w:ilvl w:val="0"/>
          <w:numId w:val="15"/>
        </w:numPr>
        <w:jc w:val="both"/>
        <w:rPr/>
      </w:pPr>
      <w:r>
        <w:rPr>
          <w:rStyle w:val="Numatytasispastraiposriftas"/>
          <w:rFonts w:cs="Arial" w:ascii="Arial" w:hAnsi="Arial"/>
          <w:sz w:val="22"/>
          <w:szCs w:val="22"/>
          <w:lang w:val="lt-LT"/>
        </w:rPr>
        <w:t>Draudimo objektu taip pat laikomos žalos išvengimo ir mažinimo išlaidos. Draudikas atlygina būtinas išlaidas, patirtas dėl to, kad Draudėjas ėmėsi jam prieinamų protingų priemonių žalai sumažinti ar užkirsti kelią galimai žalai ar dėl to kad laikėsi draudiko nurodymų. Šios išlaidos atlyginamos, neatsižvelgiant į tai, kad atitinkamos priemonės nedavė teigiamo rezultato.</w:t>
      </w:r>
    </w:p>
    <w:p>
      <w:pPr>
        <w:pStyle w:val="Sraopastraipa"/>
        <w:numPr>
          <w:ilvl w:val="0"/>
          <w:numId w:val="15"/>
        </w:numPr>
        <w:jc w:val="both"/>
        <w:rPr/>
      </w:pPr>
      <w:r>
        <w:rPr>
          <w:rStyle w:val="Numatytasispastraiposriftas"/>
          <w:rFonts w:cs="Arial" w:ascii="Arial" w:hAnsi="Arial"/>
          <w:sz w:val="22"/>
          <w:szCs w:val="22"/>
          <w:lang w:val="lt-LT"/>
        </w:rPr>
        <w:t>Veiklos ir produkto civilinės atsakomybės draudimo apsauga taip pat apima Draudėjo samdomų subrangovų (kontrahentų) veiklos civilinę atsakomybę, vykdant darbus numatytus sutartyse su Draudėju. Atlyginęs tokią žalą Draudikas įgyja teisę reikalauti išmokėtų sumų iš atsakingo už padarytą žalą subrangovo (kontrahento).</w:t>
      </w:r>
    </w:p>
    <w:p>
      <w:pPr>
        <w:pStyle w:val="Sraopastraipa"/>
        <w:jc w:val="both"/>
        <w:rPr/>
      </w:pPr>
      <w:r>
        <w:rPr>
          <w:rStyle w:val="Numatytasispastraiposriftas"/>
          <w:rFonts w:cs="Arial" w:ascii="Arial" w:hAnsi="Arial"/>
          <w:sz w:val="22"/>
          <w:szCs w:val="22"/>
          <w:lang w:val="lt-LT"/>
        </w:rPr>
        <w:t>Draudimo išmokos suma šiai sąlygai yra ribojama bendra draudimo suma.</w:t>
      </w:r>
    </w:p>
    <w:p>
      <w:pPr>
        <w:pStyle w:val="Sraopastraipa"/>
        <w:numPr>
          <w:ilvl w:val="0"/>
          <w:numId w:val="15"/>
        </w:numPr>
        <w:jc w:val="both"/>
        <w:rPr/>
      </w:pPr>
      <w:r>
        <w:rPr>
          <w:rStyle w:val="Numatytasispastraiposriftas"/>
          <w:rFonts w:cs="Arial" w:ascii="Arial" w:hAnsi="Arial"/>
          <w:sz w:val="22"/>
          <w:szCs w:val="22"/>
          <w:lang w:val="lt-LT"/>
        </w:rPr>
        <w:t>Veiklos ir produkto civilinės atsakomybės draudimo apsauga taip pat apima atsakomybę dėl užteršimo ir užteršimo išvalymo išlaidas, įskaitant dėl žalos aplinkai, skaičiuojamos pagal valstybės institucijų naudojamas metodikas.</w:t>
      </w:r>
    </w:p>
    <w:p>
      <w:pPr>
        <w:pStyle w:val="Sraopastraipa"/>
        <w:jc w:val="both"/>
        <w:rPr/>
      </w:pPr>
      <w:r>
        <w:rPr>
          <w:rStyle w:val="Numatytasispastraiposriftas"/>
          <w:rFonts w:cs="Arial" w:ascii="Arial" w:hAnsi="Arial"/>
          <w:sz w:val="22"/>
          <w:szCs w:val="22"/>
          <w:lang w:val="lt-LT"/>
        </w:rPr>
        <w:t>Draudimo išmokos suma šiai sąlygai yra ribojama bendra draudimo suma.</w:t>
      </w:r>
    </w:p>
    <w:p>
      <w:pPr>
        <w:pStyle w:val="Sraopastraipa"/>
        <w:numPr>
          <w:ilvl w:val="0"/>
          <w:numId w:val="15"/>
        </w:numPr>
        <w:jc w:val="both"/>
        <w:rPr/>
      </w:pPr>
      <w:r>
        <w:rPr>
          <w:rStyle w:val="Numatytasispastraiposriftas"/>
          <w:rFonts w:cs="Arial" w:ascii="Arial" w:hAnsi="Arial"/>
          <w:sz w:val="22"/>
          <w:szCs w:val="22"/>
          <w:lang w:val="lt-LT"/>
        </w:rPr>
        <w:t>Veiklos civilinės atsakomybės draudimo apsauga taip pat apima atsakomybę, kylančią dėl žalos, padarytos valdant, naudojantis savaeiges darbo mašinas, taip pat dėl žalos, padarytos vykdant pakrovimo, iškrovimo darbus, nepriklausomai nuo to ar Draudėjo civilinė atsakomybė dėl šių darbo mašinų valdymo gali būti draudžiama transporto priemonių valdytojų civilinės atsakomybės privalomuoju draudimu.</w:t>
      </w:r>
    </w:p>
    <w:p>
      <w:pPr>
        <w:pStyle w:val="Sraopastraipa"/>
        <w:jc w:val="both"/>
        <w:rPr/>
      </w:pPr>
      <w:r>
        <w:rPr>
          <w:rStyle w:val="Numatytasispastraiposriftas"/>
          <w:rFonts w:cs="Arial" w:ascii="Arial" w:hAnsi="Arial"/>
          <w:sz w:val="22"/>
          <w:szCs w:val="22"/>
          <w:lang w:val="lt-LT"/>
        </w:rPr>
        <w:t>Draudimo išmokos suma šiai sąlygai yra ribojama bendra draudimo suma.</w:t>
      </w:r>
    </w:p>
    <w:p>
      <w:pPr>
        <w:pStyle w:val="Sraopastraipa"/>
        <w:numPr>
          <w:ilvl w:val="0"/>
          <w:numId w:val="15"/>
        </w:numPr>
        <w:jc w:val="both"/>
        <w:rPr/>
      </w:pPr>
      <w:r>
        <w:rPr>
          <w:rStyle w:val="Numatytasispastraiposriftas"/>
          <w:rFonts w:cs="Arial" w:ascii="Arial" w:hAnsi="Arial"/>
          <w:sz w:val="22"/>
          <w:szCs w:val="22"/>
          <w:lang w:val="lt-LT"/>
        </w:rPr>
        <w:t>Jeigu atskiroms atsakomybės draudimo sąlygoms yra taikomos skirtingos išskaitos ir dėl vieno įvykio kyla Draudėjo atsakomybė pagal atskiras atsakomybės draudimo sąlygas, kurioms yra taikytinos skirtingos išskaitos, tuomet yra taikoma tik viena – didžiausioji iš taikytinų išskaitų.</w:t>
      </w:r>
    </w:p>
    <w:p>
      <w:pPr>
        <w:pStyle w:val="Sraopastraipa"/>
        <w:numPr>
          <w:ilvl w:val="0"/>
          <w:numId w:val="15"/>
        </w:numPr>
        <w:jc w:val="both"/>
        <w:rPr/>
      </w:pPr>
      <w:r>
        <w:rPr>
          <w:rStyle w:val="Numatytasispastraiposriftas"/>
          <w:rFonts w:cs="Arial" w:ascii="Arial" w:hAnsi="Arial"/>
          <w:sz w:val="22"/>
          <w:szCs w:val="22"/>
          <w:lang w:val="lt-LT"/>
        </w:rPr>
        <w:t>Rizikos padidėjimu laikoma tik šie atvejai:</w:t>
      </w:r>
    </w:p>
    <w:p>
      <w:pPr>
        <w:pStyle w:val="Sraopastraipa"/>
        <w:numPr>
          <w:ilvl w:val="0"/>
          <w:numId w:val="16"/>
        </w:numPr>
        <w:jc w:val="both"/>
        <w:rPr/>
      </w:pPr>
      <w:r>
        <w:rPr>
          <w:rStyle w:val="Numatytasispastraiposriftas"/>
          <w:rFonts w:cs="Arial" w:ascii="Arial" w:hAnsi="Arial"/>
          <w:sz w:val="22"/>
          <w:szCs w:val="22"/>
          <w:lang w:val="lt-LT"/>
        </w:rPr>
        <w:t>Draudėjo vykdomos veiklos pasikeitimas;</w:t>
      </w:r>
    </w:p>
    <w:p>
      <w:pPr>
        <w:pStyle w:val="Sraopastraipa"/>
        <w:numPr>
          <w:ilvl w:val="0"/>
          <w:numId w:val="16"/>
        </w:numPr>
        <w:jc w:val="both"/>
        <w:rPr/>
      </w:pPr>
      <w:r>
        <w:rPr>
          <w:rStyle w:val="Numatytasispastraiposriftas"/>
          <w:rFonts w:cs="Arial" w:ascii="Arial" w:hAnsi="Arial"/>
          <w:sz w:val="22"/>
          <w:szCs w:val="22"/>
          <w:lang w:val="lt-LT"/>
        </w:rPr>
        <w:t>Draudėjo darbuotojų skaičiaus padidėjimas daugiau kaip 20%;</w:t>
      </w:r>
    </w:p>
    <w:p>
      <w:pPr>
        <w:pStyle w:val="Sraopastraipa"/>
        <w:numPr>
          <w:ilvl w:val="0"/>
          <w:numId w:val="16"/>
        </w:numPr>
        <w:jc w:val="both"/>
        <w:rPr/>
      </w:pPr>
      <w:bookmarkStart w:id="19" w:name="_Hlk158101106"/>
      <w:r>
        <w:rPr>
          <w:rStyle w:val="Numatytasispastraiposriftas"/>
          <w:rFonts w:cs="Arial" w:ascii="Arial" w:hAnsi="Arial"/>
          <w:sz w:val="22"/>
          <w:szCs w:val="22"/>
          <w:lang w:val="lt-LT"/>
        </w:rPr>
        <w:t>statybos, remonto, rekonstrukcijos darbų, kurių sąmatinė vertė didesnė nei 200 000 EUR, vykdymas Draudėjo eksploatuojamose, naudojamose patalpose arba nors ir tiesiogiai Draudėjo nenaudojamose, tačiau jam nuosavybės teise priklausančiose patalpose.</w:t>
      </w:r>
      <w:bookmarkEnd w:id="19"/>
    </w:p>
    <w:p>
      <w:pPr>
        <w:pStyle w:val="Normal"/>
        <w:rPr>
          <w:rFonts w:ascii="Arial" w:hAnsi="Arial"/>
          <w:sz w:val="22"/>
          <w:szCs w:val="22"/>
        </w:rPr>
      </w:pPr>
      <w:r>
        <w:rPr>
          <w:rFonts w:ascii="Arial" w:hAnsi="Arial"/>
          <w:sz w:val="22"/>
          <w:szCs w:val="22"/>
        </w:rPr>
      </w:r>
    </w:p>
    <w:p>
      <w:pPr>
        <w:pStyle w:val="Sraopastraipa"/>
        <w:numPr>
          <w:ilvl w:val="0"/>
          <w:numId w:val="2"/>
        </w:numPr>
        <w:rPr/>
      </w:pPr>
      <w:r>
        <w:rPr>
          <w:rStyle w:val="Numatytasispastraiposriftas"/>
          <w:rFonts w:cs="Arial" w:ascii="Arial" w:hAnsi="Arial"/>
          <w:b/>
          <w:bCs/>
          <w:sz w:val="22"/>
          <w:szCs w:val="22"/>
          <w:u w:val="single"/>
        </w:rPr>
        <w:t>II DALIS</w:t>
      </w:r>
    </w:p>
    <w:p>
      <w:pPr>
        <w:pStyle w:val="Normal"/>
        <w:rPr>
          <w:rFonts w:ascii="Arial" w:hAnsi="Arial" w:cs="Arial"/>
          <w:b/>
          <w:bCs/>
          <w:sz w:val="22"/>
          <w:szCs w:val="22"/>
        </w:rPr>
      </w:pPr>
      <w:r>
        <w:rPr>
          <w:rFonts w:cs="Arial" w:ascii="Arial" w:hAnsi="Arial"/>
          <w:b/>
          <w:bCs/>
          <w:sz w:val="22"/>
          <w:szCs w:val="22"/>
        </w:rPr>
        <w:t>DARBDAVIO CIVILINĖS ATSAKOMYBĖS DRAUDIMO SĄLYGOS</w:t>
      </w:r>
    </w:p>
    <w:p>
      <w:pPr>
        <w:pStyle w:val="Normal"/>
        <w:rPr>
          <w:rFonts w:ascii="Arial" w:hAnsi="Arial"/>
          <w:sz w:val="22"/>
          <w:szCs w:val="22"/>
        </w:rPr>
      </w:pPr>
      <w:r>
        <w:rPr>
          <w:rFonts w:ascii="Arial" w:hAnsi="Arial"/>
          <w:sz w:val="22"/>
          <w:szCs w:val="22"/>
        </w:rPr>
      </w:r>
    </w:p>
    <w:p>
      <w:pPr>
        <w:pStyle w:val="Heading2"/>
        <w:numPr>
          <w:ilvl w:val="1"/>
          <w:numId w:val="2"/>
        </w:numPr>
        <w:jc w:val="start"/>
        <w:outlineLvl w:val="9"/>
        <w:rPr/>
      </w:pPr>
      <w:r>
        <w:rPr>
          <w:rStyle w:val="Numatytasispastraiposriftas"/>
          <w:rFonts w:cs="Arial" w:ascii="Arial" w:hAnsi="Arial"/>
          <w:b/>
          <w:bCs/>
          <w:sz w:val="22"/>
          <w:szCs w:val="22"/>
        </w:rPr>
        <w:t>Perkamo objekto draudimo suma bei franšizė (išskaita)</w:t>
      </w:r>
    </w:p>
    <w:p>
      <w:pPr>
        <w:pStyle w:val="Normal"/>
        <w:rPr>
          <w:rFonts w:ascii="Arial" w:hAnsi="Arial" w:cs="Arial"/>
          <w:bCs/>
          <w:sz w:val="22"/>
          <w:szCs w:val="22"/>
        </w:rPr>
      </w:pPr>
      <w:r>
        <w:rPr>
          <w:rFonts w:cs="Arial" w:ascii="Arial" w:hAnsi="Arial"/>
          <w:bCs/>
          <w:sz w:val="22"/>
          <w:szCs w:val="22"/>
        </w:rPr>
      </w:r>
    </w:p>
    <w:tbl>
      <w:tblPr>
        <w:tblW w:w="9754" w:type="dxa"/>
        <w:jc w:val="start"/>
        <w:tblInd w:w="-113" w:type="dxa"/>
        <w:tblLayout w:type="fixed"/>
        <w:tblCellMar>
          <w:top w:w="0" w:type="dxa"/>
          <w:start w:w="108" w:type="dxa"/>
          <w:bottom w:w="0" w:type="dxa"/>
          <w:end w:w="108" w:type="dxa"/>
        </w:tblCellMar>
      </w:tblPr>
      <w:tblGrid>
        <w:gridCol w:w="852"/>
        <w:gridCol w:w="5185"/>
        <w:gridCol w:w="1900"/>
        <w:gridCol w:w="1817"/>
      </w:tblGrid>
      <w:tr>
        <w:trPr>
          <w:tblHeader w:val="true"/>
          <w:trHeight w:val="521" w:hRule="atLeast"/>
        </w:trPr>
        <w:tc>
          <w:tcPr>
            <w:tcW w:w="852"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bCs/>
                <w:sz w:val="22"/>
                <w:szCs w:val="22"/>
              </w:rPr>
            </w:pPr>
            <w:r>
              <w:rPr>
                <w:rFonts w:cs="Arial" w:ascii="Arial" w:hAnsi="Arial"/>
                <w:bCs/>
                <w:sz w:val="22"/>
                <w:szCs w:val="22"/>
              </w:rPr>
            </w:r>
          </w:p>
        </w:tc>
        <w:tc>
          <w:tcPr>
            <w:tcW w:w="51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Style w:val="Numatytasispastraiposriftas"/>
                <w:rFonts w:cs="Arial" w:ascii="Arial" w:hAnsi="Arial"/>
                <w:b/>
                <w:bCs/>
                <w:sz w:val="22"/>
                <w:szCs w:val="22"/>
              </w:rPr>
              <w:t>Draudėjo perkamo objekto dalys</w:t>
            </w:r>
          </w:p>
        </w:tc>
        <w:tc>
          <w:tcPr>
            <w:tcW w:w="1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Style w:val="Numatytasispastraiposriftas"/>
                <w:rFonts w:cs="Arial" w:ascii="Arial" w:hAnsi="Arial"/>
                <w:b/>
                <w:bCs/>
                <w:sz w:val="22"/>
                <w:szCs w:val="22"/>
              </w:rPr>
              <w:t>Draudimo suma*</w:t>
            </w:r>
          </w:p>
        </w:tc>
        <w:tc>
          <w:tcPr>
            <w:tcW w:w="18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Style w:val="Numatytasispastraiposriftas"/>
                <w:rFonts w:cs="Arial" w:ascii="Arial" w:hAnsi="Arial"/>
                <w:b/>
                <w:bCs/>
                <w:sz w:val="22"/>
                <w:szCs w:val="22"/>
              </w:rPr>
              <w:t>Franšizė (išskaita)</w:t>
            </w:r>
          </w:p>
        </w:tc>
      </w:tr>
      <w:tr>
        <w:trPr>
          <w:trHeight w:val="493" w:hRule="atLeast"/>
        </w:trPr>
        <w:tc>
          <w:tcPr>
            <w:tcW w:w="852"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bCs/>
                <w:sz w:val="22"/>
                <w:szCs w:val="22"/>
              </w:rPr>
              <w:t>1.</w:t>
            </w:r>
          </w:p>
        </w:tc>
        <w:tc>
          <w:tcPr>
            <w:tcW w:w="5185" w:type="dxa"/>
            <w:tcBorders>
              <w:top w:val="single" w:sz="4" w:space="0" w:color="000000"/>
              <w:start w:val="single" w:sz="4" w:space="0" w:color="000000"/>
              <w:end w:val="single" w:sz="4" w:space="0" w:color="000000"/>
            </w:tcBorders>
            <w:vAlign w:val="center"/>
          </w:tcPr>
          <w:p>
            <w:pPr>
              <w:pStyle w:val="Normal"/>
              <w:tabs>
                <w:tab w:val="clear" w:pos="709"/>
                <w:tab w:val="left" w:pos="1077" w:leader="none"/>
              </w:tabs>
              <w:jc w:val="both"/>
              <w:rPr/>
            </w:pPr>
            <w:r>
              <w:rPr>
                <w:rStyle w:val="Numatytasispastraiposriftas"/>
                <w:rFonts w:cs="Arial" w:ascii="Arial" w:hAnsi="Arial"/>
                <w:sz w:val="22"/>
                <w:szCs w:val="22"/>
              </w:rPr>
              <w:t>Darbdavio</w:t>
            </w:r>
            <w:r>
              <w:rPr>
                <w:rStyle w:val="Numatytasispastraiposriftas"/>
                <w:rFonts w:cs="Arial" w:ascii="Arial" w:hAnsi="Arial"/>
                <w:color w:val="000000"/>
                <w:sz w:val="22"/>
                <w:szCs w:val="22"/>
              </w:rPr>
              <w:t xml:space="preserve"> </w:t>
            </w:r>
            <w:r>
              <w:rPr>
                <w:rStyle w:val="Numatytasispastraiposriftas"/>
                <w:rFonts w:cs="Arial" w:ascii="Arial" w:hAnsi="Arial"/>
                <w:sz w:val="22"/>
                <w:szCs w:val="22"/>
              </w:rPr>
              <w:t>civilinės atsakomybės draudimas</w:t>
            </w:r>
          </w:p>
        </w:tc>
        <w:tc>
          <w:tcPr>
            <w:tcW w:w="1900" w:type="dxa"/>
            <w:tcBorders>
              <w:top w:val="single" w:sz="4" w:space="0" w:color="000000"/>
              <w:start w:val="single" w:sz="4" w:space="0" w:color="000000"/>
              <w:end w:val="single" w:sz="4" w:space="0" w:color="000000"/>
            </w:tcBorders>
            <w:vAlign w:val="center"/>
          </w:tcPr>
          <w:p>
            <w:pPr>
              <w:pStyle w:val="Normal"/>
              <w:jc w:val="center"/>
              <w:rPr/>
            </w:pPr>
            <w:r>
              <w:rPr>
                <w:rStyle w:val="Numatytasispastraiposriftas"/>
                <w:rFonts w:cs="Arial" w:ascii="Arial" w:hAnsi="Arial"/>
                <w:sz w:val="22"/>
                <w:szCs w:val="22"/>
              </w:rPr>
              <w:t xml:space="preserve">  </w:t>
            </w:r>
            <w:r>
              <w:rPr>
                <w:rStyle w:val="Numatytasispastraiposriftas"/>
                <w:rFonts w:cs="Arial" w:ascii="Arial" w:hAnsi="Arial"/>
                <w:sz w:val="22"/>
                <w:szCs w:val="22"/>
              </w:rPr>
              <w:t>500 000 EUR</w:t>
            </w:r>
          </w:p>
        </w:tc>
        <w:tc>
          <w:tcPr>
            <w:tcW w:w="1817" w:type="dxa"/>
            <w:tcBorders>
              <w:top w:val="single" w:sz="4" w:space="0" w:color="000000"/>
              <w:start w:val="single" w:sz="4" w:space="0" w:color="000000"/>
              <w:end w:val="single" w:sz="4" w:space="0" w:color="000000"/>
            </w:tcBorders>
            <w:vAlign w:val="center"/>
          </w:tcPr>
          <w:p>
            <w:pPr>
              <w:pStyle w:val="Normal"/>
              <w:jc w:val="center"/>
              <w:rPr/>
            </w:pPr>
            <w:r>
              <w:rPr>
                <w:rStyle w:val="Numatytasispastraiposriftas"/>
                <w:rFonts w:cs="Arial" w:ascii="Arial" w:hAnsi="Arial"/>
                <w:sz w:val="22"/>
                <w:szCs w:val="22"/>
              </w:rPr>
              <w:t>1 000 EUR</w:t>
            </w:r>
          </w:p>
        </w:tc>
      </w:tr>
      <w:tr>
        <w:trPr>
          <w:trHeight w:val="630" w:hRule="atLeast"/>
        </w:trPr>
        <w:tc>
          <w:tcPr>
            <w:tcW w:w="85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9"/>
              </w:tabs>
              <w:ind w:start="360"/>
              <w:rPr>
                <w:rFonts w:ascii="Arial" w:hAnsi="Arial" w:cs="Arial"/>
                <w:bCs/>
                <w:sz w:val="22"/>
                <w:szCs w:val="22"/>
              </w:rPr>
            </w:pPr>
            <w:r>
              <w:rPr>
                <w:rFonts w:cs="Arial" w:ascii="Arial" w:hAnsi="Arial"/>
                <w:bCs/>
                <w:sz w:val="22"/>
                <w:szCs w:val="22"/>
              </w:rPr>
            </w:r>
          </w:p>
        </w:tc>
        <w:tc>
          <w:tcPr>
            <w:tcW w:w="5185" w:type="dxa"/>
            <w:tcBorders>
              <w:top w:val="single" w:sz="4" w:space="0" w:color="000000"/>
              <w:start w:val="single" w:sz="4" w:space="0" w:color="000000"/>
              <w:bottom w:val="single" w:sz="4" w:space="0" w:color="000000"/>
              <w:end w:val="single" w:sz="4" w:space="0" w:color="000000"/>
            </w:tcBorders>
            <w:vAlign w:val="center"/>
          </w:tcPr>
          <w:p>
            <w:pPr>
              <w:pStyle w:val="Normal"/>
              <w:jc w:val="both"/>
              <w:rPr/>
            </w:pPr>
            <w:r>
              <w:rPr>
                <w:rStyle w:val="Numatytasispastraiposriftas"/>
                <w:rFonts w:cs="Arial" w:ascii="Arial" w:hAnsi="Arial"/>
                <w:b/>
                <w:bCs/>
                <w:sz w:val="22"/>
                <w:szCs w:val="22"/>
              </w:rPr>
              <w:t>Bendra draudimo suma</w:t>
            </w:r>
          </w:p>
        </w:tc>
        <w:tc>
          <w:tcPr>
            <w:tcW w:w="1900"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b/>
                <w:bCs/>
                <w:sz w:val="22"/>
                <w:szCs w:val="22"/>
              </w:rPr>
              <w:t>500 000 EUR</w:t>
            </w:r>
          </w:p>
        </w:tc>
        <w:tc>
          <w:tcPr>
            <w:tcW w:w="1817" w:type="dxa"/>
            <w:tcBorders>
              <w:top w:val="single" w:sz="4" w:space="0" w:color="000000"/>
              <w:start w:val="single" w:sz="4" w:space="0" w:color="000000"/>
              <w:bottom w:val="single" w:sz="4" w:space="0" w:color="000000"/>
              <w:end w:val="single" w:sz="4" w:space="0" w:color="000000"/>
            </w:tcBorders>
            <w:vAlign w:val="center"/>
          </w:tcPr>
          <w:p>
            <w:pPr>
              <w:pStyle w:val="Normal"/>
              <w:jc w:val="end"/>
              <w:rPr>
                <w:rFonts w:ascii="Arial" w:hAnsi="Arial" w:cs="Arial"/>
                <w:bCs/>
                <w:sz w:val="22"/>
                <w:szCs w:val="22"/>
              </w:rPr>
            </w:pPr>
            <w:r>
              <w:rPr>
                <w:rFonts w:cs="Arial" w:ascii="Arial" w:hAnsi="Arial"/>
                <w:bCs/>
                <w:sz w:val="22"/>
                <w:szCs w:val="22"/>
              </w:rPr>
            </w:r>
          </w:p>
        </w:tc>
      </w:tr>
    </w:tbl>
    <w:p>
      <w:pPr>
        <w:pStyle w:val="Normal"/>
        <w:rPr>
          <w:rFonts w:ascii="Arial" w:hAnsi="Arial" w:cs="Arial"/>
          <w:bCs/>
          <w:sz w:val="22"/>
          <w:szCs w:val="22"/>
          <w:shd w:fill="FFFF00" w:val="clear"/>
        </w:rPr>
      </w:pPr>
      <w:r>
        <w:rPr>
          <w:rFonts w:cs="Arial" w:ascii="Arial" w:hAnsi="Arial"/>
          <w:bCs/>
          <w:sz w:val="22"/>
          <w:szCs w:val="22"/>
          <w:shd w:fill="FFFF00" w:val="clear"/>
        </w:rPr>
      </w:r>
    </w:p>
    <w:p>
      <w:pPr>
        <w:pStyle w:val="Normal"/>
        <w:rPr/>
      </w:pPr>
      <w:r>
        <w:rPr>
          <w:rStyle w:val="Numatytasispastraiposriftas"/>
          <w:rFonts w:eastAsia="Batang" w:cs="Arial" w:ascii="Arial" w:hAnsi="Arial"/>
          <w:sz w:val="22"/>
          <w:szCs w:val="22"/>
          <w:lang w:eastAsia="ko-KR"/>
        </w:rPr>
        <w:t>* - draudimo suma kiekvienam įvykiui ir visiems įvykiams kartu.</w:t>
      </w:r>
    </w:p>
    <w:p>
      <w:pPr>
        <w:pStyle w:val="Normal"/>
        <w:rPr>
          <w:rFonts w:ascii="Arial" w:hAnsi="Arial" w:eastAsia="Batang" w:cs="Arial"/>
          <w:sz w:val="22"/>
          <w:szCs w:val="22"/>
          <w:lang w:eastAsia="ko-KR"/>
        </w:rPr>
      </w:pPr>
      <w:r>
        <w:rPr>
          <w:rFonts w:eastAsia="Batang" w:cs="Arial" w:ascii="Arial" w:hAnsi="Arial"/>
          <w:sz w:val="22"/>
          <w:szCs w:val="22"/>
          <w:lang w:eastAsia="ko-KR"/>
        </w:rPr>
      </w:r>
    </w:p>
    <w:p>
      <w:pPr>
        <w:pStyle w:val="Heading2"/>
        <w:numPr>
          <w:ilvl w:val="1"/>
          <w:numId w:val="2"/>
        </w:numPr>
        <w:jc w:val="start"/>
        <w:outlineLvl w:val="9"/>
        <w:rPr/>
      </w:pPr>
      <w:r>
        <w:rPr>
          <w:rStyle w:val="Numatytasispastraiposriftas"/>
          <w:rFonts w:cs="Arial" w:ascii="Arial" w:hAnsi="Arial"/>
          <w:b/>
          <w:sz w:val="22"/>
          <w:szCs w:val="22"/>
        </w:rPr>
        <w:t>Draudėjo vykdomos veiklos</w:t>
      </w:r>
    </w:p>
    <w:p>
      <w:pPr>
        <w:pStyle w:val="Normal"/>
        <w:rPr>
          <w:rFonts w:ascii="Arial" w:hAnsi="Arial" w:cs="Arial"/>
          <w:sz w:val="22"/>
          <w:szCs w:val="22"/>
        </w:rPr>
      </w:pPr>
      <w:r>
        <w:rPr>
          <w:rFonts w:cs="Arial" w:ascii="Arial" w:hAnsi="Arial"/>
          <w:sz w:val="22"/>
          <w:szCs w:val="22"/>
        </w:rPr>
      </w:r>
    </w:p>
    <w:p>
      <w:pPr>
        <w:pStyle w:val="Normal"/>
        <w:rPr/>
      </w:pPr>
      <w:r>
        <w:rPr>
          <w:rStyle w:val="Numatytasispastraiposriftas"/>
          <w:rFonts w:cs="Arial" w:ascii="Arial" w:hAnsi="Arial"/>
          <w:sz w:val="22"/>
          <w:szCs w:val="22"/>
          <w:lang w:eastAsia="lt-LT"/>
        </w:rPr>
        <w:t>Draudėjo vykdomos veiklos:</w:t>
      </w:r>
    </w:p>
    <w:p>
      <w:pPr>
        <w:pStyle w:val="Normal"/>
        <w:rPr>
          <w:rFonts w:ascii="Arial" w:hAnsi="Arial" w:cs="Arial"/>
          <w:b/>
          <w:sz w:val="22"/>
          <w:szCs w:val="22"/>
          <w:lang w:eastAsia="lt-LT"/>
        </w:rPr>
      </w:pPr>
      <w:r>
        <w:rPr>
          <w:rFonts w:cs="Arial" w:ascii="Arial" w:hAnsi="Arial"/>
          <w:b/>
          <w:sz w:val="22"/>
          <w:szCs w:val="22"/>
          <w:lang w:eastAsia="lt-LT"/>
        </w:rPr>
      </w:r>
    </w:p>
    <w:p>
      <w:pPr>
        <w:pStyle w:val="Normal"/>
        <w:numPr>
          <w:ilvl w:val="0"/>
          <w:numId w:val="6"/>
        </w:numPr>
        <w:jc w:val="both"/>
        <w:rPr/>
      </w:pPr>
      <w:r>
        <w:rPr>
          <w:rStyle w:val="Numatytasispastraiposriftas"/>
          <w:rFonts w:cs="Arial" w:ascii="Arial" w:hAnsi="Arial"/>
          <w:sz w:val="22"/>
          <w:szCs w:val="22"/>
          <w:lang w:eastAsia="lt-LT"/>
        </w:rPr>
        <w:t>miškotvarka;</w:t>
      </w:r>
    </w:p>
    <w:p>
      <w:pPr>
        <w:pStyle w:val="Normal"/>
        <w:numPr>
          <w:ilvl w:val="0"/>
          <w:numId w:val="6"/>
        </w:numPr>
        <w:jc w:val="both"/>
        <w:rPr/>
      </w:pPr>
      <w:r>
        <w:rPr>
          <w:rStyle w:val="Numatytasispastraiposriftas"/>
          <w:rFonts w:cs="Arial" w:ascii="Arial" w:hAnsi="Arial"/>
          <w:sz w:val="22"/>
          <w:szCs w:val="22"/>
          <w:lang w:eastAsia="lt-LT"/>
        </w:rPr>
        <w:t>miško įveisimas, atkūrimas ir priežiūra;</w:t>
      </w:r>
    </w:p>
    <w:p>
      <w:pPr>
        <w:pStyle w:val="Normal"/>
        <w:numPr>
          <w:ilvl w:val="0"/>
          <w:numId w:val="6"/>
        </w:numPr>
        <w:jc w:val="both"/>
        <w:rPr/>
      </w:pPr>
      <w:r>
        <w:rPr>
          <w:rStyle w:val="Numatytasispastraiposriftas"/>
          <w:rFonts w:cs="Arial" w:ascii="Arial" w:hAnsi="Arial"/>
          <w:sz w:val="22"/>
          <w:szCs w:val="22"/>
          <w:lang w:eastAsia="lt-LT"/>
        </w:rPr>
        <w:t>miško sodmenų užauginimas;</w:t>
      </w:r>
    </w:p>
    <w:p>
      <w:pPr>
        <w:pStyle w:val="Normal"/>
        <w:numPr>
          <w:ilvl w:val="0"/>
          <w:numId w:val="6"/>
        </w:numPr>
        <w:jc w:val="both"/>
        <w:rPr/>
      </w:pPr>
      <w:r>
        <w:rPr>
          <w:rStyle w:val="Numatytasispastraiposriftas"/>
          <w:rFonts w:cs="Arial" w:ascii="Arial" w:hAnsi="Arial"/>
          <w:sz w:val="22"/>
          <w:szCs w:val="22"/>
          <w:lang w:eastAsia="lt-LT"/>
        </w:rPr>
        <w:t>medienos ruoša ir prekyba;</w:t>
      </w:r>
    </w:p>
    <w:p>
      <w:pPr>
        <w:pStyle w:val="Normal"/>
        <w:numPr>
          <w:ilvl w:val="0"/>
          <w:numId w:val="6"/>
        </w:numPr>
        <w:jc w:val="both"/>
        <w:rPr/>
      </w:pPr>
      <w:r>
        <w:rPr>
          <w:rStyle w:val="Numatytasispastraiposriftas"/>
          <w:rFonts w:cs="Arial" w:ascii="Arial" w:hAnsi="Arial"/>
          <w:sz w:val="22"/>
          <w:szCs w:val="22"/>
          <w:lang w:eastAsia="lt-LT"/>
        </w:rPr>
        <w:t>sanitarinė miško apsauga ir apsauga nuo gaisrų;</w:t>
      </w:r>
    </w:p>
    <w:p>
      <w:pPr>
        <w:pStyle w:val="Normal"/>
        <w:numPr>
          <w:ilvl w:val="0"/>
          <w:numId w:val="6"/>
        </w:numPr>
        <w:jc w:val="both"/>
        <w:rPr/>
      </w:pPr>
      <w:r>
        <w:rPr>
          <w:rStyle w:val="Numatytasispastraiposriftas"/>
          <w:rFonts w:cs="Arial" w:ascii="Arial" w:hAnsi="Arial"/>
          <w:sz w:val="22"/>
          <w:szCs w:val="22"/>
          <w:lang w:eastAsia="lt-LT"/>
        </w:rPr>
        <w:t>miško kelių priežiūra;</w:t>
      </w:r>
    </w:p>
    <w:p>
      <w:pPr>
        <w:pStyle w:val="Normal"/>
        <w:numPr>
          <w:ilvl w:val="0"/>
          <w:numId w:val="6"/>
        </w:numPr>
        <w:jc w:val="both"/>
        <w:rPr/>
      </w:pPr>
      <w:r>
        <w:rPr>
          <w:rStyle w:val="Numatytasispastraiposriftas"/>
          <w:rFonts w:cs="Arial" w:ascii="Arial" w:hAnsi="Arial"/>
          <w:sz w:val="22"/>
          <w:szCs w:val="22"/>
          <w:lang w:eastAsia="lt-LT"/>
        </w:rPr>
        <w:t>rekreacinių objektų įrengimas ir priežiūra;</w:t>
      </w:r>
    </w:p>
    <w:p>
      <w:pPr>
        <w:pStyle w:val="Normal"/>
        <w:numPr>
          <w:ilvl w:val="0"/>
          <w:numId w:val="6"/>
        </w:numPr>
        <w:jc w:val="both"/>
        <w:rPr/>
      </w:pPr>
      <w:r>
        <w:rPr>
          <w:rStyle w:val="Numatytasispastraiposriftas"/>
          <w:rFonts w:cs="Arial" w:ascii="Arial" w:hAnsi="Arial"/>
          <w:sz w:val="22"/>
          <w:szCs w:val="22"/>
          <w:lang w:eastAsia="lt-LT"/>
        </w:rPr>
        <w:t>gamtotvarkos priemonių miškuose įgyvendinimas, rūšių ir buveinių apsauga;</w:t>
      </w:r>
    </w:p>
    <w:p>
      <w:pPr>
        <w:pStyle w:val="Normal"/>
        <w:numPr>
          <w:ilvl w:val="0"/>
          <w:numId w:val="6"/>
        </w:numPr>
        <w:jc w:val="both"/>
        <w:rPr/>
      </w:pPr>
      <w:r>
        <w:rPr>
          <w:rStyle w:val="Numatytasispastraiposriftas"/>
          <w:rFonts w:cs="Arial" w:ascii="Arial" w:hAnsi="Arial"/>
          <w:sz w:val="22"/>
          <w:szCs w:val="22"/>
          <w:lang w:eastAsia="lt-LT"/>
        </w:rPr>
        <w:t>nekilnojamo turto valdymas ir nuoma;</w:t>
      </w:r>
    </w:p>
    <w:p>
      <w:pPr>
        <w:pStyle w:val="Normal"/>
        <w:numPr>
          <w:ilvl w:val="0"/>
          <w:numId w:val="6"/>
        </w:numPr>
        <w:jc w:val="both"/>
        <w:rPr/>
      </w:pPr>
      <w:r>
        <w:rPr>
          <w:rStyle w:val="Numatytasispastraiposriftas"/>
          <w:rFonts w:cs="Arial" w:ascii="Arial" w:hAnsi="Arial"/>
          <w:sz w:val="22"/>
          <w:szCs w:val="22"/>
          <w:lang w:eastAsia="lt-LT"/>
        </w:rPr>
        <w:t>karjerų eksploatavimas;</w:t>
      </w:r>
    </w:p>
    <w:p>
      <w:pPr>
        <w:pStyle w:val="Normal"/>
        <w:numPr>
          <w:ilvl w:val="0"/>
          <w:numId w:val="6"/>
        </w:numPr>
        <w:jc w:val="both"/>
        <w:rPr/>
      </w:pPr>
      <w:r>
        <w:rPr>
          <w:rStyle w:val="Numatytasispastraiposriftas"/>
          <w:rFonts w:cs="Arial" w:ascii="Arial" w:hAnsi="Arial"/>
          <w:sz w:val="22"/>
          <w:szCs w:val="22"/>
          <w:lang w:eastAsia="lt-LT"/>
        </w:rPr>
        <w:t>prekyba naudotomis transporto priemonėmis, žemės ūkio technika, miško ruošos technika.</w:t>
      </w:r>
    </w:p>
    <w:p>
      <w:pPr>
        <w:pStyle w:val="Normal"/>
        <w:numPr>
          <w:ilvl w:val="3"/>
          <w:numId w:val="1"/>
        </w:numPr>
        <w:tabs>
          <w:tab w:val="clear" w:pos="709"/>
        </w:tabs>
        <w:ind w:start="1155"/>
        <w:jc w:val="both"/>
        <w:outlineLvl w:val="3"/>
        <w:rPr>
          <w:rFonts w:ascii="Arial" w:hAnsi="Arial" w:cs="Arial"/>
          <w:sz w:val="22"/>
          <w:szCs w:val="22"/>
          <w:lang w:eastAsia="lt-LT"/>
        </w:rPr>
      </w:pPr>
      <w:r>
        <w:rPr>
          <w:rFonts w:cs="Arial" w:ascii="Arial" w:hAnsi="Arial"/>
          <w:sz w:val="22"/>
          <w:szCs w:val="22"/>
          <w:lang w:eastAsia="lt-LT"/>
        </w:rPr>
      </w:r>
    </w:p>
    <w:p>
      <w:pPr>
        <w:pStyle w:val="Heading2"/>
        <w:numPr>
          <w:ilvl w:val="1"/>
          <w:numId w:val="2"/>
        </w:numPr>
        <w:jc w:val="start"/>
        <w:outlineLvl w:val="9"/>
        <w:rPr/>
      </w:pPr>
      <w:r>
        <w:rPr>
          <w:rStyle w:val="Numatytasispastraiposriftas"/>
          <w:rFonts w:cs="Arial" w:ascii="Arial" w:hAnsi="Arial"/>
          <w:b/>
          <w:sz w:val="22"/>
          <w:szCs w:val="22"/>
        </w:rPr>
        <w:t>Pirkimo objekto apibrėžimas</w:t>
      </w:r>
    </w:p>
    <w:p>
      <w:pPr>
        <w:pStyle w:val="Normal"/>
        <w:rPr>
          <w:rFonts w:ascii="Arial" w:hAnsi="Arial" w:cs="Arial"/>
          <w:b/>
          <w:sz w:val="22"/>
          <w:szCs w:val="22"/>
          <w:lang w:eastAsia="lt-LT"/>
        </w:rPr>
      </w:pPr>
      <w:r>
        <w:rPr>
          <w:rFonts w:cs="Arial" w:ascii="Arial" w:hAnsi="Arial"/>
          <w:b/>
          <w:sz w:val="22"/>
          <w:szCs w:val="22"/>
          <w:lang w:eastAsia="lt-LT"/>
        </w:rPr>
      </w:r>
    </w:p>
    <w:p>
      <w:pPr>
        <w:pStyle w:val="Normal"/>
        <w:rPr/>
      </w:pPr>
      <w:r>
        <w:rPr>
          <w:rStyle w:val="Numatytasispastraiposriftas"/>
          <w:rFonts w:cs="Arial" w:ascii="Arial" w:hAnsi="Arial"/>
          <w:b/>
          <w:sz w:val="22"/>
          <w:szCs w:val="22"/>
          <w:u w:val="single"/>
        </w:rPr>
        <w:t>Darbdavio civilinės atsakomybės draudimas</w:t>
      </w:r>
    </w:p>
    <w:p>
      <w:pPr>
        <w:pStyle w:val="Normal"/>
        <w:ind w:firstLine="360"/>
        <w:rPr>
          <w:rFonts w:ascii="Arial" w:hAnsi="Arial" w:cs="Arial"/>
          <w:sz w:val="22"/>
          <w:szCs w:val="22"/>
          <w:lang w:eastAsia="lt-LT"/>
        </w:rPr>
      </w:pPr>
      <w:r>
        <w:rPr>
          <w:rFonts w:cs="Arial" w:ascii="Arial" w:hAnsi="Arial"/>
          <w:sz w:val="22"/>
          <w:szCs w:val="22"/>
          <w:lang w:eastAsia="lt-LT"/>
        </w:rPr>
      </w:r>
    </w:p>
    <w:p>
      <w:pPr>
        <w:pStyle w:val="Normal"/>
        <w:jc w:val="both"/>
        <w:rPr/>
      </w:pPr>
      <w:r>
        <w:rPr>
          <w:rStyle w:val="Numatytasispastraiposriftas"/>
          <w:rFonts w:cs="Arial" w:ascii="Arial" w:hAnsi="Arial"/>
          <w:sz w:val="22"/>
          <w:szCs w:val="22"/>
        </w:rPr>
        <w:t>Draudėjo turtiniai interesai, susiję su:</w:t>
      </w:r>
    </w:p>
    <w:p>
      <w:pPr>
        <w:pStyle w:val="Normal"/>
        <w:tabs>
          <w:tab w:val="clear" w:pos="709"/>
        </w:tabs>
        <w:ind w:start="720"/>
        <w:jc w:val="both"/>
        <w:rPr/>
      </w:pPr>
      <w:r>
        <w:rPr>
          <w:rStyle w:val="Numatytasispastraiposriftas"/>
          <w:rFonts w:cs="Arial" w:ascii="Arial" w:hAnsi="Arial"/>
          <w:sz w:val="22"/>
          <w:szCs w:val="22"/>
        </w:rPr>
        <w:t>Draudėjo kaip darbdavio civiline atsakomybe dėl nelaimingo atsitikimo, įvykusio darbe, įskaitant eismo įvykį darbo laiku, ir/ar pakeliui į darbą ar iš darbo, įskaitant eismo įvykį darbuotojo darbo dienomis kelyje tarp darbovietės ir (a) gyvenamosios vietos, (b) ne darbovietėje esančios vietos, kurioje darbuotojui išmokamas darbo užmokestis, (c) vietos ne darbovietėje, kurioje darbuotojas gali būti pertraukos pailsėti ir/ar pavalgyti metu, pagal draudžiamojo įvykio metu galiojusius Lietuvos Respublikos įstatymus.</w:t>
      </w:r>
    </w:p>
    <w:p>
      <w:pPr>
        <w:pStyle w:val="Normal"/>
        <w:jc w:val="both"/>
        <w:rPr>
          <w:rFonts w:ascii="Arial" w:hAnsi="Arial" w:cs="Arial"/>
          <w:sz w:val="22"/>
          <w:szCs w:val="22"/>
          <w:lang w:eastAsia="lt-LT"/>
        </w:rPr>
      </w:pPr>
      <w:r>
        <w:rPr>
          <w:rFonts w:cs="Arial" w:ascii="Arial" w:hAnsi="Arial"/>
          <w:sz w:val="22"/>
          <w:szCs w:val="22"/>
          <w:lang w:eastAsia="lt-LT"/>
        </w:rPr>
      </w:r>
    </w:p>
    <w:p>
      <w:pPr>
        <w:pStyle w:val="Heading2"/>
        <w:numPr>
          <w:ilvl w:val="1"/>
          <w:numId w:val="2"/>
        </w:numPr>
        <w:jc w:val="start"/>
        <w:outlineLvl w:val="9"/>
        <w:rPr/>
      </w:pPr>
      <w:r>
        <w:rPr>
          <w:rStyle w:val="Numatytasispastraiposriftas"/>
          <w:rFonts w:cs="Arial" w:ascii="Arial" w:hAnsi="Arial"/>
          <w:b/>
          <w:sz w:val="22"/>
          <w:szCs w:val="22"/>
        </w:rPr>
        <w:t>Draudžiamieji įvykiai ir Atsakomybė už žalą susijusiems asmenims</w:t>
      </w:r>
    </w:p>
    <w:p>
      <w:pPr>
        <w:pStyle w:val="Normal"/>
        <w:rPr>
          <w:rFonts w:ascii="Arial" w:hAnsi="Arial" w:cs="Arial"/>
          <w:b/>
          <w:sz w:val="22"/>
          <w:szCs w:val="22"/>
          <w:u w:val="single"/>
        </w:rPr>
      </w:pPr>
      <w:r>
        <w:rPr>
          <w:rFonts w:cs="Arial" w:ascii="Arial" w:hAnsi="Arial"/>
          <w:b/>
          <w:sz w:val="22"/>
          <w:szCs w:val="22"/>
          <w:u w:val="single"/>
        </w:rPr>
      </w:r>
    </w:p>
    <w:p>
      <w:pPr>
        <w:pStyle w:val="Normal"/>
        <w:rPr/>
      </w:pPr>
      <w:r>
        <w:rPr>
          <w:rStyle w:val="Numatytasispastraiposriftas"/>
          <w:rFonts w:cs="Arial" w:ascii="Arial" w:hAnsi="Arial"/>
          <w:b/>
          <w:sz w:val="22"/>
          <w:szCs w:val="22"/>
          <w:u w:val="single"/>
        </w:rPr>
        <w:t>Draudžiamasis įvykis</w:t>
      </w:r>
    </w:p>
    <w:p>
      <w:pPr>
        <w:pStyle w:val="Normal"/>
        <w:rPr>
          <w:rFonts w:ascii="Arial" w:hAnsi="Arial" w:cs="Arial"/>
          <w:sz w:val="22"/>
          <w:szCs w:val="22"/>
        </w:rPr>
      </w:pPr>
      <w:r>
        <w:rPr>
          <w:rFonts w:cs="Arial" w:ascii="Arial" w:hAnsi="Arial"/>
          <w:sz w:val="22"/>
          <w:szCs w:val="22"/>
        </w:rPr>
      </w:r>
    </w:p>
    <w:p>
      <w:pPr>
        <w:pStyle w:val="Normal"/>
        <w:jc w:val="both"/>
        <w:rPr/>
      </w:pPr>
      <w:r>
        <w:rPr>
          <w:rStyle w:val="Numatytasispastraiposriftas"/>
          <w:rFonts w:cs="Arial" w:ascii="Arial" w:hAnsi="Arial"/>
          <w:sz w:val="22"/>
          <w:szCs w:val="22"/>
        </w:rPr>
        <w:t>Draudėjo darbuotojų arba jų teisėtų paveldėtojų reikalavimo pateikimas dėl Draudėjo darbuotojų sveikatai, gyvybei padarytos žalos, neturtinės žalos, kylančios kaip žalos sveikatai ar gyvybei pasekmė, dėl draudimo laikotarpiu vykdant veiklą įvykusio nelaimingo atsitikimo</w:t>
      </w:r>
      <w:r>
        <w:rPr>
          <w:rStyle w:val="Numatytasispastraiposriftas"/>
          <w:rFonts w:cs="Arial" w:ascii="Arial" w:hAnsi="Arial"/>
          <w:sz w:val="22"/>
          <w:szCs w:val="22"/>
          <w:lang w:eastAsia="lt-LT"/>
        </w:rPr>
        <w:t>, jei tenkinamos visos žemiau nurodytos sąlygos:</w:t>
      </w:r>
    </w:p>
    <w:p>
      <w:pPr>
        <w:pStyle w:val="Normal"/>
        <w:numPr>
          <w:ilvl w:val="0"/>
          <w:numId w:val="8"/>
        </w:numPr>
        <w:jc w:val="both"/>
        <w:rPr/>
      </w:pPr>
      <w:r>
        <w:rPr>
          <w:rStyle w:val="Numatytasispastraiposriftas"/>
          <w:rFonts w:cs="Arial" w:ascii="Arial" w:hAnsi="Arial"/>
          <w:sz w:val="22"/>
          <w:szCs w:val="22"/>
          <w:lang w:eastAsia="lt-LT"/>
        </w:rPr>
        <w:t>reikalavimas pateiktas per draudimo apsaugos laikotarpį arba per išplėstinį reikalavimo pateikimo terminą ir draudikui apie jį pranešta per draudimo apsaugos laikotarpį arba per išplėstinį reikalavimo pateikimo terminą;</w:t>
      </w:r>
    </w:p>
    <w:p>
      <w:pPr>
        <w:pStyle w:val="Normal"/>
        <w:numPr>
          <w:ilvl w:val="0"/>
          <w:numId w:val="8"/>
        </w:numPr>
        <w:jc w:val="both"/>
        <w:rPr/>
      </w:pPr>
      <w:r>
        <w:rPr>
          <w:rStyle w:val="Numatytasispastraiposriftas"/>
          <w:rFonts w:cs="Arial" w:ascii="Arial" w:hAnsi="Arial"/>
          <w:sz w:val="22"/>
          <w:szCs w:val="22"/>
          <w:lang w:eastAsia="lt-LT"/>
        </w:rPr>
        <w:t>žala padaryta draudimo teritorijoje;</w:t>
      </w:r>
    </w:p>
    <w:p>
      <w:pPr>
        <w:pStyle w:val="Normal"/>
        <w:numPr>
          <w:ilvl w:val="0"/>
          <w:numId w:val="8"/>
        </w:numPr>
        <w:jc w:val="both"/>
        <w:rPr/>
      </w:pPr>
      <w:r>
        <w:rPr>
          <w:rStyle w:val="Numatytasispastraiposriftas"/>
          <w:rFonts w:cs="Arial" w:ascii="Arial" w:hAnsi="Arial"/>
          <w:sz w:val="22"/>
          <w:szCs w:val="22"/>
          <w:lang w:eastAsia="lt-LT"/>
        </w:rPr>
        <w:t>Draudėjas pagal galiojančius įstatymus atsako už žalą;</w:t>
      </w:r>
    </w:p>
    <w:p>
      <w:pPr>
        <w:pStyle w:val="Normal"/>
        <w:numPr>
          <w:ilvl w:val="0"/>
          <w:numId w:val="8"/>
        </w:numPr>
        <w:jc w:val="both"/>
        <w:rPr>
          <w:rFonts w:ascii="Arial" w:hAnsi="Arial" w:cs="Arial"/>
          <w:sz w:val="22"/>
          <w:szCs w:val="22"/>
          <w:lang w:eastAsia="lt-LT"/>
        </w:rPr>
      </w:pPr>
      <w:r>
        <w:rPr>
          <w:rFonts w:cs="Arial" w:ascii="Arial" w:hAnsi="Arial"/>
          <w:sz w:val="22"/>
          <w:szCs w:val="22"/>
          <w:lang w:eastAsia="lt-LT"/>
        </w:rPr>
        <w:t>žala padaryta laikotarpiu nuo pradžios datos iki draudimo apsaugos laikotarpio pasibaigimo datos.</w:t>
      </w:r>
    </w:p>
    <w:p>
      <w:pPr>
        <w:pStyle w:val="Normal"/>
        <w:numPr>
          <w:ilvl w:val="0"/>
          <w:numId w:val="8"/>
        </w:numPr>
        <w:jc w:val="both"/>
        <w:rPr/>
      </w:pPr>
      <w:r>
        <w:rPr>
          <w:rStyle w:val="Numatytasispastraiposriftas"/>
          <w:rFonts w:cs="Arial" w:ascii="Arial" w:hAnsi="Arial"/>
          <w:sz w:val="22"/>
          <w:szCs w:val="22"/>
          <w:lang w:eastAsia="lt-LT"/>
        </w:rPr>
        <w:t>žala padaryta laikotarpiu nuo pradžios datos (įskaitant retroaktyvų galiojimo periodą, jeigu jis taikomas) iki draudimo apsaugos laikotarpio pasibaigimo datos.</w:t>
      </w:r>
    </w:p>
    <w:p>
      <w:pPr>
        <w:pStyle w:val="Normal"/>
        <w:tabs>
          <w:tab w:val="clear" w:pos="709"/>
        </w:tabs>
        <w:ind w:start="720"/>
        <w:jc w:val="both"/>
        <w:rPr>
          <w:rFonts w:ascii="Arial" w:hAnsi="Arial"/>
          <w:sz w:val="22"/>
          <w:szCs w:val="22"/>
        </w:rPr>
      </w:pPr>
      <w:r>
        <w:rPr>
          <w:rFonts w:ascii="Arial" w:hAnsi="Arial"/>
          <w:sz w:val="22"/>
          <w:szCs w:val="22"/>
        </w:rPr>
      </w:r>
    </w:p>
    <w:p>
      <w:pPr>
        <w:pStyle w:val="Heading2"/>
        <w:numPr>
          <w:ilvl w:val="1"/>
          <w:numId w:val="2"/>
        </w:numPr>
        <w:jc w:val="start"/>
        <w:outlineLvl w:val="9"/>
        <w:rPr/>
      </w:pPr>
      <w:r>
        <w:rPr>
          <w:rStyle w:val="Numatytasispastraiposriftas"/>
          <w:rFonts w:cs="Arial" w:ascii="Arial" w:hAnsi="Arial"/>
          <w:b/>
          <w:sz w:val="22"/>
          <w:szCs w:val="22"/>
        </w:rPr>
        <w:t>Nedraudžiamieji įvykiai</w:t>
      </w:r>
    </w:p>
    <w:p>
      <w:pPr>
        <w:pStyle w:val="Normal"/>
        <w:rPr>
          <w:rFonts w:ascii="Arial" w:hAnsi="Arial" w:cs="Arial"/>
          <w:sz w:val="22"/>
          <w:szCs w:val="22"/>
        </w:rPr>
      </w:pPr>
      <w:r>
        <w:rPr>
          <w:rFonts w:cs="Arial" w:ascii="Arial" w:hAnsi="Arial"/>
          <w:sz w:val="22"/>
          <w:szCs w:val="22"/>
        </w:rPr>
      </w:r>
    </w:p>
    <w:p>
      <w:pPr>
        <w:pStyle w:val="Normal"/>
        <w:jc w:val="both"/>
        <w:rPr/>
      </w:pPr>
      <w:r>
        <w:rPr>
          <w:rStyle w:val="Numatytasispastraiposriftas"/>
          <w:rFonts w:eastAsia="Batang" w:cs="Arial" w:ascii="Arial" w:hAnsi="Arial"/>
          <w:b/>
          <w:bCs/>
          <w:sz w:val="22"/>
          <w:szCs w:val="22"/>
          <w:u w:val="single"/>
          <w:lang w:eastAsia="ko-KR"/>
        </w:rPr>
        <w:t>Darbdavio civilinė atsakomybė</w:t>
      </w:r>
    </w:p>
    <w:p>
      <w:pPr>
        <w:pStyle w:val="Normal"/>
        <w:jc w:val="both"/>
        <w:rPr>
          <w:rFonts w:ascii="Arial" w:hAnsi="Arial" w:eastAsia="Batang" w:cs="Arial"/>
          <w:b/>
          <w:bCs/>
          <w:sz w:val="22"/>
          <w:szCs w:val="22"/>
          <w:u w:val="single"/>
          <w:lang w:eastAsia="ko-KR"/>
        </w:rPr>
      </w:pPr>
      <w:r>
        <w:rPr>
          <w:rFonts w:eastAsia="Batang" w:cs="Arial" w:ascii="Arial" w:hAnsi="Arial"/>
          <w:b/>
          <w:bCs/>
          <w:sz w:val="22"/>
          <w:szCs w:val="22"/>
          <w:u w:val="single"/>
          <w:lang w:eastAsia="ko-KR"/>
        </w:rPr>
      </w:r>
    </w:p>
    <w:p>
      <w:pPr>
        <w:pStyle w:val="Sraopastraipa"/>
        <w:tabs>
          <w:tab w:val="left" w:pos="709" w:leader="none"/>
        </w:tabs>
        <w:spacing w:before="60" w:after="60"/>
        <w:ind w:start="0"/>
        <w:jc w:val="both"/>
        <w:rPr/>
      </w:pPr>
      <w:r>
        <w:rPr>
          <w:rStyle w:val="Numatytasispastraiposriftas"/>
          <w:rFonts w:cs="Arial" w:ascii="Arial" w:hAnsi="Arial"/>
          <w:sz w:val="22"/>
          <w:szCs w:val="22"/>
          <w:lang w:val="lt-LT"/>
        </w:rPr>
        <w:t>Draudimo objektu nelaikoma:</w:t>
      </w:r>
    </w:p>
    <w:p>
      <w:pPr>
        <w:pStyle w:val="Normal"/>
        <w:numPr>
          <w:ilvl w:val="0"/>
          <w:numId w:val="25"/>
        </w:numPr>
        <w:jc w:val="both"/>
        <w:rPr/>
      </w:pPr>
      <w:r>
        <w:rPr>
          <w:rStyle w:val="Numatytasispastraiposriftas"/>
          <w:rFonts w:eastAsia="Calibri" w:cs="Arial" w:ascii="Arial" w:hAnsi="Arial"/>
          <w:sz w:val="22"/>
          <w:szCs w:val="22"/>
          <w:lang w:val="en-US"/>
        </w:rPr>
        <w:t xml:space="preserve">atsakomybė </w:t>
      </w:r>
      <w:r>
        <w:rPr>
          <w:rStyle w:val="Numatytasispastraiposriftas"/>
          <w:rFonts w:cs="Arial" w:ascii="Arial" w:hAnsi="Arial"/>
          <w:sz w:val="22"/>
          <w:szCs w:val="22"/>
          <w:lang w:eastAsia="lt-LT"/>
        </w:rPr>
        <w:t>atsiradusi dėl to, kad Draudėjo darbuotojas įvykio metu buvo neblaivus ar apsvaigęs nuo psichotropinių medžiagų ir tai turėjo tiesioginį priežastinį ryšį su įvykio atsitikimui. Ši nuostata netaikoma, kai darbuotojo apsvaigimas kyla dėl jam pavesto darbo technologinių ypatybių ar nelaimingo atsitikimo, arba kai apsvaigimas neturėjo tiesioginio priežastinio ryšio su įvykio atsitikimu;</w:t>
      </w:r>
    </w:p>
    <w:p>
      <w:pPr>
        <w:pStyle w:val="Normal"/>
        <w:numPr>
          <w:ilvl w:val="0"/>
          <w:numId w:val="17"/>
        </w:numPr>
        <w:jc w:val="both"/>
        <w:rPr/>
      </w:pPr>
      <w:r>
        <w:rPr>
          <w:rStyle w:val="Numatytasispastraiposriftas"/>
          <w:rFonts w:cs="Arial" w:ascii="Arial" w:hAnsi="Arial"/>
          <w:sz w:val="22"/>
          <w:szCs w:val="22"/>
          <w:lang w:eastAsia="lt-LT"/>
        </w:rPr>
        <w:t>atsakomybė dėl veiksmų teisėtai padarytų Draudėjo darbuotojui dėl jo paties veiklos, kurioje ikiteisminio tyrimo institucija arba teismas nustatė nusikalstamos veikos ar administracinio teisės pažeidimo požymius, išskyrus darbo saugos ar darbo higienos normų teisės aktų pažeidimus;</w:t>
      </w:r>
    </w:p>
    <w:p>
      <w:pPr>
        <w:pStyle w:val="Normal"/>
        <w:numPr>
          <w:ilvl w:val="0"/>
          <w:numId w:val="17"/>
        </w:numPr>
        <w:jc w:val="both"/>
        <w:rPr/>
      </w:pPr>
      <w:r>
        <w:rPr>
          <w:rStyle w:val="Numatytasispastraiposriftas"/>
          <w:rFonts w:cs="Arial" w:ascii="Arial" w:hAnsi="Arial"/>
          <w:sz w:val="22"/>
          <w:szCs w:val="22"/>
          <w:lang w:eastAsia="lt-LT"/>
        </w:rPr>
        <w:t>atsakomybė kai Draudėjo darbuotojas sąmoningai (tyčia) siekė, kad įvyktų nelaimingas atsitikimas;</w:t>
      </w:r>
    </w:p>
    <w:p>
      <w:pPr>
        <w:pStyle w:val="Normal"/>
        <w:numPr>
          <w:ilvl w:val="0"/>
          <w:numId w:val="17"/>
        </w:numPr>
        <w:jc w:val="both"/>
        <w:rPr/>
      </w:pPr>
      <w:r>
        <w:rPr>
          <w:rStyle w:val="Numatytasispastraiposriftas"/>
          <w:rFonts w:cs="Arial" w:ascii="Arial" w:hAnsi="Arial"/>
          <w:sz w:val="22"/>
          <w:szCs w:val="22"/>
          <w:lang w:eastAsia="lt-LT"/>
        </w:rPr>
        <w:t>atsakomybė kai Draudėjo darbuotojas sirgo liga ir dėl šios ligos įvyko nelaimingas atsitikimas, jei Draudėjas žinojo apie darbuotojo ligą ir nenušalino jo nuo darbo;</w:t>
      </w:r>
    </w:p>
    <w:p>
      <w:pPr>
        <w:pStyle w:val="Sraopastraipa"/>
        <w:numPr>
          <w:ilvl w:val="0"/>
          <w:numId w:val="17"/>
        </w:numPr>
        <w:jc w:val="both"/>
        <w:rPr/>
      </w:pPr>
      <w:r>
        <w:rPr>
          <w:rStyle w:val="Numatytasispastraiposriftas"/>
          <w:rFonts w:cs="Arial" w:ascii="Arial" w:hAnsi="Arial"/>
          <w:sz w:val="22"/>
          <w:szCs w:val="22"/>
          <w:lang w:eastAsia="lt-LT"/>
        </w:rPr>
        <w:t>atsakomybė padaryta nelegaliai Draudėjo naudai dirbančiam darbuotojui;</w:t>
      </w:r>
    </w:p>
    <w:p>
      <w:pPr>
        <w:pStyle w:val="Normal"/>
        <w:numPr>
          <w:ilvl w:val="0"/>
          <w:numId w:val="17"/>
        </w:numPr>
        <w:jc w:val="both"/>
        <w:rPr/>
      </w:pPr>
      <w:r>
        <w:rPr>
          <w:rStyle w:val="Numatytasispastraiposriftas"/>
          <w:rFonts w:cs="Arial" w:ascii="Arial" w:hAnsi="Arial"/>
          <w:sz w:val="22"/>
          <w:szCs w:val="22"/>
          <w:lang w:eastAsia="lt-LT"/>
        </w:rPr>
        <w:t>atsakomybė dėl profesinės ligos.</w:t>
      </w:r>
    </w:p>
    <w:p>
      <w:pPr>
        <w:pStyle w:val="Normal"/>
        <w:rPr>
          <w:rFonts w:ascii="Arial" w:hAnsi="Arial" w:cs="Arial"/>
          <w:sz w:val="22"/>
          <w:szCs w:val="22"/>
          <w:lang w:eastAsia="lt-LT"/>
        </w:rPr>
      </w:pPr>
      <w:r>
        <w:rPr>
          <w:rFonts w:cs="Arial" w:ascii="Arial" w:hAnsi="Arial"/>
          <w:sz w:val="22"/>
          <w:szCs w:val="22"/>
          <w:lang w:eastAsia="lt-LT"/>
        </w:rPr>
      </w:r>
    </w:p>
    <w:p>
      <w:pPr>
        <w:pStyle w:val="Heading2"/>
        <w:numPr>
          <w:ilvl w:val="1"/>
          <w:numId w:val="2"/>
        </w:numPr>
        <w:jc w:val="start"/>
        <w:outlineLvl w:val="9"/>
        <w:rPr/>
      </w:pPr>
      <w:r>
        <w:rPr>
          <w:rStyle w:val="Numatytasispastraiposriftas"/>
          <w:rFonts w:cs="Arial" w:ascii="Arial" w:hAnsi="Arial"/>
          <w:b/>
          <w:sz w:val="22"/>
          <w:szCs w:val="22"/>
        </w:rPr>
        <w:t>Draudimo apsaugos galiojimo teritorija</w:t>
      </w:r>
    </w:p>
    <w:p>
      <w:pPr>
        <w:pStyle w:val="Normal"/>
        <w:rPr>
          <w:rFonts w:ascii="Arial" w:hAnsi="Arial" w:cs="Arial"/>
          <w:sz w:val="22"/>
          <w:szCs w:val="22"/>
        </w:rPr>
      </w:pPr>
      <w:r>
        <w:rPr>
          <w:rFonts w:cs="Arial" w:ascii="Arial" w:hAnsi="Arial"/>
          <w:sz w:val="22"/>
          <w:szCs w:val="22"/>
        </w:rPr>
      </w:r>
    </w:p>
    <w:tbl>
      <w:tblPr>
        <w:tblW w:w="9754" w:type="dxa"/>
        <w:jc w:val="start"/>
        <w:tblInd w:w="-113" w:type="dxa"/>
        <w:tblLayout w:type="fixed"/>
        <w:tblCellMar>
          <w:top w:w="0" w:type="dxa"/>
          <w:start w:w="108" w:type="dxa"/>
          <w:bottom w:w="0" w:type="dxa"/>
          <w:end w:w="108" w:type="dxa"/>
        </w:tblCellMar>
      </w:tblPr>
      <w:tblGrid>
        <w:gridCol w:w="648"/>
        <w:gridCol w:w="6297"/>
        <w:gridCol w:w="2809"/>
      </w:tblGrid>
      <w:tr>
        <w:trPr>
          <w:trHeight w:val="323" w:hRule="atLeast"/>
        </w:trPr>
        <w:tc>
          <w:tcPr>
            <w:tcW w:w="64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9"/>
              </w:tabs>
              <w:ind w:start="360"/>
              <w:rPr>
                <w:rFonts w:ascii="Arial" w:hAnsi="Arial" w:cs="Arial"/>
                <w:b/>
                <w:sz w:val="22"/>
                <w:szCs w:val="22"/>
              </w:rPr>
            </w:pPr>
            <w:r>
              <w:rPr>
                <w:rFonts w:cs="Arial" w:ascii="Arial" w:hAnsi="Arial"/>
                <w:b/>
                <w:sz w:val="22"/>
                <w:szCs w:val="22"/>
              </w:rPr>
            </w:r>
          </w:p>
        </w:tc>
        <w:tc>
          <w:tcPr>
            <w:tcW w:w="6297"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b/>
                <w:sz w:val="22"/>
                <w:szCs w:val="22"/>
              </w:rPr>
              <w:t>Perkamo objekto dalys</w:t>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b/>
                <w:sz w:val="22"/>
                <w:szCs w:val="22"/>
              </w:rPr>
              <w:t>Galiojimo teritorija</w:t>
            </w:r>
          </w:p>
        </w:tc>
      </w:tr>
      <w:tr>
        <w:trPr>
          <w:trHeight w:val="323" w:hRule="atLeast"/>
        </w:trPr>
        <w:tc>
          <w:tcPr>
            <w:tcW w:w="648"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1.</w:t>
            </w:r>
          </w:p>
        </w:tc>
        <w:tc>
          <w:tcPr>
            <w:tcW w:w="6297"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Darbdavio</w:t>
            </w:r>
            <w:r>
              <w:rPr>
                <w:rStyle w:val="Numatytasispastraiposriftas"/>
                <w:rFonts w:cs="Arial" w:ascii="Arial" w:hAnsi="Arial"/>
                <w:color w:val="000000"/>
                <w:sz w:val="22"/>
                <w:szCs w:val="22"/>
              </w:rPr>
              <w:t xml:space="preserve"> </w:t>
            </w:r>
            <w:r>
              <w:rPr>
                <w:rStyle w:val="Numatytasispastraiposriftas"/>
                <w:rFonts w:cs="Arial" w:ascii="Arial" w:hAnsi="Arial"/>
                <w:sz w:val="22"/>
                <w:szCs w:val="22"/>
              </w:rPr>
              <w:t>civilinės atsakomybės draudimas</w:t>
            </w:r>
          </w:p>
        </w:tc>
        <w:tc>
          <w:tcPr>
            <w:tcW w:w="2809"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Lietuva</w:t>
            </w:r>
            <w:r>
              <w:rPr>
                <w:rStyle w:val="Numatytasispastraiposriftas"/>
                <w:rFonts w:cs="Arial" w:ascii="Arial" w:hAnsi="Arial"/>
                <w:sz w:val="22"/>
                <w:szCs w:val="22"/>
                <w:lang w:val="en-US"/>
              </w:rPr>
              <w:t>*</w:t>
            </w:r>
          </w:p>
        </w:tc>
      </w:tr>
    </w:tbl>
    <w:p>
      <w:pPr>
        <w:pStyle w:val="Normal"/>
        <w:spacing w:before="150" w:after="0"/>
        <w:jc w:val="both"/>
        <w:rPr/>
      </w:pPr>
      <w:r>
        <w:rPr>
          <w:rStyle w:val="Numatytasispastraiposriftas"/>
          <w:rFonts w:cs="Arial" w:ascii="Arial" w:hAnsi="Arial"/>
          <w:b/>
          <w:sz w:val="22"/>
          <w:szCs w:val="22"/>
        </w:rPr>
        <w:t>* Pastaba</w:t>
      </w:r>
      <w:r>
        <w:rPr>
          <w:rStyle w:val="Numatytasispastraiposriftas"/>
          <w:rFonts w:cs="Arial" w:ascii="Arial" w:hAnsi="Arial"/>
          <w:sz w:val="22"/>
          <w:szCs w:val="22"/>
        </w:rPr>
        <w:t>:</w:t>
      </w:r>
      <w:r>
        <w:rPr>
          <w:rStyle w:val="Numatytasispastraiposriftas"/>
          <w:rFonts w:eastAsia="Calibri" w:cs="Arial" w:ascii="Arial" w:hAnsi="Arial"/>
          <w:sz w:val="22"/>
          <w:szCs w:val="22"/>
        </w:rPr>
        <w:t xml:space="preserve"> Tarnybinių komandiruočių ir/ar stažuočių metu – </w:t>
      </w:r>
      <w:r>
        <w:rPr>
          <w:rStyle w:val="Numatytasispastraiposriftas"/>
          <w:rFonts w:cs="Arial" w:ascii="Arial" w:hAnsi="Arial"/>
          <w:sz w:val="22"/>
          <w:szCs w:val="22"/>
        </w:rPr>
        <w:t>Geografinė Europa,</w:t>
      </w:r>
      <w:r>
        <w:rPr>
          <w:rStyle w:val="Numatytasispastraiposriftas"/>
          <w:rFonts w:eastAsia="Calibri" w:cs="Arial" w:ascii="Arial" w:hAnsi="Arial"/>
          <w:sz w:val="22"/>
          <w:szCs w:val="22"/>
        </w:rPr>
        <w:t xml:space="preserve"> išskyrus Rusiją, Baltarusiją, Ukrainą</w:t>
      </w:r>
      <w:r>
        <w:rPr>
          <w:rStyle w:val="Numatytasispastraiposriftas"/>
          <w:rFonts w:cs="Arial" w:ascii="Arial" w:hAnsi="Arial"/>
          <w:sz w:val="22"/>
          <w:szCs w:val="22"/>
        </w:rPr>
        <w:t>.</w:t>
      </w:r>
    </w:p>
    <w:p>
      <w:pPr>
        <w:pStyle w:val="Sraopastraipa"/>
        <w:tabs>
          <w:tab w:val="left" w:pos="540" w:leader="none"/>
        </w:tabs>
        <w:spacing w:before="60" w:after="60"/>
        <w:ind w:start="0"/>
        <w:jc w:val="both"/>
        <w:rPr>
          <w:rFonts w:ascii="Arial" w:hAnsi="Arial"/>
          <w:sz w:val="22"/>
          <w:szCs w:val="22"/>
        </w:rPr>
      </w:pPr>
      <w:r>
        <w:rPr>
          <w:rFonts w:ascii="Arial" w:hAnsi="Arial"/>
          <w:sz w:val="22"/>
          <w:szCs w:val="22"/>
        </w:rPr>
      </w:r>
    </w:p>
    <w:p>
      <w:pPr>
        <w:pStyle w:val="Heading2"/>
        <w:numPr>
          <w:ilvl w:val="1"/>
          <w:numId w:val="2"/>
        </w:numPr>
        <w:jc w:val="start"/>
        <w:outlineLvl w:val="9"/>
        <w:rPr/>
      </w:pPr>
      <w:r>
        <w:rPr>
          <w:rStyle w:val="Numatytasispastraiposriftas"/>
          <w:rFonts w:cs="Arial" w:ascii="Arial" w:hAnsi="Arial"/>
          <w:b/>
          <w:sz w:val="22"/>
          <w:szCs w:val="22"/>
        </w:rPr>
        <w:t>Išplėstinis reikalavimo pateikimo terminas</w:t>
      </w:r>
    </w:p>
    <w:p>
      <w:pPr>
        <w:pStyle w:val="Normal"/>
        <w:rPr>
          <w:rFonts w:ascii="Arial" w:hAnsi="Arial" w:cs="Arial"/>
          <w:sz w:val="22"/>
          <w:szCs w:val="22"/>
        </w:rPr>
      </w:pPr>
      <w:r>
        <w:rPr>
          <w:rFonts w:cs="Arial" w:ascii="Arial" w:hAnsi="Arial"/>
          <w:sz w:val="22"/>
          <w:szCs w:val="22"/>
        </w:rPr>
      </w:r>
    </w:p>
    <w:p>
      <w:pPr>
        <w:pStyle w:val="Normal"/>
        <w:rPr/>
      </w:pPr>
      <w:r>
        <w:rPr>
          <w:rStyle w:val="Numatytasispastraiposriftas"/>
          <w:rFonts w:cs="Arial" w:ascii="Arial" w:hAnsi="Arial"/>
          <w:sz w:val="22"/>
          <w:szCs w:val="22"/>
        </w:rPr>
        <w:t>Ne vėliau kaip per 6 mėnesius po draudimo apsaugos galiojimo pasibaigimo.</w:t>
      </w:r>
    </w:p>
    <w:p>
      <w:pPr>
        <w:pStyle w:val="Normal"/>
        <w:rPr>
          <w:rFonts w:ascii="Arial" w:hAnsi="Arial"/>
          <w:sz w:val="22"/>
          <w:szCs w:val="22"/>
        </w:rPr>
      </w:pPr>
      <w:r>
        <w:rPr>
          <w:rFonts w:ascii="Arial" w:hAnsi="Arial"/>
          <w:sz w:val="22"/>
          <w:szCs w:val="22"/>
        </w:rPr>
      </w:r>
    </w:p>
    <w:p>
      <w:pPr>
        <w:pStyle w:val="Heading2"/>
        <w:numPr>
          <w:ilvl w:val="1"/>
          <w:numId w:val="2"/>
        </w:numPr>
        <w:jc w:val="start"/>
        <w:outlineLvl w:val="9"/>
        <w:rPr>
          <w:rFonts w:ascii="Arial" w:hAnsi="Arial" w:cs="Arial"/>
          <w:b/>
          <w:sz w:val="22"/>
          <w:szCs w:val="22"/>
        </w:rPr>
      </w:pPr>
      <w:r>
        <w:rPr>
          <w:rFonts w:cs="Arial" w:ascii="Arial" w:hAnsi="Arial"/>
          <w:b/>
          <w:sz w:val="22"/>
          <w:szCs w:val="22"/>
        </w:rPr>
        <w:t>Retroaktyvus galiojimo laikotarpis</w:t>
      </w:r>
    </w:p>
    <w:p>
      <w:pPr>
        <w:pStyle w:val="Normal"/>
        <w:rPr>
          <w:rFonts w:ascii="Arial" w:hAnsi="Arial"/>
          <w:sz w:val="22"/>
          <w:szCs w:val="22"/>
        </w:rPr>
      </w:pPr>
      <w:r>
        <w:rPr>
          <w:rFonts w:ascii="Arial" w:hAnsi="Arial"/>
          <w:sz w:val="22"/>
          <w:szCs w:val="22"/>
        </w:rPr>
      </w:r>
    </w:p>
    <w:p>
      <w:pPr>
        <w:pStyle w:val="ListParagraph"/>
        <w:ind w:start="360"/>
        <w:rPr>
          <w:rFonts w:ascii="Arial" w:hAnsi="Arial" w:cs="Arial"/>
          <w:sz w:val="22"/>
          <w:szCs w:val="22"/>
        </w:rPr>
      </w:pPr>
      <w:r>
        <w:rPr>
          <w:rFonts w:cs="Arial" w:ascii="Arial" w:hAnsi="Arial"/>
          <w:sz w:val="22"/>
          <w:szCs w:val="22"/>
        </w:rPr>
        <w:t>Retroaktyvus draudimo apsaugos galiojimas 6 mėnesiai.</w:t>
      </w:r>
    </w:p>
    <w:p>
      <w:pPr>
        <w:pStyle w:val="Normal"/>
        <w:rPr>
          <w:rFonts w:ascii="Arial" w:hAnsi="Arial" w:cs="Arial"/>
          <w:sz w:val="22"/>
          <w:szCs w:val="22"/>
        </w:rPr>
      </w:pPr>
      <w:r>
        <w:rPr>
          <w:rFonts w:cs="Arial" w:ascii="Arial" w:hAnsi="Arial"/>
          <w:sz w:val="22"/>
          <w:szCs w:val="22"/>
        </w:rPr>
      </w:r>
    </w:p>
    <w:p>
      <w:pPr>
        <w:pStyle w:val="Heading2"/>
        <w:numPr>
          <w:ilvl w:val="1"/>
          <w:numId w:val="2"/>
        </w:numPr>
        <w:outlineLvl w:val="9"/>
        <w:rPr/>
      </w:pPr>
      <w:r>
        <w:rPr>
          <w:rStyle w:val="Numatytasispastraiposriftas"/>
          <w:rFonts w:cs="Arial" w:ascii="Arial" w:hAnsi="Arial"/>
          <w:b/>
          <w:sz w:val="22"/>
          <w:szCs w:val="22"/>
        </w:rPr>
        <w:t>Papildomos sąlygos taikomos perkamam draudimo objektui</w:t>
      </w:r>
    </w:p>
    <w:p>
      <w:pPr>
        <w:pStyle w:val="Normal"/>
        <w:jc w:val="both"/>
        <w:rPr>
          <w:rFonts w:ascii="Arial" w:hAnsi="Arial"/>
          <w:sz w:val="22"/>
          <w:szCs w:val="22"/>
        </w:rPr>
      </w:pPr>
      <w:r>
        <w:rPr>
          <w:rFonts w:ascii="Arial" w:hAnsi="Arial"/>
          <w:sz w:val="22"/>
          <w:szCs w:val="22"/>
        </w:rPr>
      </w:r>
    </w:p>
    <w:p>
      <w:pPr>
        <w:pStyle w:val="Sraopastraipa"/>
        <w:numPr>
          <w:ilvl w:val="1"/>
          <w:numId w:val="14"/>
        </w:numPr>
        <w:ind w:hanging="425" w:start="709"/>
        <w:jc w:val="both"/>
        <w:rPr/>
      </w:pPr>
      <w:r>
        <w:rPr>
          <w:rStyle w:val="Numatytasispastraiposriftas"/>
          <w:rFonts w:cs="Arial" w:ascii="Arial" w:hAnsi="Arial"/>
          <w:sz w:val="22"/>
          <w:szCs w:val="22"/>
          <w:lang w:val="lt-LT"/>
        </w:rPr>
        <w:t>Draudimo išmokos limitas neturtinei žalai yra ribojamas bendra draudimo suma.</w:t>
      </w:r>
    </w:p>
    <w:p>
      <w:pPr>
        <w:pStyle w:val="Sraopastraipa"/>
        <w:numPr>
          <w:ilvl w:val="1"/>
          <w:numId w:val="14"/>
        </w:numPr>
        <w:ind w:hanging="425" w:start="709"/>
        <w:jc w:val="both"/>
        <w:rPr/>
      </w:pPr>
      <w:r>
        <w:rPr>
          <w:rStyle w:val="Numatytasispastraiposriftas"/>
          <w:rFonts w:cs="Arial" w:ascii="Arial" w:hAnsi="Arial"/>
          <w:sz w:val="22"/>
          <w:szCs w:val="22"/>
          <w:lang w:val="lt-LT"/>
        </w:rPr>
        <w:t>Draudimo išmokos suma išlaidoms, susijusioms su reikalavimo nagrinėjimu ir atsikirtimu yra ribojama bendra draudimo suma.</w:t>
      </w:r>
    </w:p>
    <w:p>
      <w:pPr>
        <w:pStyle w:val="Sraopastraipa"/>
        <w:numPr>
          <w:ilvl w:val="1"/>
          <w:numId w:val="14"/>
        </w:numPr>
        <w:ind w:hanging="447" w:start="709"/>
        <w:jc w:val="both"/>
        <w:rPr/>
      </w:pPr>
      <w:r>
        <w:rPr>
          <w:rStyle w:val="Numatytasispastraiposriftas"/>
          <w:rFonts w:cs="Arial" w:ascii="Arial" w:hAnsi="Arial"/>
          <w:bCs/>
          <w:iCs/>
          <w:sz w:val="22"/>
          <w:szCs w:val="22"/>
          <w:lang w:val="lt-LT"/>
        </w:rPr>
        <w:t>Darbdavio civilinės atsakomybės draudimo apsauga įsigalioja nuo darbuotojo įdarbinimo momento.</w:t>
      </w:r>
    </w:p>
    <w:p>
      <w:pPr>
        <w:pStyle w:val="Sraopastraipa"/>
        <w:numPr>
          <w:ilvl w:val="1"/>
          <w:numId w:val="14"/>
        </w:numPr>
        <w:ind w:hanging="447" w:start="709"/>
        <w:jc w:val="both"/>
        <w:rPr/>
      </w:pPr>
      <w:r>
        <w:rPr>
          <w:rStyle w:val="Numatytasispastraiposriftas"/>
          <w:rFonts w:cs="Arial" w:ascii="Arial" w:hAnsi="Arial"/>
          <w:bCs/>
          <w:iCs/>
          <w:sz w:val="22"/>
          <w:szCs w:val="22"/>
          <w:lang w:val="lt-LT"/>
        </w:rPr>
        <w:t>Studentai, praktikantai, mokiniai, už kuriuos darbdavys neprivalo mokėti socialinio draudimo įmokų, tačiau jie veikia Draudėjo naudai, šios sutarties apimtimi yra prilyginami Draudėjo darbuotojams.</w:t>
      </w:r>
    </w:p>
    <w:p>
      <w:pPr>
        <w:pStyle w:val="Sraopastraipa"/>
        <w:numPr>
          <w:ilvl w:val="1"/>
          <w:numId w:val="14"/>
        </w:numPr>
        <w:ind w:hanging="447" w:start="709"/>
        <w:jc w:val="both"/>
        <w:rPr/>
      </w:pPr>
      <w:r>
        <w:rPr>
          <w:rStyle w:val="Numatytasispastraiposriftas"/>
          <w:rFonts w:cs="Arial" w:ascii="Arial" w:hAnsi="Arial"/>
          <w:bCs/>
          <w:iCs/>
          <w:sz w:val="22"/>
          <w:szCs w:val="22"/>
          <w:lang w:val="lt-LT"/>
        </w:rPr>
        <w:t>Rizikos padidėjimu nėra laikomas papildomų pareigybių ar darbo vietų įrengimas bei naujų darbuotojų priėmimas į darbą, jei darbuotojų pokytis yra ne didesnis kaip 20%, vertinant darbuotojų skaičių poliso sudarymo metu.</w:t>
      </w:r>
    </w:p>
    <w:p>
      <w:pPr>
        <w:pStyle w:val="Sraopastraipa"/>
        <w:numPr>
          <w:ilvl w:val="1"/>
          <w:numId w:val="14"/>
        </w:numPr>
        <w:ind w:hanging="447" w:start="709"/>
        <w:jc w:val="both"/>
        <w:rPr/>
      </w:pPr>
      <w:r>
        <w:rPr>
          <w:rStyle w:val="Numatytasispastraiposriftas"/>
          <w:rFonts w:cs="Arial" w:ascii="Arial" w:hAnsi="Arial"/>
          <w:bCs/>
          <w:iCs/>
          <w:sz w:val="22"/>
          <w:szCs w:val="22"/>
          <w:lang w:val="lt-LT"/>
        </w:rPr>
        <w:t>Darbdavio civilinės atsakomybės draudimo apsauga galioja kai darbuotojai komandiruočių ir/ar stažuočių metu užsiima fiziniu darbu/veikla.</w:t>
      </w:r>
    </w:p>
    <w:p>
      <w:pPr>
        <w:pStyle w:val="Sraopastraipa"/>
        <w:ind w:start="709"/>
        <w:jc w:val="both"/>
        <w:rPr>
          <w:rFonts w:ascii="Arial" w:hAnsi="Arial" w:cs="Arial"/>
          <w:sz w:val="22"/>
          <w:szCs w:val="22"/>
        </w:rPr>
      </w:pPr>
      <w:r>
        <w:rPr>
          <w:rFonts w:cs="Arial" w:ascii="Arial" w:hAnsi="Arial"/>
          <w:sz w:val="22"/>
          <w:szCs w:val="22"/>
        </w:rPr>
      </w:r>
    </w:p>
    <w:p>
      <w:pPr>
        <w:pStyle w:val="Heading1"/>
        <w:numPr>
          <w:ilvl w:val="0"/>
          <w:numId w:val="2"/>
        </w:numPr>
        <w:jc w:val="start"/>
        <w:outlineLvl w:val="9"/>
        <w:rPr/>
      </w:pPr>
      <w:bookmarkStart w:id="20" w:name="_Toc54690194"/>
      <w:r>
        <w:rPr>
          <w:rStyle w:val="Numatytasispastraiposriftas"/>
          <w:rFonts w:cs="Arial" w:ascii="Arial" w:hAnsi="Arial"/>
          <w:b/>
          <w:caps/>
          <w:sz w:val="22"/>
          <w:szCs w:val="22"/>
        </w:rPr>
        <w:t>papildoma informacija</w:t>
      </w:r>
      <w:bookmarkEnd w:id="20"/>
    </w:p>
    <w:p>
      <w:pPr>
        <w:pStyle w:val="Heading2"/>
        <w:numPr>
          <w:ilvl w:val="1"/>
          <w:numId w:val="2"/>
        </w:numPr>
        <w:jc w:val="start"/>
        <w:outlineLvl w:val="9"/>
        <w:rPr/>
      </w:pPr>
      <w:r>
        <w:rPr>
          <w:rStyle w:val="Numatytasispastraiposriftas"/>
          <w:rFonts w:cs="Arial" w:ascii="Arial" w:hAnsi="Arial"/>
          <w:b/>
          <w:bCs/>
          <w:sz w:val="22"/>
          <w:szCs w:val="22"/>
        </w:rPr>
        <w:t xml:space="preserve"> </w:t>
      </w:r>
      <w:bookmarkStart w:id="21" w:name="_Toc54690195"/>
      <w:r>
        <w:rPr>
          <w:rStyle w:val="Numatytasispastraiposriftas"/>
          <w:rFonts w:cs="Arial" w:ascii="Arial" w:hAnsi="Arial"/>
          <w:b/>
          <w:bCs/>
          <w:sz w:val="22"/>
          <w:szCs w:val="22"/>
        </w:rPr>
        <w:t>Draudėjo duomenys</w:t>
      </w:r>
      <w:bookmarkEnd w:id="21"/>
    </w:p>
    <w:p>
      <w:pPr>
        <w:pStyle w:val="Normal"/>
        <w:rPr>
          <w:rFonts w:ascii="Arial" w:hAnsi="Arial"/>
          <w:sz w:val="22"/>
          <w:szCs w:val="22"/>
        </w:rPr>
      </w:pPr>
      <w:r>
        <w:rPr>
          <w:rFonts w:ascii="Arial" w:hAnsi="Arial"/>
          <w:sz w:val="22"/>
          <w:szCs w:val="22"/>
        </w:rPr>
      </w:r>
    </w:p>
    <w:tbl>
      <w:tblPr>
        <w:tblW w:w="9754" w:type="dxa"/>
        <w:jc w:val="start"/>
        <w:tblInd w:w="-113" w:type="dxa"/>
        <w:tblLayout w:type="fixed"/>
        <w:tblCellMar>
          <w:top w:w="0" w:type="dxa"/>
          <w:start w:w="108" w:type="dxa"/>
          <w:bottom w:w="0" w:type="dxa"/>
          <w:end w:w="108" w:type="dxa"/>
        </w:tblCellMar>
      </w:tblPr>
      <w:tblGrid>
        <w:gridCol w:w="2647"/>
        <w:gridCol w:w="2784"/>
        <w:gridCol w:w="2103"/>
        <w:gridCol w:w="2220"/>
      </w:tblGrid>
      <w:tr>
        <w:trPr>
          <w:trHeight w:val="677" w:hRule="atLeast"/>
        </w:trPr>
        <w:tc>
          <w:tcPr>
            <w:tcW w:w="26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Style w:val="Numatytasispastraiposriftas"/>
                <w:rFonts w:cs="Arial" w:ascii="Arial" w:hAnsi="Arial"/>
                <w:b/>
                <w:bCs/>
                <w:color w:val="000000"/>
                <w:sz w:val="22"/>
                <w:szCs w:val="22"/>
              </w:rPr>
              <w:t>Pajamos iš apdraudžiamos veiklos (2024 m.), mln. EUR</w:t>
            </w:r>
          </w:p>
        </w:tc>
        <w:tc>
          <w:tcPr>
            <w:tcW w:w="27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Style w:val="Numatytasispastraiposriftas"/>
                <w:rFonts w:cs="Arial" w:ascii="Arial" w:hAnsi="Arial"/>
                <w:b/>
                <w:bCs/>
                <w:color w:val="000000"/>
                <w:sz w:val="22"/>
                <w:szCs w:val="22"/>
              </w:rPr>
              <w:t>Planuojamos pajamos iš apdraudžiamos veiklos (2025 m.), mln. EUR</w:t>
            </w:r>
          </w:p>
        </w:tc>
        <w:tc>
          <w:tcPr>
            <w:tcW w:w="21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Style w:val="Numatytasispastraiposriftas"/>
                <w:rFonts w:cs="Arial" w:ascii="Arial" w:hAnsi="Arial"/>
                <w:b/>
                <w:bCs/>
                <w:color w:val="000000"/>
                <w:sz w:val="22"/>
                <w:szCs w:val="22"/>
              </w:rPr>
              <w:t>Darbuotojų skaičius (2025.01.</w:t>
            </w:r>
            <w:r>
              <w:rPr>
                <w:rStyle w:val="Numatytasispastraiposriftas"/>
                <w:rFonts w:cs="Arial" w:ascii="Arial" w:hAnsi="Arial"/>
                <w:b/>
                <w:bCs/>
                <w:color w:val="000000"/>
                <w:sz w:val="22"/>
                <w:szCs w:val="22"/>
                <w:lang w:val="en-US"/>
              </w:rPr>
              <w:t>01</w:t>
            </w:r>
            <w:r>
              <w:rPr>
                <w:rStyle w:val="Numatytasispastraiposriftas"/>
                <w:rFonts w:cs="Arial" w:ascii="Arial" w:hAnsi="Arial"/>
                <w:b/>
                <w:bCs/>
                <w:color w:val="000000"/>
                <w:sz w:val="22"/>
                <w:szCs w:val="22"/>
              </w:rPr>
              <w:t>)</w:t>
            </w:r>
          </w:p>
        </w:tc>
        <w:tc>
          <w:tcPr>
            <w:tcW w:w="2220" w:type="dxa"/>
            <w:tcBorders>
              <w:top w:val="single" w:sz="4" w:space="0" w:color="000000"/>
              <w:start w:val="single" w:sz="4" w:space="0" w:color="000000"/>
              <w:bottom w:val="single" w:sz="4" w:space="0" w:color="000000"/>
              <w:end w:val="single" w:sz="4" w:space="0" w:color="000000"/>
            </w:tcBorders>
          </w:tcPr>
          <w:p>
            <w:pPr>
              <w:pStyle w:val="Normal"/>
              <w:jc w:val="center"/>
              <w:rPr/>
            </w:pPr>
            <w:r>
              <w:rPr>
                <w:rStyle w:val="Numatytasispastraiposriftas"/>
                <w:rFonts w:cs="Arial" w:ascii="Arial" w:hAnsi="Arial"/>
                <w:b/>
                <w:bCs/>
                <w:color w:val="000000"/>
                <w:sz w:val="22"/>
                <w:szCs w:val="22"/>
              </w:rPr>
              <w:t>Valdomo nekilnojamo turto plotas, m</w:t>
            </w:r>
            <w:r>
              <w:rPr>
                <w:rStyle w:val="Numatytasispastraiposriftas"/>
                <w:rFonts w:cs="Arial" w:ascii="Arial" w:hAnsi="Arial"/>
                <w:b/>
                <w:bCs/>
                <w:color w:val="000000"/>
                <w:position w:val="6"/>
                <w:sz w:val="14"/>
                <w:sz w:val="22"/>
                <w:szCs w:val="22"/>
                <w:lang w:val="en-US"/>
              </w:rPr>
              <w:t>2</w:t>
            </w:r>
          </w:p>
        </w:tc>
      </w:tr>
      <w:tr>
        <w:trPr>
          <w:trHeight w:val="262" w:hRule="atLeast"/>
        </w:trPr>
        <w:tc>
          <w:tcPr>
            <w:tcW w:w="2647" w:type="dxa"/>
            <w:tcBorders>
              <w:top w:val="single" w:sz="4" w:space="0" w:color="000000"/>
              <w:start w:val="single" w:sz="4" w:space="0" w:color="000000"/>
              <w:bottom w:val="single" w:sz="4" w:space="0" w:color="000000"/>
              <w:end w:val="single" w:sz="4" w:space="0" w:color="000000"/>
            </w:tcBorders>
          </w:tcPr>
          <w:p>
            <w:pPr>
              <w:pStyle w:val="Normal"/>
              <w:jc w:val="end"/>
              <w:rPr/>
            </w:pPr>
            <w:r>
              <w:rPr>
                <w:rStyle w:val="Numatytasispastraiposriftas"/>
                <w:rFonts w:cs="Arial" w:ascii="Arial" w:hAnsi="Arial"/>
                <w:sz w:val="22"/>
                <w:szCs w:val="22"/>
              </w:rPr>
              <w:t>261</w:t>
            </w:r>
          </w:p>
        </w:tc>
        <w:tc>
          <w:tcPr>
            <w:tcW w:w="2784" w:type="dxa"/>
            <w:tcBorders>
              <w:top w:val="single" w:sz="4" w:space="0" w:color="000000"/>
              <w:start w:val="single" w:sz="4" w:space="0" w:color="000000"/>
              <w:bottom w:val="single" w:sz="4" w:space="0" w:color="000000"/>
              <w:end w:val="single" w:sz="4" w:space="0" w:color="000000"/>
            </w:tcBorders>
          </w:tcPr>
          <w:p>
            <w:pPr>
              <w:pStyle w:val="Normal"/>
              <w:jc w:val="end"/>
              <w:rPr/>
            </w:pPr>
            <w:r>
              <w:rPr>
                <w:rStyle w:val="Numatytasispastraiposriftas"/>
                <w:rFonts w:cs="Arial" w:ascii="Arial" w:hAnsi="Arial"/>
                <w:sz w:val="22"/>
                <w:szCs w:val="22"/>
              </w:rPr>
              <w:t>281,1</w:t>
            </w:r>
          </w:p>
        </w:tc>
        <w:tc>
          <w:tcPr>
            <w:tcW w:w="2103" w:type="dxa"/>
            <w:tcBorders>
              <w:top w:val="single" w:sz="4" w:space="0" w:color="000000"/>
              <w:start w:val="single" w:sz="4" w:space="0" w:color="000000"/>
              <w:bottom w:val="single" w:sz="4" w:space="0" w:color="000000"/>
              <w:end w:val="single" w:sz="4" w:space="0" w:color="000000"/>
            </w:tcBorders>
          </w:tcPr>
          <w:p>
            <w:pPr>
              <w:pStyle w:val="Normal"/>
              <w:jc w:val="end"/>
              <w:rPr/>
            </w:pPr>
            <w:r>
              <w:rPr>
                <w:rStyle w:val="Numatytasispastraiposriftas"/>
                <w:rFonts w:cs="Arial" w:ascii="Arial" w:hAnsi="Arial"/>
                <w:sz w:val="22"/>
                <w:szCs w:val="22"/>
                <w:lang w:val="en-US"/>
              </w:rPr>
              <w:t>2 338</w:t>
            </w:r>
          </w:p>
        </w:tc>
        <w:tc>
          <w:tcPr>
            <w:tcW w:w="2220" w:type="dxa"/>
            <w:tcBorders>
              <w:top w:val="single" w:sz="4" w:space="0" w:color="000000"/>
              <w:start w:val="single" w:sz="4" w:space="0" w:color="000000"/>
              <w:bottom w:val="single" w:sz="4" w:space="0" w:color="000000"/>
              <w:end w:val="single" w:sz="4" w:space="0" w:color="000000"/>
            </w:tcBorders>
          </w:tcPr>
          <w:p>
            <w:pPr>
              <w:pStyle w:val="Normal"/>
              <w:jc w:val="end"/>
              <w:rPr/>
            </w:pPr>
            <w:r>
              <w:rPr>
                <w:rStyle w:val="Numatytasispastraiposriftas"/>
                <w:rFonts w:cs="Arial" w:ascii="Arial" w:hAnsi="Arial"/>
                <w:sz w:val="22"/>
                <w:szCs w:val="22"/>
              </w:rPr>
              <w:t>apie 190 000</w:t>
            </w:r>
          </w:p>
        </w:tc>
      </w:tr>
    </w:tbl>
    <w:p>
      <w:pPr>
        <w:pStyle w:val="Normal"/>
        <w:rPr>
          <w:rFonts w:ascii="Arial" w:hAnsi="Arial" w:cs="Arial"/>
          <w:b/>
          <w:bCs/>
          <w:sz w:val="22"/>
          <w:szCs w:val="22"/>
        </w:rPr>
      </w:pPr>
      <w:r>
        <w:rPr>
          <w:rFonts w:cs="Arial" w:ascii="Arial" w:hAnsi="Arial"/>
          <w:b/>
          <w:bCs/>
          <w:sz w:val="22"/>
          <w:szCs w:val="22"/>
        </w:rPr>
      </w:r>
    </w:p>
    <w:p>
      <w:pPr>
        <w:pStyle w:val="Heading2"/>
        <w:numPr>
          <w:ilvl w:val="1"/>
          <w:numId w:val="2"/>
        </w:numPr>
        <w:jc w:val="start"/>
        <w:outlineLvl w:val="9"/>
        <w:rPr/>
      </w:pPr>
      <w:bookmarkStart w:id="22" w:name="_Toc54690196"/>
      <w:r>
        <w:rPr>
          <w:rStyle w:val="Numatytasispastraiposriftas"/>
          <w:rFonts w:cs="Arial" w:ascii="Arial" w:hAnsi="Arial"/>
          <w:b/>
          <w:bCs/>
          <w:sz w:val="22"/>
          <w:szCs w:val="22"/>
        </w:rPr>
        <w:t>Draudėjui patikėtas turtas</w:t>
      </w:r>
      <w:bookmarkEnd w:id="22"/>
      <w:r>
        <w:rPr>
          <w:rStyle w:val="Numatytasispastraiposriftas"/>
          <w:rFonts w:cs="Arial" w:ascii="Arial" w:hAnsi="Arial"/>
          <w:b/>
          <w:bCs/>
          <w:sz w:val="22"/>
          <w:szCs w:val="22"/>
        </w:rPr>
        <w:t>*</w:t>
      </w:r>
    </w:p>
    <w:p>
      <w:pPr>
        <w:pStyle w:val="Normal"/>
        <w:rPr>
          <w:rFonts w:ascii="Arial" w:hAnsi="Arial"/>
          <w:sz w:val="22"/>
          <w:szCs w:val="22"/>
        </w:rPr>
      </w:pPr>
      <w:r>
        <w:rPr>
          <w:rFonts w:ascii="Arial" w:hAnsi="Arial"/>
          <w:sz w:val="22"/>
          <w:szCs w:val="22"/>
        </w:rPr>
      </w:r>
    </w:p>
    <w:tbl>
      <w:tblPr>
        <w:tblW w:w="9754" w:type="dxa"/>
        <w:jc w:val="start"/>
        <w:tblInd w:w="-113" w:type="dxa"/>
        <w:tblLayout w:type="fixed"/>
        <w:tblCellMar>
          <w:top w:w="0" w:type="dxa"/>
          <w:start w:w="108" w:type="dxa"/>
          <w:bottom w:w="0" w:type="dxa"/>
          <w:end w:w="108" w:type="dxa"/>
        </w:tblCellMar>
      </w:tblPr>
      <w:tblGrid>
        <w:gridCol w:w="6948"/>
        <w:gridCol w:w="2806"/>
      </w:tblGrid>
      <w:tr>
        <w:trPr>
          <w:trHeight w:val="447" w:hRule="atLeast"/>
        </w:trPr>
        <w:tc>
          <w:tcPr>
            <w:tcW w:w="69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Style w:val="Numatytasispastraiposriftas"/>
                <w:rFonts w:cs="Arial" w:ascii="Arial" w:hAnsi="Arial"/>
                <w:b/>
                <w:bCs/>
                <w:color w:val="000000"/>
                <w:sz w:val="22"/>
                <w:szCs w:val="22"/>
              </w:rPr>
              <w:t>Adresas</w:t>
            </w:r>
          </w:p>
        </w:tc>
        <w:tc>
          <w:tcPr>
            <w:tcW w:w="280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Style w:val="Numatytasispastraiposriftas"/>
                <w:rFonts w:cs="Arial" w:ascii="Arial" w:hAnsi="Arial"/>
                <w:b/>
                <w:bCs/>
                <w:color w:val="000000"/>
                <w:sz w:val="22"/>
                <w:szCs w:val="22"/>
              </w:rPr>
              <w:t>Išsinuomoto objekto plotas, m</w:t>
            </w:r>
            <w:r>
              <w:rPr>
                <w:rStyle w:val="Numatytasispastraiposriftas"/>
                <w:rFonts w:cs="Arial" w:ascii="Arial" w:hAnsi="Arial"/>
                <w:b/>
                <w:bCs/>
                <w:color w:val="000000"/>
                <w:position w:val="6"/>
                <w:sz w:val="14"/>
                <w:sz w:val="22"/>
                <w:szCs w:val="22"/>
              </w:rPr>
              <w:t>2</w:t>
            </w:r>
          </w:p>
        </w:tc>
      </w:tr>
      <w:tr>
        <w:trPr>
          <w:trHeight w:val="270" w:hRule="atLeast"/>
        </w:trPr>
        <w:tc>
          <w:tcPr>
            <w:tcW w:w="6948"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Vilnius, Savanorių pr. 176</w:t>
            </w:r>
          </w:p>
        </w:tc>
        <w:tc>
          <w:tcPr>
            <w:tcW w:w="2806"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sz w:val="22"/>
                <w:szCs w:val="22"/>
              </w:rPr>
              <w:t>1 565,14</w:t>
            </w:r>
          </w:p>
        </w:tc>
      </w:tr>
      <w:tr>
        <w:trPr>
          <w:trHeight w:val="264" w:hRule="atLeast"/>
        </w:trPr>
        <w:tc>
          <w:tcPr>
            <w:tcW w:w="6948"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Klaipėdos m. sav. Klaipėdos m. Smiltynės g. 18</w:t>
            </w:r>
          </w:p>
        </w:tc>
        <w:tc>
          <w:tcPr>
            <w:tcW w:w="2806"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sz w:val="22"/>
                <w:szCs w:val="22"/>
              </w:rPr>
              <w:t>124,77</w:t>
            </w:r>
          </w:p>
        </w:tc>
      </w:tr>
      <w:tr>
        <w:trPr>
          <w:trHeight w:val="254" w:hRule="atLeast"/>
        </w:trPr>
        <w:tc>
          <w:tcPr>
            <w:tcW w:w="6948"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Kaišia</w:t>
            </w:r>
            <w:r>
              <w:rPr>
                <w:rStyle w:val="Numatytasispastraiposriftas"/>
                <w:rFonts w:eastAsia="Arial" w:cs="Arial" w:ascii="Arial" w:hAnsi="Arial"/>
                <w:sz w:val="22"/>
                <w:szCs w:val="22"/>
              </w:rPr>
              <w:t xml:space="preserve">dorių r. sav., </w:t>
            </w:r>
            <w:r>
              <w:rPr>
                <w:rStyle w:val="Numatytasispastraiposriftas"/>
                <w:rFonts w:eastAsia="Arial" w:cs="Arial" w:ascii="Arial" w:hAnsi="Arial"/>
                <w:color w:val="000000"/>
                <w:sz w:val="22"/>
                <w:szCs w:val="22"/>
              </w:rPr>
              <w:t>Pravieniškių k. Pravieniškių g. 33</w:t>
            </w:r>
          </w:p>
        </w:tc>
        <w:tc>
          <w:tcPr>
            <w:tcW w:w="2806"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sz w:val="22"/>
                <w:szCs w:val="22"/>
              </w:rPr>
              <w:t>17,67</w:t>
            </w:r>
          </w:p>
        </w:tc>
      </w:tr>
      <w:tr>
        <w:trPr>
          <w:trHeight w:val="258" w:hRule="atLeast"/>
        </w:trPr>
        <w:tc>
          <w:tcPr>
            <w:tcW w:w="6948"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Kaišiad</w:t>
            </w:r>
            <w:r>
              <w:rPr>
                <w:rStyle w:val="Numatytasispastraiposriftas"/>
                <w:rFonts w:eastAsia="Arial" w:cs="Arial" w:ascii="Arial" w:hAnsi="Arial"/>
                <w:sz w:val="22"/>
                <w:szCs w:val="22"/>
              </w:rPr>
              <w:t xml:space="preserve">orių r. sav., </w:t>
            </w:r>
            <w:r>
              <w:rPr>
                <w:rStyle w:val="Numatytasispastraiposriftas"/>
                <w:rFonts w:eastAsia="Arial" w:cs="Arial" w:ascii="Arial" w:hAnsi="Arial"/>
                <w:color w:val="000000"/>
                <w:sz w:val="22"/>
                <w:szCs w:val="22"/>
              </w:rPr>
              <w:t>Kruonio mstl., Kalvių g. 2-3</w:t>
            </w:r>
          </w:p>
        </w:tc>
        <w:tc>
          <w:tcPr>
            <w:tcW w:w="2806"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sz w:val="22"/>
                <w:szCs w:val="22"/>
              </w:rPr>
              <w:t>54,93</w:t>
            </w:r>
          </w:p>
        </w:tc>
      </w:tr>
      <w:tr>
        <w:trPr>
          <w:trHeight w:val="106" w:hRule="atLeast"/>
        </w:trPr>
        <w:tc>
          <w:tcPr>
            <w:tcW w:w="6948"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Utenos r. sav., Vaikutėnų k., Sodų g. 11a</w:t>
            </w:r>
          </w:p>
        </w:tc>
        <w:tc>
          <w:tcPr>
            <w:tcW w:w="2806"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sz w:val="22"/>
                <w:szCs w:val="22"/>
              </w:rPr>
              <w:t>116,72</w:t>
            </w:r>
          </w:p>
        </w:tc>
      </w:tr>
      <w:tr>
        <w:trPr>
          <w:trHeight w:val="256" w:hRule="atLeast"/>
        </w:trPr>
        <w:tc>
          <w:tcPr>
            <w:tcW w:w="6948"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b/>
                <w:bCs/>
                <w:sz w:val="22"/>
                <w:szCs w:val="22"/>
              </w:rPr>
              <w:t>Iš viso:</w:t>
            </w:r>
          </w:p>
        </w:tc>
        <w:tc>
          <w:tcPr>
            <w:tcW w:w="2806"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b/>
                <w:bCs/>
                <w:sz w:val="22"/>
                <w:szCs w:val="22"/>
                <w:lang w:val="en-US"/>
              </w:rPr>
              <w:t>1 879,49</w:t>
            </w:r>
          </w:p>
        </w:tc>
      </w:tr>
      <w:tr>
        <w:trPr>
          <w:trHeight w:val="256" w:hRule="atLeast"/>
        </w:trPr>
        <w:tc>
          <w:tcPr>
            <w:tcW w:w="694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Style w:val="Numatytasispastraiposriftas"/>
                <w:rFonts w:cs="Arial" w:ascii="Arial" w:hAnsi="Arial"/>
                <w:b/>
                <w:bCs/>
                <w:sz w:val="22"/>
                <w:szCs w:val="22"/>
              </w:rPr>
              <w:t>Išsinuomotas turtas</w:t>
            </w:r>
          </w:p>
        </w:tc>
        <w:tc>
          <w:tcPr>
            <w:tcW w:w="2806"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b/>
                <w:bCs/>
                <w:sz w:val="22"/>
                <w:szCs w:val="22"/>
                <w:lang w:val="en-US"/>
              </w:rPr>
              <w:t>Nuomotojas</w:t>
            </w:r>
          </w:p>
        </w:tc>
      </w:tr>
      <w:tr>
        <w:trPr>
          <w:trHeight w:val="256" w:hRule="atLeast"/>
        </w:trPr>
        <w:tc>
          <w:tcPr>
            <w:tcW w:w="6948"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Bokštas AAMGSS detektoriaus patalpinimui</w:t>
            </w:r>
          </w:p>
        </w:tc>
        <w:tc>
          <w:tcPr>
            <w:tcW w:w="2806"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sz w:val="22"/>
                <w:szCs w:val="22"/>
                <w:lang w:val="en-US"/>
              </w:rPr>
              <w:t>AB Lietuvos radijo ir televizijos centras</w:t>
            </w:r>
          </w:p>
        </w:tc>
      </w:tr>
      <w:tr>
        <w:trPr>
          <w:trHeight w:val="256" w:hRule="atLeast"/>
        </w:trPr>
        <w:tc>
          <w:tcPr>
            <w:tcW w:w="6948"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56 vietos bokštuose AAMGSS detektoriaus patalpinimui</w:t>
            </w:r>
          </w:p>
        </w:tc>
        <w:tc>
          <w:tcPr>
            <w:tcW w:w="2806"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sz w:val="22"/>
                <w:szCs w:val="22"/>
                <w:lang w:val="en-US"/>
              </w:rPr>
              <w:t>AB TELIA</w:t>
            </w:r>
          </w:p>
        </w:tc>
      </w:tr>
      <w:tr>
        <w:trPr>
          <w:trHeight w:val="256" w:hRule="atLeast"/>
        </w:trPr>
        <w:tc>
          <w:tcPr>
            <w:tcW w:w="6948"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Ploto nuoma įrangos (AAMGSS) talpinimui</w:t>
            </w:r>
          </w:p>
        </w:tc>
        <w:tc>
          <w:tcPr>
            <w:tcW w:w="2806"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sz w:val="22"/>
                <w:szCs w:val="22"/>
                <w:lang w:val="en-US"/>
              </w:rPr>
              <w:t>UAB Kretingos vandenys</w:t>
            </w:r>
          </w:p>
        </w:tc>
      </w:tr>
      <w:tr>
        <w:trPr>
          <w:trHeight w:val="256" w:hRule="atLeast"/>
        </w:trPr>
        <w:tc>
          <w:tcPr>
            <w:tcW w:w="6948"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Įrangos (AAMGSS) talpinimas Nidos radiorelinėje stotyje</w:t>
            </w:r>
          </w:p>
        </w:tc>
        <w:tc>
          <w:tcPr>
            <w:tcW w:w="2806"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sz w:val="22"/>
                <w:szCs w:val="22"/>
                <w:lang w:val="en-US"/>
              </w:rPr>
              <w:t>AB Lietuvos radijo ir televizijos centras</w:t>
            </w:r>
          </w:p>
        </w:tc>
      </w:tr>
      <w:tr>
        <w:trPr>
          <w:trHeight w:val="256" w:hRule="atLeast"/>
        </w:trPr>
        <w:tc>
          <w:tcPr>
            <w:tcW w:w="6948"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13 vietos bokštuose AAMGSS detektoriaus patalpinimui</w:t>
            </w:r>
          </w:p>
        </w:tc>
        <w:tc>
          <w:tcPr>
            <w:tcW w:w="2806"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sz w:val="22"/>
                <w:szCs w:val="22"/>
                <w:lang w:val="en-US"/>
              </w:rPr>
              <w:t>UAB Tele Tower</w:t>
            </w:r>
          </w:p>
        </w:tc>
      </w:tr>
      <w:tr>
        <w:trPr>
          <w:trHeight w:val="256" w:hRule="atLeast"/>
        </w:trPr>
        <w:tc>
          <w:tcPr>
            <w:tcW w:w="6948"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Bokštas AAMGSS detektoriaus talpinimui</w:t>
            </w:r>
          </w:p>
        </w:tc>
        <w:tc>
          <w:tcPr>
            <w:tcW w:w="2806"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sz w:val="22"/>
                <w:szCs w:val="22"/>
                <w:lang w:val="en-US"/>
              </w:rPr>
              <w:t>UAB Tele2</w:t>
            </w:r>
          </w:p>
        </w:tc>
      </w:tr>
      <w:tr>
        <w:trPr>
          <w:trHeight w:val="256" w:hRule="atLeast"/>
        </w:trPr>
        <w:tc>
          <w:tcPr>
            <w:tcW w:w="6948"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Bokštas AAMGSS detektoriaus talpinimui</w:t>
            </w:r>
          </w:p>
        </w:tc>
        <w:tc>
          <w:tcPr>
            <w:tcW w:w="2806"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sz w:val="22"/>
                <w:szCs w:val="22"/>
                <w:lang w:val="en-US"/>
              </w:rPr>
              <w:t>AB Lietuvos radijo ir televizijos centras</w:t>
            </w:r>
          </w:p>
        </w:tc>
      </w:tr>
      <w:tr>
        <w:trPr>
          <w:trHeight w:val="256" w:hRule="atLeast"/>
        </w:trPr>
        <w:tc>
          <w:tcPr>
            <w:tcW w:w="6948" w:type="dxa"/>
            <w:tcBorders>
              <w:top w:val="single" w:sz="4" w:space="0" w:color="000000"/>
              <w:start w:val="single" w:sz="4" w:space="0" w:color="000000"/>
              <w:bottom w:val="single" w:sz="4" w:space="0" w:color="000000"/>
              <w:end w:val="single" w:sz="4" w:space="0" w:color="000000"/>
            </w:tcBorders>
            <w:vAlign w:val="center"/>
          </w:tcPr>
          <w:p>
            <w:pPr>
              <w:pStyle w:val="Normal"/>
              <w:rPr/>
            </w:pPr>
            <w:r>
              <w:rPr>
                <w:rStyle w:val="Numatytasispastraiposriftas"/>
                <w:rFonts w:cs="Arial" w:ascii="Arial" w:hAnsi="Arial"/>
                <w:sz w:val="22"/>
                <w:szCs w:val="22"/>
              </w:rPr>
              <w:t>Bokštas AAMGSS detektoriaus talpinimui</w:t>
            </w:r>
          </w:p>
        </w:tc>
        <w:tc>
          <w:tcPr>
            <w:tcW w:w="2806" w:type="dxa"/>
            <w:tcBorders>
              <w:top w:val="single" w:sz="4" w:space="0" w:color="000000"/>
              <w:start w:val="single" w:sz="4" w:space="0" w:color="000000"/>
              <w:bottom w:val="single" w:sz="4" w:space="0" w:color="000000"/>
              <w:end w:val="single" w:sz="4" w:space="0" w:color="000000"/>
            </w:tcBorders>
            <w:vAlign w:val="center"/>
          </w:tcPr>
          <w:p>
            <w:pPr>
              <w:pStyle w:val="Normal"/>
              <w:jc w:val="end"/>
              <w:rPr/>
            </w:pPr>
            <w:r>
              <w:rPr>
                <w:rStyle w:val="Numatytasispastraiposriftas"/>
                <w:rFonts w:cs="Arial" w:ascii="Arial" w:hAnsi="Arial"/>
                <w:sz w:val="22"/>
                <w:szCs w:val="22"/>
                <w:lang w:val="en-US"/>
              </w:rPr>
              <w:t>UAB Šilutės girnos</w:t>
            </w:r>
          </w:p>
        </w:tc>
      </w:tr>
    </w:tbl>
    <w:p>
      <w:pPr>
        <w:pStyle w:val="Normal"/>
        <w:jc w:val="both"/>
        <w:rPr/>
      </w:pPr>
      <w:r>
        <w:rPr>
          <w:rStyle w:val="Numatytasispastraiposriftas"/>
          <w:rFonts w:cs="Arial" w:ascii="Arial" w:hAnsi="Arial"/>
          <w:sz w:val="22"/>
          <w:szCs w:val="22"/>
        </w:rPr>
        <w:t xml:space="preserve">*pateiktas sąrašas yra informacinio pobūdžio ir skirtas tik rizikos vertinimui. </w:t>
      </w:r>
      <w:r>
        <w:rPr>
          <w:rStyle w:val="Numatytasispastraiposriftas"/>
          <w:rFonts w:cs="Arial" w:ascii="Arial" w:hAnsi="Arial"/>
          <w:color w:val="000000"/>
          <w:sz w:val="22"/>
          <w:szCs w:val="22"/>
          <w:lang w:eastAsia="lt-LT"/>
        </w:rPr>
        <w:t xml:space="preserve">Sąrašo paskirtis yra suprasti, kokie vienetai yra apdraudžiami. Šis sąrašas negali būti traktuojamas kaip baigtinis apdraudžiamų vienetų sąrašas. Bendras apdraudžiamas išsinuomoto ploto skaičius nebus didesnis kaip 3 000 </w:t>
      </w:r>
      <w:r>
        <w:rPr>
          <w:rStyle w:val="Numatytasispastraiposriftas"/>
          <w:rFonts w:cs="Arial" w:ascii="Arial" w:hAnsi="Arial"/>
          <w:color w:val="000000"/>
          <w:sz w:val="22"/>
          <w:szCs w:val="22"/>
        </w:rPr>
        <w:t>m</w:t>
      </w:r>
      <w:r>
        <w:rPr>
          <w:rStyle w:val="Numatytasispastraiposriftas"/>
          <w:rFonts w:cs="Arial" w:ascii="Arial" w:hAnsi="Arial"/>
          <w:color w:val="000000"/>
          <w:position w:val="6"/>
          <w:sz w:val="14"/>
          <w:sz w:val="22"/>
          <w:szCs w:val="22"/>
        </w:rPr>
        <w:t>2.</w:t>
      </w:r>
    </w:p>
    <w:p>
      <w:pPr>
        <w:pStyle w:val="Normal"/>
        <w:rPr>
          <w:rFonts w:ascii="Arial" w:hAnsi="Arial" w:cs="Arial"/>
          <w:sz w:val="22"/>
          <w:szCs w:val="22"/>
        </w:rPr>
      </w:pPr>
      <w:r>
        <w:rPr>
          <w:rFonts w:cs="Arial" w:ascii="Arial" w:hAnsi="Arial"/>
          <w:sz w:val="22"/>
          <w:szCs w:val="22"/>
        </w:rPr>
      </w:r>
    </w:p>
    <w:p>
      <w:pPr>
        <w:pStyle w:val="Heading2"/>
        <w:numPr>
          <w:ilvl w:val="1"/>
          <w:numId w:val="2"/>
        </w:numPr>
        <w:jc w:val="start"/>
        <w:outlineLvl w:val="9"/>
        <w:rPr/>
      </w:pPr>
      <w:bookmarkStart w:id="23" w:name="_Toc54690197"/>
      <w:r>
        <w:rPr>
          <w:rStyle w:val="Numatytasispastraiposriftas"/>
          <w:rFonts w:cs="Arial" w:ascii="Arial" w:hAnsi="Arial"/>
          <w:b/>
          <w:bCs/>
          <w:sz w:val="22"/>
          <w:szCs w:val="22"/>
        </w:rPr>
        <w:t>Papildomi duomenys</w:t>
      </w:r>
      <w:bookmarkEnd w:id="23"/>
    </w:p>
    <w:p>
      <w:pPr>
        <w:pStyle w:val="Normal"/>
        <w:rPr>
          <w:rFonts w:ascii="Arial" w:hAnsi="Arial"/>
          <w:sz w:val="22"/>
          <w:szCs w:val="22"/>
        </w:rPr>
      </w:pPr>
      <w:r>
        <w:rPr>
          <w:rFonts w:ascii="Arial" w:hAnsi="Arial"/>
          <w:sz w:val="22"/>
          <w:szCs w:val="22"/>
        </w:rPr>
      </w:r>
    </w:p>
    <w:p>
      <w:pPr>
        <w:pStyle w:val="Normal"/>
        <w:numPr>
          <w:ilvl w:val="0"/>
          <w:numId w:val="6"/>
        </w:numPr>
        <w:jc w:val="both"/>
        <w:rPr/>
      </w:pPr>
      <w:r>
        <w:rPr>
          <w:rStyle w:val="Numatytasispastraiposriftas"/>
          <w:rFonts w:cs="Arial" w:ascii="Arial" w:hAnsi="Arial"/>
          <w:sz w:val="22"/>
          <w:szCs w:val="22"/>
          <w:lang w:eastAsia="lt-LT"/>
        </w:rPr>
        <w:t>Patikėjimo teise Draudėjas valdo pusę Lietuvos miškų – apie 1,1 mln. hektarų, iš kurių apie 227,8 tūkst. hektarų yra draustiniai ir kiti saugomi miškai.</w:t>
      </w:r>
    </w:p>
    <w:p>
      <w:pPr>
        <w:pStyle w:val="Normal"/>
        <w:numPr>
          <w:ilvl w:val="0"/>
          <w:numId w:val="6"/>
        </w:numPr>
        <w:jc w:val="both"/>
        <w:rPr/>
      </w:pPr>
      <w:r>
        <w:rPr>
          <w:rStyle w:val="Numatytasispastraiposriftas"/>
          <w:rFonts w:cs="Arial" w:ascii="Arial" w:hAnsi="Arial"/>
          <w:sz w:val="22"/>
          <w:szCs w:val="22"/>
          <w:lang w:eastAsia="lt-LT"/>
        </w:rPr>
        <w:t>Per metus paruošia apie 3,7 mln. m</w:t>
      </w:r>
      <w:r>
        <w:rPr>
          <w:rStyle w:val="Numatytasispastraiposriftas"/>
          <w:rFonts w:cs="Arial" w:ascii="Arial" w:hAnsi="Arial"/>
          <w:position w:val="6"/>
          <w:sz w:val="14"/>
          <w:sz w:val="22"/>
          <w:szCs w:val="22"/>
          <w:lang w:eastAsia="lt-LT"/>
        </w:rPr>
        <w:t>3</w:t>
      </w:r>
      <w:r>
        <w:rPr>
          <w:rStyle w:val="Numatytasispastraiposriftas"/>
          <w:rFonts w:cs="Arial" w:ascii="Arial" w:hAnsi="Arial"/>
          <w:sz w:val="22"/>
          <w:szCs w:val="22"/>
          <w:lang w:eastAsia="lt-LT"/>
        </w:rPr>
        <w:t xml:space="preserve"> žaliavinės medienos.</w:t>
      </w:r>
    </w:p>
    <w:p>
      <w:pPr>
        <w:pStyle w:val="Normal"/>
        <w:numPr>
          <w:ilvl w:val="0"/>
          <w:numId w:val="6"/>
        </w:numPr>
        <w:jc w:val="both"/>
        <w:rPr/>
      </w:pPr>
      <w:r>
        <w:rPr>
          <w:rStyle w:val="Numatytasispastraiposriftas"/>
          <w:rFonts w:cs="Arial" w:ascii="Arial" w:hAnsi="Arial"/>
          <w:sz w:val="22"/>
          <w:szCs w:val="22"/>
          <w:lang w:eastAsia="lt-LT"/>
        </w:rPr>
        <w:t>Koreguotas grynasis pelnas – apie 46 mln. eurų per metus.</w:t>
      </w:r>
    </w:p>
    <w:p>
      <w:pPr>
        <w:pStyle w:val="Normal"/>
        <w:numPr>
          <w:ilvl w:val="0"/>
          <w:numId w:val="6"/>
        </w:numPr>
        <w:jc w:val="both"/>
        <w:rPr/>
      </w:pPr>
      <w:r>
        <w:rPr>
          <w:rStyle w:val="Numatytasispastraiposriftas"/>
          <w:rFonts w:cs="Arial" w:ascii="Arial" w:hAnsi="Arial"/>
          <w:sz w:val="22"/>
          <w:szCs w:val="22"/>
          <w:lang w:eastAsia="lt-LT"/>
        </w:rPr>
        <w:t>Kasmet atkuria apie 9 500 hektarų valstybinių miškų ir įveisia apie 250 hektarus naujų.</w:t>
      </w:r>
    </w:p>
    <w:p>
      <w:pPr>
        <w:pStyle w:val="Normal"/>
        <w:numPr>
          <w:ilvl w:val="0"/>
          <w:numId w:val="6"/>
        </w:numPr>
        <w:jc w:val="both"/>
        <w:rPr/>
      </w:pPr>
      <w:r>
        <w:rPr>
          <w:rStyle w:val="Numatytasispastraiposriftas"/>
          <w:rFonts w:cs="Arial" w:ascii="Arial" w:hAnsi="Arial"/>
          <w:sz w:val="22"/>
          <w:szCs w:val="22"/>
          <w:lang w:eastAsia="lt-LT"/>
        </w:rPr>
        <w:t>Per metus išaugina apie 50 mln. vienetų miško sodmenų.</w:t>
      </w:r>
    </w:p>
    <w:p>
      <w:pPr>
        <w:pStyle w:val="Normal"/>
        <w:numPr>
          <w:ilvl w:val="0"/>
          <w:numId w:val="6"/>
        </w:numPr>
        <w:jc w:val="both"/>
        <w:rPr/>
      </w:pPr>
      <w:r>
        <w:rPr>
          <w:rStyle w:val="Numatytasispastraiposriftas"/>
          <w:rFonts w:cs="Arial" w:ascii="Arial" w:hAnsi="Arial"/>
          <w:sz w:val="22"/>
          <w:szCs w:val="22"/>
          <w:lang w:eastAsia="lt-LT"/>
        </w:rPr>
        <w:t>Prižiūri apie 39 100 km miško kelių tinklą.</w:t>
      </w:r>
    </w:p>
    <w:p>
      <w:pPr>
        <w:pStyle w:val="Normal"/>
        <w:numPr>
          <w:ilvl w:val="0"/>
          <w:numId w:val="6"/>
        </w:numPr>
        <w:jc w:val="both"/>
        <w:rPr/>
      </w:pPr>
      <w:r>
        <w:rPr>
          <w:rStyle w:val="Numatytasispastraiposriftas"/>
          <w:rFonts w:cs="Arial" w:ascii="Arial" w:hAnsi="Arial"/>
          <w:sz w:val="22"/>
          <w:szCs w:val="22"/>
          <w:lang w:eastAsia="lt-LT"/>
        </w:rPr>
        <w:t>Prižiūri apie 1 107 rekreacinių objektų.</w:t>
      </w:r>
    </w:p>
    <w:p>
      <w:pPr>
        <w:pStyle w:val="Heading2"/>
        <w:tabs>
          <w:tab w:val="clear" w:pos="709"/>
          <w:tab w:val="left" w:pos="0" w:leader="none"/>
        </w:tabs>
        <w:ind w:hanging="0" w:start="0"/>
        <w:jc w:val="start"/>
        <w:rPr>
          <w:rFonts w:ascii="Arial" w:hAnsi="Arial" w:cs="Arial"/>
          <w:b/>
          <w:bCs/>
          <w:sz w:val="22"/>
          <w:szCs w:val="22"/>
        </w:rPr>
      </w:pPr>
      <w:r>
        <w:rPr>
          <w:rFonts w:cs="Arial" w:ascii="Arial" w:hAnsi="Arial"/>
          <w:b/>
          <w:bCs/>
          <w:sz w:val="22"/>
          <w:szCs w:val="22"/>
        </w:rPr>
      </w:r>
    </w:p>
    <w:p>
      <w:pPr>
        <w:pStyle w:val="Heading2"/>
        <w:numPr>
          <w:ilvl w:val="1"/>
          <w:numId w:val="2"/>
        </w:numPr>
        <w:jc w:val="start"/>
        <w:outlineLvl w:val="9"/>
        <w:rPr/>
      </w:pPr>
      <w:r>
        <w:rPr>
          <w:rStyle w:val="Numatytasispastraiposriftas"/>
          <w:rFonts w:cs="Arial" w:ascii="Arial" w:hAnsi="Arial"/>
          <w:b/>
          <w:bCs/>
          <w:sz w:val="22"/>
          <w:szCs w:val="22"/>
        </w:rPr>
        <w:t xml:space="preserve"> </w:t>
      </w:r>
      <w:bookmarkStart w:id="24" w:name="_Toc54690198"/>
      <w:r>
        <w:rPr>
          <w:rStyle w:val="Numatytasispastraiposriftas"/>
          <w:rFonts w:cs="Arial" w:ascii="Arial" w:hAnsi="Arial"/>
          <w:b/>
          <w:bCs/>
          <w:sz w:val="22"/>
          <w:szCs w:val="22"/>
        </w:rPr>
        <w:t>Žalų istorija</w:t>
      </w:r>
      <w:bookmarkEnd w:id="24"/>
    </w:p>
    <w:p>
      <w:pPr>
        <w:pStyle w:val="Normal"/>
        <w:rPr>
          <w:rFonts w:ascii="Arial" w:hAnsi="Arial"/>
          <w:sz w:val="22"/>
          <w:szCs w:val="22"/>
        </w:rPr>
      </w:pPr>
      <w:r>
        <w:rPr>
          <w:rFonts w:ascii="Arial" w:hAnsi="Arial"/>
          <w:sz w:val="22"/>
          <w:szCs w:val="22"/>
        </w:rPr>
      </w:r>
    </w:p>
    <w:p>
      <w:pPr>
        <w:pStyle w:val="Normal"/>
        <w:rPr/>
      </w:pPr>
      <w:r>
        <w:rPr>
          <w:rStyle w:val="Numatytasispastraiposriftas"/>
          <w:rFonts w:cs="Arial" w:ascii="Arial" w:hAnsi="Arial"/>
          <w:b/>
          <w:sz w:val="22"/>
          <w:szCs w:val="22"/>
        </w:rPr>
        <w:t>Veiklos ir produkto civilinės atsakomybės draudimas, atsakomybės už patikėtą turtą draudimas</w:t>
      </w:r>
    </w:p>
    <w:p>
      <w:pPr>
        <w:pStyle w:val="Normal"/>
        <w:jc w:val="both"/>
        <w:rPr/>
      </w:pPr>
      <w:r>
        <w:rPr>
          <w:rStyle w:val="Numatytasispastraiposriftas"/>
          <w:rFonts w:cs="Arial" w:ascii="Arial" w:hAnsi="Arial"/>
          <w:sz w:val="22"/>
          <w:szCs w:val="22"/>
        </w:rPr>
        <w:t>2021 04 15 – 2022 04 14          išmokų nebuvo.</w:t>
      </w:r>
    </w:p>
    <w:p>
      <w:pPr>
        <w:pStyle w:val="Normal"/>
        <w:jc w:val="both"/>
        <w:rPr/>
      </w:pPr>
      <w:r>
        <w:rPr>
          <w:rStyle w:val="Numatytasispastraiposriftas"/>
          <w:rFonts w:cs="Arial" w:ascii="Arial" w:hAnsi="Arial"/>
          <w:sz w:val="22"/>
          <w:szCs w:val="22"/>
        </w:rPr>
        <w:t>2022 04 15 – 2023 04 14         1  įvykis,  rezervuotos išmokos ir išmokėtos išmokos  14 534 Eur.</w:t>
      </w:r>
    </w:p>
    <w:p>
      <w:pPr>
        <w:pStyle w:val="Normal"/>
        <w:jc w:val="both"/>
        <w:rPr/>
      </w:pPr>
      <w:r>
        <w:rPr>
          <w:rStyle w:val="Numatytasispastraiposriftas"/>
          <w:rFonts w:cs="Arial" w:ascii="Arial" w:hAnsi="Arial"/>
          <w:sz w:val="22"/>
          <w:szCs w:val="22"/>
        </w:rPr>
        <w:t>2023 04 15 – 2024 04 14         4 įvykiai, rezervuotos išmokos ir išmokėtos išmokos 27 054 Eur.</w:t>
      </w:r>
    </w:p>
    <w:p>
      <w:pPr>
        <w:pStyle w:val="Normal"/>
        <w:jc w:val="both"/>
        <w:rPr/>
      </w:pPr>
      <w:r>
        <w:rPr>
          <w:rStyle w:val="Numatytasispastraiposriftas"/>
          <w:rFonts w:cs="Arial" w:ascii="Arial" w:hAnsi="Arial"/>
          <w:sz w:val="22"/>
          <w:szCs w:val="22"/>
        </w:rPr>
        <w:t>2024 04 15 – 2025 01 04          išmokų nebuvo.</w:t>
      </w:r>
    </w:p>
    <w:p>
      <w:pPr>
        <w:pStyle w:val="Normal"/>
        <w:jc w:val="both"/>
        <w:rPr/>
      </w:pPr>
      <w:r>
        <w:rPr>
          <w:rStyle w:val="Numatytasispastraiposriftas"/>
          <w:rFonts w:cs="Arial" w:ascii="Arial" w:hAnsi="Arial"/>
          <w:b/>
          <w:bCs/>
          <w:sz w:val="22"/>
          <w:szCs w:val="22"/>
        </w:rPr>
        <w:t>Darbdavio civilinės atsakomybės draudimas</w:t>
      </w:r>
    </w:p>
    <w:p>
      <w:pPr>
        <w:pStyle w:val="Normal"/>
        <w:jc w:val="both"/>
        <w:rPr/>
      </w:pPr>
      <w:r>
        <w:rPr>
          <w:rStyle w:val="Numatytasispastraiposriftas"/>
          <w:rFonts w:cs="Arial" w:ascii="Arial" w:hAnsi="Arial"/>
          <w:sz w:val="22"/>
          <w:szCs w:val="22"/>
        </w:rPr>
        <w:t>2024 04 15 – 2025 01 04         išmokų nebuvo.</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0" w:characterSet="windows-1252"/>
    <w:family w:val="swiss"/>
    <w:pitch w:val="variable"/>
  </w:font>
  <w:font w:name="Courier New">
    <w:charset w:val="00" w:characterSet="windows-1252"/>
    <w:family w:val="modern"/>
    <w:pitch w:val="fixed"/>
  </w:font>
  <w:font w:name="Wingdings">
    <w:charset w:val="02"/>
    <w:family w:val="auto"/>
    <w:pitch w:val="variable"/>
  </w:font>
  <w:font w:name="Verdana">
    <w:charset w:val="00" w:characterSet="windows-1252"/>
    <w:family w:val="swiss"/>
    <w:pitch w:val="variable"/>
  </w:font>
  <w:font w:name="Calibri">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0"/>
        </w:tabs>
        <w:ind w:start="360" w:hanging="360"/>
      </w:pPr>
      <w:rPr>
        <w:sz w:val="20"/>
        <w:szCs w:val="20"/>
      </w:rPr>
    </w:lvl>
    <w:lvl w:ilvl="1">
      <w:start w:val="1"/>
      <w:numFmt w:val="decimal"/>
      <w:lvlText w:val="%1.%2."/>
      <w:lvlJc w:val="start"/>
      <w:pPr>
        <w:tabs>
          <w:tab w:val="num" w:pos="0"/>
        </w:tabs>
        <w:ind w:start="792" w:hanging="432"/>
      </w:pPr>
      <w:rPr>
        <w:sz w:val="20"/>
        <w:szCs w:val="20"/>
        <w:rFonts w:ascii="Arial" w:hAnsi="Arial" w:cs="Arial"/>
      </w:rPr>
    </w:lvl>
    <w:lvl w:ilvl="2">
      <w:start w:val="1"/>
      <w:numFmt w:val="decimal"/>
      <w:lvlText w:val="%1.%2.%3."/>
      <w:lvlJc w:val="start"/>
      <w:pPr>
        <w:tabs>
          <w:tab w:val="num" w:pos="0"/>
        </w:tabs>
        <w:ind w:start="1224" w:hanging="504"/>
      </w:pPr>
    </w:lvl>
    <w:lvl w:ilvl="3">
      <w:start w:val="1"/>
      <w:numFmt w:val="decimal"/>
      <w:lvlText w:val="%1.%2.%3.%4."/>
      <w:lvlJc w:val="start"/>
      <w:pPr>
        <w:tabs>
          <w:tab w:val="num" w:pos="0"/>
        </w:tabs>
        <w:ind w:start="1728" w:hanging="648"/>
      </w:pPr>
      <w:rPr>
        <w:sz w:val="24"/>
      </w:rPr>
    </w:lvl>
    <w:lvl w:ilvl="4">
      <w:start w:val="1"/>
      <w:numFmt w:val="decimal"/>
      <w:lvlText w:val="%1.%2.%3.%4.%5."/>
      <w:lvlJc w:val="start"/>
      <w:pPr>
        <w:tabs>
          <w:tab w:val="num" w:pos="0"/>
        </w:tabs>
        <w:ind w:start="2232" w:hanging="792"/>
      </w:pPr>
    </w:lvl>
    <w:lvl w:ilvl="5">
      <w:start w:val="1"/>
      <w:numFmt w:val="decimal"/>
      <w:lvlText w:val="%1.%2.%3.%4.%5.%6."/>
      <w:lvlJc w:val="start"/>
      <w:pPr>
        <w:tabs>
          <w:tab w:val="num" w:pos="0"/>
        </w:tabs>
        <w:ind w:start="2736" w:hanging="936"/>
      </w:pPr>
    </w:lvl>
    <w:lvl w:ilvl="6">
      <w:start w:val="1"/>
      <w:numFmt w:val="decimal"/>
      <w:lvlText w:val="%1.%2.%3.%4.%5.%6.%7."/>
      <w:lvlJc w:val="start"/>
      <w:pPr>
        <w:tabs>
          <w:tab w:val="num" w:pos="0"/>
        </w:tabs>
        <w:ind w:start="3240" w:hanging="1080"/>
      </w:pPr>
    </w:lvl>
    <w:lvl w:ilvl="7">
      <w:start w:val="1"/>
      <w:numFmt w:val="decimal"/>
      <w:lvlText w:val="%1.%2.%3.%4.%5.%6.%7.%8."/>
      <w:lvlJc w:val="start"/>
      <w:pPr>
        <w:tabs>
          <w:tab w:val="num" w:pos="0"/>
        </w:tabs>
        <w:ind w:start="3744" w:hanging="1224"/>
      </w:pPr>
    </w:lvl>
    <w:lvl w:ilvl="8">
      <w:start w:val="1"/>
      <w:numFmt w:val="decimal"/>
      <w:lvlText w:val="%1.%2.%3.%4.%5.%6.%7.%8.%9."/>
      <w:lvlJc w:val="start"/>
      <w:pPr>
        <w:tabs>
          <w:tab w:val="num" w:pos="0"/>
        </w:tabs>
        <w:ind w:start="4320" w:hanging="1440"/>
      </w:pPr>
    </w:lvl>
  </w:abstractNum>
  <w:abstractNum w:abstractNumId="3">
    <w:lvl w:ilvl="0">
      <w:start w:val="1"/>
      <w:numFmt w:val="bullet"/>
      <w:lvlText w:val="-"/>
      <w:lvlJc w:val="start"/>
      <w:pPr>
        <w:tabs>
          <w:tab w:val="num" w:pos="0"/>
        </w:tabs>
        <w:ind w:start="720" w:hanging="360"/>
      </w:pPr>
      <w:rPr>
        <w:rFonts w:ascii="Arial" w:hAnsi="Arial" w:cs="Aria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decimal"/>
      <w:lvlText w:val="%1."/>
      <w:lvlJc w:val="end"/>
      <w:pPr>
        <w:tabs>
          <w:tab w:val="num" w:pos="0"/>
        </w:tabs>
        <w:ind w:start="540" w:hanging="180"/>
      </w:pPr>
    </w:lvl>
    <w:lvl w:ilvl="1">
      <w:start w:val="1"/>
      <w:numFmt w:val="decimal"/>
      <w:lvlText w:val="%2"/>
      <w:lvlJc w:val="start"/>
      <w:pPr>
        <w:tabs>
          <w:tab w:val="num" w:pos="0"/>
        </w:tabs>
        <w:ind w:start="1440" w:hanging="360"/>
      </w:pPr>
      <w:rPr>
        <w:rFonts w:cs="Wingdings"/>
      </w:rPr>
    </w:lvl>
    <w:lvl w:ilvl="2">
      <w:start w:val="1"/>
      <w:numFmt w:val="decimal"/>
      <w:lvlText w:val="%3."/>
      <w:lvlJc w:val="start"/>
      <w:pPr>
        <w:tabs>
          <w:tab w:val="num" w:pos="0"/>
        </w:tabs>
        <w:ind w:start="2160" w:hanging="360"/>
      </w:pPr>
      <w:rPr>
        <w:rFonts w:cs="Wingdings"/>
      </w:rPr>
    </w:lvl>
    <w:lvl w:ilvl="3">
      <w:start w:val="1"/>
      <w:numFmt w:val="decimal"/>
      <w:lvlText w:val="3.%4."/>
      <w:lvlJc w:val="start"/>
      <w:pPr>
        <w:tabs>
          <w:tab w:val="num" w:pos="0"/>
        </w:tabs>
        <w:ind w:start="1211" w:hanging="360"/>
      </w:pPr>
      <w:rPr>
        <w:sz w:val="20"/>
        <w:szCs w:val="20"/>
        <w:rFonts w:cs="Wingdings"/>
      </w:rPr>
    </w:lvl>
    <w:lvl w:ilvl="4">
      <w:start w:val="1"/>
      <w:numFmt w:val="decimal"/>
      <w:lvlText w:val="3.%5."/>
      <w:lvlJc w:val="start"/>
      <w:pPr>
        <w:tabs>
          <w:tab w:val="num" w:pos="0"/>
        </w:tabs>
        <w:ind w:start="3600" w:hanging="360"/>
      </w:pPr>
      <w:rPr>
        <w:rFonts w:cs="Wingdings"/>
      </w:rPr>
    </w:lvl>
    <w:lvl w:ilvl="5">
      <w:start w:val="1"/>
      <w:numFmt w:val="decimal"/>
      <w:lvlText w:val="%6"/>
      <w:lvlJc w:val="start"/>
      <w:pPr>
        <w:tabs>
          <w:tab w:val="num" w:pos="0"/>
        </w:tabs>
        <w:ind w:start="0" w:hanging="0"/>
      </w:pPr>
      <w:rPr>
        <w:rFonts w:cs="Wingdings"/>
      </w:rPr>
    </w:lvl>
    <w:lvl w:ilvl="6">
      <w:start w:val="1"/>
      <w:numFmt w:val="decimal"/>
      <w:lvlText w:val="%7"/>
      <w:lvlJc w:val="start"/>
      <w:pPr>
        <w:tabs>
          <w:tab w:val="num" w:pos="0"/>
        </w:tabs>
        <w:ind w:start="0" w:hanging="0"/>
      </w:pPr>
      <w:rPr>
        <w:rFonts w:cs="Wingdings"/>
      </w:rPr>
    </w:lvl>
    <w:lvl w:ilvl="7">
      <w:start w:val="1"/>
      <w:numFmt w:val="decimal"/>
      <w:lvlText w:val="%8"/>
      <w:lvlJc w:val="start"/>
      <w:pPr>
        <w:tabs>
          <w:tab w:val="num" w:pos="0"/>
        </w:tabs>
        <w:ind w:start="0" w:hanging="0"/>
      </w:pPr>
      <w:rPr>
        <w:rFonts w:cs="Wingdings"/>
      </w:rPr>
    </w:lvl>
    <w:lvl w:ilvl="8">
      <w:start w:val="1"/>
      <w:numFmt w:val="decimal"/>
      <w:lvlText w:val="%9"/>
      <w:lvlJc w:val="start"/>
      <w:pPr>
        <w:tabs>
          <w:tab w:val="num" w:pos="0"/>
        </w:tabs>
        <w:ind w:start="0" w:hanging="0"/>
      </w:pPr>
      <w:rPr>
        <w:rFonts w:cs="Wingdings"/>
      </w:rPr>
    </w:lvl>
  </w:abstractNum>
  <w:abstractNum w:abstractNumId="5">
    <w:lvl w:ilvl="0">
      <w:start w:val="1"/>
      <w:numFmt w:val="decimal"/>
      <w:lvlText w:val="%1."/>
      <w:lvlJc w:val="start"/>
      <w:pPr>
        <w:tabs>
          <w:tab w:val="num" w:pos="0"/>
        </w:tabs>
        <w:ind w:start="360" w:hanging="360"/>
      </w:pPr>
    </w:lvl>
    <w:lvl w:ilvl="1">
      <w:start w:val="1"/>
      <w:numFmt w:val="lowerLetter"/>
      <w:lvlText w:val="%2)"/>
      <w:lvlJc w:val="start"/>
      <w:pPr>
        <w:tabs>
          <w:tab w:val="num" w:pos="0"/>
        </w:tabs>
        <w:ind w:start="1068" w:hanging="360"/>
      </w:pPr>
    </w:lvl>
    <w:lvl w:ilvl="2">
      <w:start w:val="1"/>
      <w:numFmt w:val="decimal"/>
      <w:lvlText w:val="%1.%2.%3."/>
      <w:lvlJc w:val="start"/>
      <w:pPr>
        <w:tabs>
          <w:tab w:val="num" w:pos="0"/>
        </w:tabs>
        <w:ind w:start="2136" w:hanging="720"/>
      </w:pPr>
    </w:lvl>
    <w:lvl w:ilvl="3">
      <w:start w:val="1"/>
      <w:numFmt w:val="decimal"/>
      <w:lvlText w:val="%1.%2.%3.%4."/>
      <w:lvlJc w:val="start"/>
      <w:pPr>
        <w:tabs>
          <w:tab w:val="num" w:pos="0"/>
        </w:tabs>
        <w:ind w:start="2844" w:hanging="720"/>
      </w:pPr>
    </w:lvl>
    <w:lvl w:ilvl="4">
      <w:start w:val="1"/>
      <w:numFmt w:val="decimal"/>
      <w:lvlText w:val="%1.%2.%3.%4.%5."/>
      <w:lvlJc w:val="start"/>
      <w:pPr>
        <w:tabs>
          <w:tab w:val="num" w:pos="0"/>
        </w:tabs>
        <w:ind w:start="3912" w:hanging="1080"/>
      </w:pPr>
    </w:lvl>
    <w:lvl w:ilvl="5">
      <w:start w:val="1"/>
      <w:numFmt w:val="decimal"/>
      <w:lvlText w:val="%1.%2.%3.%4.%5.%6."/>
      <w:lvlJc w:val="start"/>
      <w:pPr>
        <w:tabs>
          <w:tab w:val="num" w:pos="0"/>
        </w:tabs>
        <w:ind w:start="4620" w:hanging="1080"/>
      </w:pPr>
    </w:lvl>
    <w:lvl w:ilvl="6">
      <w:start w:val="1"/>
      <w:numFmt w:val="decimal"/>
      <w:lvlText w:val="%1.%2.%3.%4.%5.%6.%7."/>
      <w:lvlJc w:val="start"/>
      <w:pPr>
        <w:tabs>
          <w:tab w:val="num" w:pos="0"/>
        </w:tabs>
        <w:ind w:start="5328" w:hanging="1080"/>
      </w:pPr>
    </w:lvl>
    <w:lvl w:ilvl="7">
      <w:start w:val="1"/>
      <w:numFmt w:val="decimal"/>
      <w:lvlText w:val="%1.%2.%3.%4.%5.%6.%7.%8."/>
      <w:lvlJc w:val="start"/>
      <w:pPr>
        <w:tabs>
          <w:tab w:val="num" w:pos="0"/>
        </w:tabs>
        <w:ind w:start="6396" w:hanging="1440"/>
      </w:pPr>
    </w:lvl>
    <w:lvl w:ilvl="8">
      <w:start w:val="1"/>
      <w:numFmt w:val="decimal"/>
      <w:lvlText w:val="%1.%2.%3.%4.%5.%6.%7.%8.%9."/>
      <w:lvlJc w:val="start"/>
      <w:pPr>
        <w:tabs>
          <w:tab w:val="num" w:pos="0"/>
        </w:tabs>
        <w:ind w:start="7104" w:hanging="1440"/>
      </w:pPr>
    </w:lvl>
  </w:abstractNum>
  <w:abstractNum w:abstractNumId="6">
    <w:lvl w:ilvl="0">
      <w:start w:val="1"/>
      <w:numFmt w:val="bullet"/>
      <w:lvlText w:val="-"/>
      <w:lvlJc w:val="start"/>
      <w:pPr>
        <w:tabs>
          <w:tab w:val="num" w:pos="0"/>
        </w:tabs>
        <w:ind w:start="1155" w:hanging="360"/>
      </w:pPr>
      <w:rPr>
        <w:rFonts w:ascii="Verdana" w:hAnsi="Verdana" w:cs="Verdana"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bullet"/>
      <w:lvlText w:val="-"/>
      <w:lvlJc w:val="start"/>
      <w:pPr>
        <w:tabs>
          <w:tab w:val="num" w:pos="0"/>
        </w:tabs>
        <w:ind w:start="720" w:hanging="360"/>
      </w:pPr>
      <w:rPr>
        <w:rFonts w:ascii="Verdana" w:hAnsi="Verdana" w:cs="Verdana"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bullet"/>
      <w:lvlText w:val="-"/>
      <w:lvlJc w:val="start"/>
      <w:pPr>
        <w:tabs>
          <w:tab w:val="num" w:pos="0"/>
        </w:tabs>
        <w:ind w:start="720" w:hanging="360"/>
      </w:pPr>
      <w:rPr>
        <w:rFonts w:ascii="Verdana" w:hAnsi="Verdana" w:cs="Verdana"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decimal"/>
      <w:lvlText w:val="%1."/>
      <w:lvlJc w:val="start"/>
      <w:pPr>
        <w:tabs>
          <w:tab w:val="num" w:pos="0"/>
        </w:tabs>
        <w:ind w:start="720" w:hanging="360"/>
      </w:pPr>
    </w:lvl>
    <w:lvl w:ilvl="1">
      <w:start w:val="1"/>
      <w:numFmt w:val="decimal"/>
      <w:lvlText w:val="%1.%2."/>
      <w:lvlJc w:val="start"/>
      <w:pPr>
        <w:tabs>
          <w:tab w:val="num" w:pos="0"/>
        </w:tabs>
        <w:ind w:start="1080" w:hanging="720"/>
      </w:pPr>
    </w:lvl>
    <w:lvl w:ilvl="2">
      <w:start w:val="1"/>
      <w:numFmt w:val="decimal"/>
      <w:lvlText w:val="%1.%2.%3."/>
      <w:lvlJc w:val="start"/>
      <w:pPr>
        <w:tabs>
          <w:tab w:val="num" w:pos="0"/>
        </w:tabs>
        <w:ind w:start="1080" w:hanging="720"/>
      </w:pPr>
    </w:lvl>
    <w:lvl w:ilvl="3">
      <w:start w:val="1"/>
      <w:numFmt w:val="decimal"/>
      <w:lvlText w:val="%1.%2.%3.%4."/>
      <w:lvlJc w:val="start"/>
      <w:pPr>
        <w:tabs>
          <w:tab w:val="num" w:pos="0"/>
        </w:tabs>
        <w:ind w:start="1440" w:hanging="1080"/>
      </w:pPr>
    </w:lvl>
    <w:lvl w:ilvl="4">
      <w:start w:val="1"/>
      <w:numFmt w:val="decimal"/>
      <w:lvlText w:val="%1.%2.%3.%4.%5."/>
      <w:lvlJc w:val="start"/>
      <w:pPr>
        <w:tabs>
          <w:tab w:val="num" w:pos="0"/>
        </w:tabs>
        <w:ind w:start="1440" w:hanging="1080"/>
      </w:pPr>
    </w:lvl>
    <w:lvl w:ilvl="5">
      <w:start w:val="1"/>
      <w:numFmt w:val="decimal"/>
      <w:lvlText w:val="%1.%2.%3.%4.%5.%6."/>
      <w:lvlJc w:val="start"/>
      <w:pPr>
        <w:tabs>
          <w:tab w:val="num" w:pos="0"/>
        </w:tabs>
        <w:ind w:start="1800" w:hanging="1440"/>
      </w:pPr>
    </w:lvl>
    <w:lvl w:ilvl="6">
      <w:start w:val="1"/>
      <w:numFmt w:val="decimal"/>
      <w:lvlText w:val="%1.%2.%3.%4.%5.%6.%7."/>
      <w:lvlJc w:val="start"/>
      <w:pPr>
        <w:tabs>
          <w:tab w:val="num" w:pos="0"/>
        </w:tabs>
        <w:ind w:start="2160" w:hanging="1800"/>
      </w:pPr>
    </w:lvl>
    <w:lvl w:ilvl="7">
      <w:start w:val="1"/>
      <w:numFmt w:val="decimal"/>
      <w:lvlText w:val="%1.%2.%3.%4.%5.%6.%7.%8."/>
      <w:lvlJc w:val="start"/>
      <w:pPr>
        <w:tabs>
          <w:tab w:val="num" w:pos="0"/>
        </w:tabs>
        <w:ind w:start="2160" w:hanging="1800"/>
      </w:pPr>
    </w:lvl>
    <w:lvl w:ilvl="8">
      <w:start w:val="1"/>
      <w:numFmt w:val="decimal"/>
      <w:lvlText w:val="%1.%2.%3.%4.%5.%6.%7.%8.%9."/>
      <w:lvlJc w:val="start"/>
      <w:pPr>
        <w:tabs>
          <w:tab w:val="num" w:pos="0"/>
        </w:tabs>
        <w:ind w:start="2520" w:hanging="2160"/>
      </w:pPr>
    </w:lvl>
  </w:abstractNum>
  <w:abstractNum w:abstractNumId="10">
    <w:lvl w:ilvl="0">
      <w:start w:val="1"/>
      <w:numFmt w:val="lowerLetter"/>
      <w:lvlText w:val="%1)"/>
      <w:lvlJc w:val="start"/>
      <w:pPr>
        <w:tabs>
          <w:tab w:val="num" w:pos="0"/>
        </w:tabs>
        <w:ind w:start="720" w:hanging="360"/>
      </w:pPr>
    </w:lvl>
    <w:lvl w:ilvl="1">
      <w:start w:val="1"/>
      <w:numFmt w:val="lowerLetter"/>
      <w:lvlText w:val="%2."/>
      <w:lvlJc w:val="start"/>
      <w:pPr>
        <w:tabs>
          <w:tab w:val="num" w:pos="0"/>
        </w:tabs>
        <w:ind w:start="1440" w:hanging="360"/>
      </w:pPr>
    </w:lvl>
    <w:lvl w:ilvl="2">
      <w:start w:val="1"/>
      <w:numFmt w:val="decimal"/>
      <w:lvlText w:val="%3)"/>
      <w:lvlJc w:val="start"/>
      <w:pPr>
        <w:tabs>
          <w:tab w:val="num" w:pos="0"/>
        </w:tabs>
        <w:ind w:start="2340" w:hanging="36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11">
    <w:lvl w:ilvl="0">
      <w:start w:val="1"/>
      <w:numFmt w:val="decimal"/>
      <w:lvlText w:val="%1."/>
      <w:lvlJc w:val="start"/>
      <w:pPr>
        <w:tabs>
          <w:tab w:val="num" w:pos="0"/>
        </w:tabs>
        <w:ind w:start="720" w:hanging="360"/>
      </w:pPr>
    </w:lvl>
    <w:lvl w:ilvl="1">
      <w:start w:val="1"/>
      <w:numFmt w:val="bullet"/>
      <w:lvlText w:val="-"/>
      <w:lvlJc w:val="start"/>
      <w:pPr>
        <w:tabs>
          <w:tab w:val="num" w:pos="0"/>
        </w:tabs>
        <w:ind w:start="1080" w:hanging="720"/>
      </w:pPr>
      <w:rPr>
        <w:rFonts w:ascii="Verdana" w:hAnsi="Verdana" w:cs="Verdana" w:hint="default"/>
      </w:rPr>
    </w:lvl>
    <w:lvl w:ilvl="2">
      <w:start w:val="1"/>
      <w:numFmt w:val="decimal"/>
      <w:lvlText w:val="%1.%2.%3."/>
      <w:lvlJc w:val="start"/>
      <w:pPr>
        <w:tabs>
          <w:tab w:val="num" w:pos="0"/>
        </w:tabs>
        <w:ind w:start="1080" w:hanging="720"/>
      </w:pPr>
    </w:lvl>
    <w:lvl w:ilvl="3">
      <w:start w:val="1"/>
      <w:numFmt w:val="decimal"/>
      <w:lvlText w:val="%1.%2.%3.%4."/>
      <w:lvlJc w:val="start"/>
      <w:pPr>
        <w:tabs>
          <w:tab w:val="num" w:pos="0"/>
        </w:tabs>
        <w:ind w:start="1440" w:hanging="1080"/>
      </w:pPr>
    </w:lvl>
    <w:lvl w:ilvl="4">
      <w:start w:val="1"/>
      <w:numFmt w:val="decimal"/>
      <w:lvlText w:val="%1.%2.%3.%4.%5."/>
      <w:lvlJc w:val="start"/>
      <w:pPr>
        <w:tabs>
          <w:tab w:val="num" w:pos="0"/>
        </w:tabs>
        <w:ind w:start="1440" w:hanging="1080"/>
      </w:pPr>
    </w:lvl>
    <w:lvl w:ilvl="5">
      <w:start w:val="1"/>
      <w:numFmt w:val="decimal"/>
      <w:lvlText w:val="%1.%2.%3.%4.%5.%6."/>
      <w:lvlJc w:val="start"/>
      <w:pPr>
        <w:tabs>
          <w:tab w:val="num" w:pos="0"/>
        </w:tabs>
        <w:ind w:start="1800" w:hanging="1440"/>
      </w:pPr>
    </w:lvl>
    <w:lvl w:ilvl="6">
      <w:start w:val="1"/>
      <w:numFmt w:val="decimal"/>
      <w:lvlText w:val="%1.%2.%3.%4.%5.%6.%7."/>
      <w:lvlJc w:val="start"/>
      <w:pPr>
        <w:tabs>
          <w:tab w:val="num" w:pos="0"/>
        </w:tabs>
        <w:ind w:start="2160" w:hanging="1800"/>
      </w:pPr>
    </w:lvl>
    <w:lvl w:ilvl="7">
      <w:start w:val="1"/>
      <w:numFmt w:val="decimal"/>
      <w:lvlText w:val="%1.%2.%3.%4.%5.%6.%7.%8."/>
      <w:lvlJc w:val="start"/>
      <w:pPr>
        <w:tabs>
          <w:tab w:val="num" w:pos="0"/>
        </w:tabs>
        <w:ind w:start="2160" w:hanging="1800"/>
      </w:pPr>
    </w:lvl>
    <w:lvl w:ilvl="8">
      <w:start w:val="1"/>
      <w:numFmt w:val="decimal"/>
      <w:lvlText w:val="%1.%2.%3.%4.%5.%6.%7.%8.%9."/>
      <w:lvlJc w:val="start"/>
      <w:pPr>
        <w:tabs>
          <w:tab w:val="num" w:pos="0"/>
        </w:tabs>
        <w:ind w:start="2520" w:hanging="2160"/>
      </w:pPr>
    </w:lvl>
  </w:abstractNum>
  <w:abstractNum w:abstractNumId="12">
    <w:lvl w:ilvl="0">
      <w:start w:val="1"/>
      <w:numFmt w:val="decimal"/>
      <w:lvlText w:val="%1."/>
      <w:lvlJc w:val="start"/>
      <w:pPr>
        <w:tabs>
          <w:tab w:val="num" w:pos="0"/>
        </w:tabs>
        <w:ind w:start="720" w:hanging="360"/>
      </w:pPr>
    </w:lvl>
    <w:lvl w:ilvl="1">
      <w:start w:val="1"/>
      <w:numFmt w:val="decimal"/>
      <w:lvlText w:val="%1.%2."/>
      <w:lvlJc w:val="start"/>
      <w:pPr>
        <w:tabs>
          <w:tab w:val="num" w:pos="0"/>
        </w:tabs>
        <w:ind w:start="1080" w:hanging="720"/>
      </w:pPr>
    </w:lvl>
    <w:lvl w:ilvl="2">
      <w:start w:val="1"/>
      <w:numFmt w:val="decimal"/>
      <w:lvlText w:val="%1.%2.%3."/>
      <w:lvlJc w:val="start"/>
      <w:pPr>
        <w:tabs>
          <w:tab w:val="num" w:pos="0"/>
        </w:tabs>
        <w:ind w:start="1080" w:hanging="720"/>
      </w:pPr>
    </w:lvl>
    <w:lvl w:ilvl="3">
      <w:start w:val="1"/>
      <w:numFmt w:val="decimal"/>
      <w:lvlText w:val="%1.%2.%3.%4."/>
      <w:lvlJc w:val="start"/>
      <w:pPr>
        <w:tabs>
          <w:tab w:val="num" w:pos="0"/>
        </w:tabs>
        <w:ind w:start="1440" w:hanging="1080"/>
      </w:pPr>
    </w:lvl>
    <w:lvl w:ilvl="4">
      <w:start w:val="1"/>
      <w:numFmt w:val="decimal"/>
      <w:lvlText w:val="%1.%2.%3.%4.%5."/>
      <w:lvlJc w:val="start"/>
      <w:pPr>
        <w:tabs>
          <w:tab w:val="num" w:pos="0"/>
        </w:tabs>
        <w:ind w:start="1440" w:hanging="1080"/>
      </w:pPr>
    </w:lvl>
    <w:lvl w:ilvl="5">
      <w:start w:val="1"/>
      <w:numFmt w:val="decimal"/>
      <w:lvlText w:val="%1.%2.%3.%4.%5.%6."/>
      <w:lvlJc w:val="start"/>
      <w:pPr>
        <w:tabs>
          <w:tab w:val="num" w:pos="0"/>
        </w:tabs>
        <w:ind w:start="1800" w:hanging="1440"/>
      </w:pPr>
    </w:lvl>
    <w:lvl w:ilvl="6">
      <w:start w:val="1"/>
      <w:numFmt w:val="decimal"/>
      <w:lvlText w:val="%1.%2.%3.%4.%5.%6.%7."/>
      <w:lvlJc w:val="start"/>
      <w:pPr>
        <w:tabs>
          <w:tab w:val="num" w:pos="0"/>
        </w:tabs>
        <w:ind w:start="2160" w:hanging="1800"/>
      </w:pPr>
    </w:lvl>
    <w:lvl w:ilvl="7">
      <w:start w:val="1"/>
      <w:numFmt w:val="decimal"/>
      <w:lvlText w:val="%1.%2.%3.%4.%5.%6.%7.%8."/>
      <w:lvlJc w:val="start"/>
      <w:pPr>
        <w:tabs>
          <w:tab w:val="num" w:pos="0"/>
        </w:tabs>
        <w:ind w:start="2160" w:hanging="1800"/>
      </w:pPr>
    </w:lvl>
    <w:lvl w:ilvl="8">
      <w:start w:val="1"/>
      <w:numFmt w:val="decimal"/>
      <w:lvlText w:val="%1.%2.%3.%4.%5.%6.%7.%8.%9."/>
      <w:lvlJc w:val="start"/>
      <w:pPr>
        <w:tabs>
          <w:tab w:val="num" w:pos="0"/>
        </w:tabs>
        <w:ind w:start="2520" w:hanging="2160"/>
      </w:pPr>
    </w:lvl>
  </w:abstractNum>
  <w:abstractNum w:abstractNumId="13">
    <w:lvl w:ilvl="0">
      <w:start w:val="1"/>
      <w:numFmt w:val="bullet"/>
      <w:lvlText w:val="-"/>
      <w:lvlJc w:val="start"/>
      <w:pPr>
        <w:tabs>
          <w:tab w:val="num" w:pos="0"/>
        </w:tabs>
        <w:ind w:start="720" w:hanging="360"/>
      </w:pPr>
      <w:rPr>
        <w:rFonts w:ascii="Verdana" w:hAnsi="Verdana" w:cs="Verdana" w:hint="default"/>
      </w:rPr>
    </w:lvl>
    <w:lvl w:ilvl="1">
      <w:start w:val="1"/>
      <w:numFmt w:val="lowerLetter"/>
      <w:lvlText w:val="%2."/>
      <w:lvlJc w:val="start"/>
      <w:pPr>
        <w:tabs>
          <w:tab w:val="num" w:pos="0"/>
        </w:tabs>
        <w:ind w:start="1440" w:hanging="360"/>
      </w:pPr>
    </w:lvl>
    <w:lvl w:ilvl="2">
      <w:start w:val="1"/>
      <w:numFmt w:val="bullet"/>
      <w:lvlText w:val="-"/>
      <w:lvlJc w:val="start"/>
      <w:pPr>
        <w:tabs>
          <w:tab w:val="num" w:pos="0"/>
        </w:tabs>
        <w:ind w:start="2340" w:hanging="360"/>
      </w:pPr>
      <w:rPr>
        <w:rFonts w:ascii="Verdana" w:hAnsi="Verdana" w:cs="Verdana" w:hint="default"/>
      </w:r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1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15">
    <w:lvl w:ilvl="0">
      <w:start w:val="1"/>
      <w:numFmt w:val="decimal"/>
      <w:lvlText w:val="%1."/>
      <w:lvlJc w:val="start"/>
      <w:pPr>
        <w:tabs>
          <w:tab w:val="num" w:pos="0"/>
        </w:tabs>
        <w:ind w:start="720" w:hanging="360"/>
      </w:p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16">
    <w:lvl w:ilvl="0">
      <w:start w:val="1"/>
      <w:numFmt w:val="bullet"/>
      <w:lvlText w:val="-"/>
      <w:lvlJc w:val="start"/>
      <w:pPr>
        <w:tabs>
          <w:tab w:val="num" w:pos="0"/>
        </w:tabs>
        <w:ind w:start="1440" w:hanging="360"/>
      </w:pPr>
      <w:rPr>
        <w:rFonts w:ascii="Verdana" w:hAnsi="Verdana" w:cs="Verdana"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17">
    <w:lvl w:ilvl="0">
      <w:start w:val="1"/>
      <w:numFmt w:val="decimal"/>
      <w:lvlText w:val="%1."/>
      <w:lvlJc w:val="start"/>
      <w:pPr>
        <w:tabs>
          <w:tab w:val="num" w:pos="0"/>
        </w:tabs>
        <w:ind w:start="720" w:hanging="360"/>
      </w:pPr>
    </w:lvl>
    <w:lvl w:ilvl="1">
      <w:start w:val="1"/>
      <w:numFmt w:val="decimal"/>
      <w:lvlText w:val="%1.%2."/>
      <w:lvlJc w:val="start"/>
      <w:pPr>
        <w:tabs>
          <w:tab w:val="num" w:pos="0"/>
        </w:tabs>
        <w:ind w:start="1080" w:hanging="720"/>
      </w:pPr>
    </w:lvl>
    <w:lvl w:ilvl="2">
      <w:start w:val="1"/>
      <w:numFmt w:val="decimal"/>
      <w:lvlText w:val="%1.%2.%3."/>
      <w:lvlJc w:val="start"/>
      <w:pPr>
        <w:tabs>
          <w:tab w:val="num" w:pos="0"/>
        </w:tabs>
        <w:ind w:start="1080" w:hanging="720"/>
      </w:pPr>
    </w:lvl>
    <w:lvl w:ilvl="3">
      <w:start w:val="1"/>
      <w:numFmt w:val="decimal"/>
      <w:lvlText w:val="%1.%2.%3.%4."/>
      <w:lvlJc w:val="start"/>
      <w:pPr>
        <w:tabs>
          <w:tab w:val="num" w:pos="0"/>
        </w:tabs>
        <w:ind w:start="1440" w:hanging="1080"/>
      </w:pPr>
    </w:lvl>
    <w:lvl w:ilvl="4">
      <w:start w:val="1"/>
      <w:numFmt w:val="decimal"/>
      <w:lvlText w:val="%1.%2.%3.%4.%5."/>
      <w:lvlJc w:val="start"/>
      <w:pPr>
        <w:tabs>
          <w:tab w:val="num" w:pos="0"/>
        </w:tabs>
        <w:ind w:start="1440" w:hanging="1080"/>
      </w:pPr>
    </w:lvl>
    <w:lvl w:ilvl="5">
      <w:start w:val="1"/>
      <w:numFmt w:val="decimal"/>
      <w:lvlText w:val="%1.%2.%3.%4.%5.%6."/>
      <w:lvlJc w:val="start"/>
      <w:pPr>
        <w:tabs>
          <w:tab w:val="num" w:pos="0"/>
        </w:tabs>
        <w:ind w:start="1800" w:hanging="1440"/>
      </w:pPr>
    </w:lvl>
    <w:lvl w:ilvl="6">
      <w:start w:val="1"/>
      <w:numFmt w:val="decimal"/>
      <w:lvlText w:val="%1.%2.%3.%4.%5.%6.%7."/>
      <w:lvlJc w:val="start"/>
      <w:pPr>
        <w:tabs>
          <w:tab w:val="num" w:pos="0"/>
        </w:tabs>
        <w:ind w:start="2160" w:hanging="1800"/>
      </w:pPr>
    </w:lvl>
    <w:lvl w:ilvl="7">
      <w:start w:val="1"/>
      <w:numFmt w:val="decimal"/>
      <w:lvlText w:val="%1.%2.%3.%4.%5.%6.%7.%8."/>
      <w:lvlJc w:val="start"/>
      <w:pPr>
        <w:tabs>
          <w:tab w:val="num" w:pos="0"/>
        </w:tabs>
        <w:ind w:start="2160" w:hanging="1800"/>
      </w:pPr>
    </w:lvl>
    <w:lvl w:ilvl="8">
      <w:start w:val="1"/>
      <w:numFmt w:val="decimal"/>
      <w:lvlText w:val="%1.%2.%3.%4.%5.%6.%7.%8.%9."/>
      <w:lvlJc w:val="start"/>
      <w:pPr>
        <w:tabs>
          <w:tab w:val="num" w:pos="0"/>
        </w:tabs>
        <w:ind w:start="2520" w:hanging="21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2"/>
    <w:lvlOverride w:ilvl="0">
      <w:startOverride w:val="1"/>
    </w:lvlOverride>
  </w:num>
  <w:num w:numId="19">
    <w:abstractNumId w:val="5"/>
    <w:lvlOverride w:ilvl="0">
      <w:startOverride w:val="1"/>
    </w:lvlOverride>
  </w:num>
  <w:num w:numId="20">
    <w:abstractNumId w:val="9"/>
    <w:lvlOverride w:ilvl="0">
      <w:startOverride w:val="1"/>
    </w:lvlOverride>
  </w:num>
  <w:num w:numId="21">
    <w:abstractNumId w:val="10"/>
    <w:lvlOverride w:ilvl="0">
      <w:startOverride w:val="1"/>
    </w:lvlOverride>
  </w:num>
  <w:num w:numId="22">
    <w:abstractNumId w:val="12"/>
    <w:lvlOverride w:ilvl="0">
      <w:startOverride w:val="1"/>
    </w:lvlOverride>
  </w:num>
  <w:num w:numId="23">
    <w:abstractNumId w:val="14"/>
    <w:lvlOverride w:ilvl="0">
      <w:startOverride w:val="1"/>
    </w:lvlOverride>
  </w:num>
  <w:num w:numId="24">
    <w:abstractNumId w:val="15"/>
    <w:lvlOverride w:ilvl="0">
      <w:startOverride w:val="1"/>
    </w:lvlOverride>
  </w:num>
  <w:num w:numId="25">
    <w:abstractNumId w:val="17"/>
    <w:lvlOverride w:ilvl="0">
      <w:startOverride w:val="1"/>
    </w:lvlOverride>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lt-LT"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start"/>
    </w:pPr>
    <w:rPr>
      <w:rFonts w:ascii="Liberation Serif" w:hAnsi="Liberation Serif" w:eastAsia="NSimSun" w:cs="Lucida San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lt-LT" w:eastAsia="zh-CN" w:bidi="hi-IN"/>
    </w:rPr>
  </w:style>
  <w:style w:type="paragraph" w:styleId="Heading1">
    <w:name w:val="heading 1"/>
    <w:basedOn w:val="Normal"/>
    <w:next w:val="Normal"/>
    <w:qFormat/>
    <w:pPr>
      <w:keepNext w:val="true"/>
      <w:numPr>
        <w:ilvl w:val="0"/>
        <w:numId w:val="1"/>
      </w:numPr>
      <w:suppressAutoHyphens w:val="true"/>
      <w:spacing w:before="360" w:after="360"/>
      <w:jc w:val="center"/>
      <w:outlineLvl w:val="0"/>
    </w:pPr>
    <w:rPr>
      <w:sz w:val="28"/>
    </w:rPr>
  </w:style>
  <w:style w:type="paragraph" w:styleId="Heading2">
    <w:name w:val="heading 2"/>
    <w:basedOn w:val="Normal"/>
    <w:next w:val="Normal"/>
    <w:qFormat/>
    <w:pPr>
      <w:numPr>
        <w:ilvl w:val="1"/>
        <w:numId w:val="1"/>
      </w:numPr>
      <w:suppressAutoHyphens w:val="true"/>
      <w:jc w:val="both"/>
      <w:outlineLvl w:val="1"/>
    </w:pPr>
    <w:rPr/>
  </w:style>
  <w:style w:type="character" w:styleId="DefaultParagraphFont">
    <w:name w:val="Default Paragraph Font"/>
    <w:qFormat/>
    <w:rPr/>
  </w:style>
  <w:style w:type="character" w:styleId="Numatytasispastraiposriftas">
    <w:name w:val="Numatytasis pastraipos šriftas"/>
    <w:qFormat/>
    <w:rPr/>
  </w:style>
  <w:style w:type="character" w:styleId="LineNumber">
    <w:name w:val="line number"/>
    <w:rPr/>
  </w:style>
  <w:style w:type="character" w:styleId="CommentSubjectChar">
    <w:name w:val="Comment Subject Char"/>
    <w:basedOn w:val="CommentTextChar"/>
    <w:qFormat/>
    <w:rPr>
      <w:rFonts w:cs="Mangal"/>
      <w:b/>
      <w:bCs/>
      <w:sz w:val="20"/>
      <w:szCs w:val="18"/>
    </w:rPr>
  </w:style>
  <w:style w:type="character" w:styleId="KomentarotekstasDiagrama">
    <w:name w:val="Komentaro tekstas Diagrama"/>
    <w:basedOn w:val="Numatytasispastraiposriftas"/>
    <w:qFormat/>
    <w:rPr>
      <w:rFonts w:cs="Mangal"/>
      <w:sz w:val="20"/>
      <w:szCs w:val="18"/>
    </w:rPr>
  </w:style>
  <w:style w:type="character" w:styleId="Komentaronuoroda">
    <w:name w:val="Komentaro nuoroda"/>
    <w:basedOn w:val="Numatytasispastraiposriftas"/>
    <w:qFormat/>
    <w:rPr>
      <w:sz w:val="16"/>
      <w:szCs w:val="16"/>
    </w:rPr>
  </w:style>
  <w:style w:type="character" w:styleId="DebesliotekstasDiagrama">
    <w:name w:val="Debesėlio tekstas Diagrama"/>
    <w:basedOn w:val="Numatytasispastraiposriftas"/>
    <w:qFormat/>
    <w:rPr>
      <w:rFonts w:ascii="Segoe UI" w:hAnsi="Segoe UI" w:eastAsia="Segoe UI" w:cs="Mangal"/>
      <w:sz w:val="18"/>
      <w:szCs w:val="16"/>
    </w:rPr>
  </w:style>
  <w:style w:type="character" w:styleId="KomentarotemaDiagrama">
    <w:name w:val="Komentaro tema Diagrama"/>
    <w:basedOn w:val="KomentarotekstasDiagrama"/>
    <w:qFormat/>
    <w:rPr>
      <w:rFonts w:cs="Mangal"/>
      <w:b/>
      <w:bCs/>
      <w:sz w:val="20"/>
      <w:szCs w:val="18"/>
    </w:rPr>
  </w:style>
  <w:style w:type="character" w:styleId="CommentTextChar">
    <w:name w:val="Comment Text Char"/>
    <w:basedOn w:val="DefaultParagraphFont"/>
    <w:qFormat/>
    <w:rPr>
      <w:rFonts w:cs="Mangal"/>
      <w:sz w:val="20"/>
      <w:szCs w:val="18"/>
    </w:rPr>
  </w:style>
  <w:style w:type="character" w:styleId="CommentReference">
    <w:name w:val="Comment Reference"/>
    <w:basedOn w:val="DefaultParagraphFont"/>
    <w:qFormat/>
    <w:rPr>
      <w:sz w:val="16"/>
      <w:szCs w:val="16"/>
    </w:rPr>
  </w:style>
  <w:style w:type="character" w:styleId="WWCharLFO1LVL1">
    <w:name w:val="WW_CharLFO1LVL1"/>
    <w:qFormat/>
    <w:rPr>
      <w:sz w:val="20"/>
      <w:szCs w:val="20"/>
    </w:rPr>
  </w:style>
  <w:style w:type="character" w:styleId="WWCharLFO1LVL2">
    <w:name w:val="WW_CharLFO1LVL2"/>
    <w:qFormat/>
    <w:rPr>
      <w:rFonts w:ascii="Arial" w:hAnsi="Arial" w:cs="Arial"/>
      <w:sz w:val="20"/>
      <w:szCs w:val="20"/>
    </w:rPr>
  </w:style>
  <w:style w:type="character" w:styleId="WWCharLFO1LVL4">
    <w:name w:val="WW_CharLFO1LVL4"/>
    <w:qFormat/>
    <w:rPr>
      <w:sz w:val="24"/>
    </w:rPr>
  </w:style>
  <w:style w:type="character" w:styleId="WWCharLFO2LVL1">
    <w:name w:val="WW_CharLFO2LVL1"/>
    <w:qFormat/>
    <w:rPr>
      <w:rFonts w:ascii="Arial" w:hAnsi="Arial" w:cs="Arial"/>
    </w:rPr>
  </w:style>
  <w:style w:type="character" w:styleId="WWCharLFO2LVL2">
    <w:name w:val="WW_CharLFO2LVL2"/>
    <w:qFormat/>
    <w:rPr>
      <w:rFonts w:ascii="Courier New" w:hAnsi="Courier New" w:cs="Courier New"/>
    </w:rPr>
  </w:style>
  <w:style w:type="character" w:styleId="WWCharLFO2LVL3">
    <w:name w:val="WW_CharLFO2LVL3"/>
    <w:qFormat/>
    <w:rPr>
      <w:rFonts w:ascii="Wingdings" w:hAnsi="Wingdings" w:cs="Wingdings"/>
    </w:rPr>
  </w:style>
  <w:style w:type="character" w:styleId="WWCharLFO2LVL4">
    <w:name w:val="WW_CharLFO2LVL4"/>
    <w:qFormat/>
    <w:rPr>
      <w:rFonts w:ascii="Symbol" w:hAnsi="Symbol" w:cs="Symbol"/>
    </w:rPr>
  </w:style>
  <w:style w:type="character" w:styleId="WWCharLFO2LVL5">
    <w:name w:val="WW_CharLFO2LVL5"/>
    <w:qFormat/>
    <w:rPr>
      <w:rFonts w:ascii="Courier New" w:hAnsi="Courier New" w:cs="Courier New"/>
    </w:rPr>
  </w:style>
  <w:style w:type="character" w:styleId="WWCharLFO2LVL6">
    <w:name w:val="WW_CharLFO2LVL6"/>
    <w:qFormat/>
    <w:rPr>
      <w:rFonts w:ascii="Wingdings" w:hAnsi="Wingdings" w:cs="Wingdings"/>
    </w:rPr>
  </w:style>
  <w:style w:type="character" w:styleId="WWCharLFO2LVL7">
    <w:name w:val="WW_CharLFO2LVL7"/>
    <w:qFormat/>
    <w:rPr>
      <w:rFonts w:ascii="Symbol" w:hAnsi="Symbol" w:cs="Symbol"/>
    </w:rPr>
  </w:style>
  <w:style w:type="character" w:styleId="WWCharLFO2LVL8">
    <w:name w:val="WW_CharLFO2LVL8"/>
    <w:qFormat/>
    <w:rPr>
      <w:rFonts w:ascii="Courier New" w:hAnsi="Courier New" w:cs="Courier New"/>
    </w:rPr>
  </w:style>
  <w:style w:type="character" w:styleId="WWCharLFO2LVL9">
    <w:name w:val="WW_CharLFO2LVL9"/>
    <w:qFormat/>
    <w:rPr>
      <w:rFonts w:ascii="Wingdings" w:hAnsi="Wingdings" w:cs="Wingdings"/>
    </w:rPr>
  </w:style>
  <w:style w:type="character" w:styleId="WWCharLFO3LVL2">
    <w:name w:val="WW_CharLFO3LVL2"/>
    <w:qFormat/>
    <w:rPr>
      <w:rFonts w:cs="Wingdings"/>
    </w:rPr>
  </w:style>
  <w:style w:type="character" w:styleId="WWCharLFO3LVL3">
    <w:name w:val="WW_CharLFO3LVL3"/>
    <w:qFormat/>
    <w:rPr>
      <w:rFonts w:cs="Wingdings"/>
    </w:rPr>
  </w:style>
  <w:style w:type="character" w:styleId="WWCharLFO3LVL4">
    <w:name w:val="WW_CharLFO3LVL4"/>
    <w:qFormat/>
    <w:rPr>
      <w:rFonts w:cs="Wingdings"/>
      <w:sz w:val="20"/>
      <w:szCs w:val="20"/>
    </w:rPr>
  </w:style>
  <w:style w:type="character" w:styleId="WWCharLFO3LVL5">
    <w:name w:val="WW_CharLFO3LVL5"/>
    <w:qFormat/>
    <w:rPr>
      <w:rFonts w:cs="Wingdings"/>
    </w:rPr>
  </w:style>
  <w:style w:type="character" w:styleId="WWCharLFO3LVL6">
    <w:name w:val="WW_CharLFO3LVL6"/>
    <w:qFormat/>
    <w:rPr>
      <w:rFonts w:cs="Wingdings"/>
    </w:rPr>
  </w:style>
  <w:style w:type="character" w:styleId="WWCharLFO3LVL7">
    <w:name w:val="WW_CharLFO3LVL7"/>
    <w:qFormat/>
    <w:rPr>
      <w:rFonts w:cs="Wingdings"/>
    </w:rPr>
  </w:style>
  <w:style w:type="character" w:styleId="WWCharLFO3LVL8">
    <w:name w:val="WW_CharLFO3LVL8"/>
    <w:qFormat/>
    <w:rPr>
      <w:rFonts w:cs="Wingdings"/>
    </w:rPr>
  </w:style>
  <w:style w:type="character" w:styleId="WWCharLFO3LVL9">
    <w:name w:val="WW_CharLFO3LVL9"/>
    <w:qFormat/>
    <w:rPr>
      <w:rFonts w:cs="Wingdings"/>
    </w:rPr>
  </w:style>
  <w:style w:type="character" w:styleId="WWCharLFO5LVL1">
    <w:name w:val="WW_CharLFO5LVL1"/>
    <w:qFormat/>
    <w:rPr>
      <w:rFonts w:ascii="Verdana" w:hAnsi="Verdana" w:cs="Verdana"/>
    </w:rPr>
  </w:style>
  <w:style w:type="character" w:styleId="WWCharLFO5LVL2">
    <w:name w:val="WW_CharLFO5LVL2"/>
    <w:qFormat/>
    <w:rPr>
      <w:rFonts w:ascii="Courier New" w:hAnsi="Courier New" w:cs="Courier New"/>
    </w:rPr>
  </w:style>
  <w:style w:type="character" w:styleId="WWCharLFO5LVL3">
    <w:name w:val="WW_CharLFO5LVL3"/>
    <w:qFormat/>
    <w:rPr>
      <w:rFonts w:ascii="Wingdings" w:hAnsi="Wingdings" w:cs="Wingdings"/>
    </w:rPr>
  </w:style>
  <w:style w:type="character" w:styleId="WWCharLFO5LVL4">
    <w:name w:val="WW_CharLFO5LVL4"/>
    <w:qFormat/>
    <w:rPr>
      <w:rFonts w:ascii="Symbol" w:hAnsi="Symbol" w:cs="Symbol"/>
    </w:rPr>
  </w:style>
  <w:style w:type="character" w:styleId="WWCharLFO5LVL5">
    <w:name w:val="WW_CharLFO5LVL5"/>
    <w:qFormat/>
    <w:rPr>
      <w:rFonts w:ascii="Courier New" w:hAnsi="Courier New" w:cs="Courier New"/>
    </w:rPr>
  </w:style>
  <w:style w:type="character" w:styleId="WWCharLFO5LVL6">
    <w:name w:val="WW_CharLFO5LVL6"/>
    <w:qFormat/>
    <w:rPr>
      <w:rFonts w:ascii="Wingdings" w:hAnsi="Wingdings" w:cs="Wingdings"/>
    </w:rPr>
  </w:style>
  <w:style w:type="character" w:styleId="WWCharLFO5LVL7">
    <w:name w:val="WW_CharLFO5LVL7"/>
    <w:qFormat/>
    <w:rPr>
      <w:rFonts w:ascii="Symbol" w:hAnsi="Symbol" w:cs="Symbol"/>
    </w:rPr>
  </w:style>
  <w:style w:type="character" w:styleId="WWCharLFO5LVL8">
    <w:name w:val="WW_CharLFO5LVL8"/>
    <w:qFormat/>
    <w:rPr>
      <w:rFonts w:ascii="Courier New" w:hAnsi="Courier New" w:cs="Courier New"/>
    </w:rPr>
  </w:style>
  <w:style w:type="character" w:styleId="WWCharLFO5LVL9">
    <w:name w:val="WW_CharLFO5LVL9"/>
    <w:qFormat/>
    <w:rPr>
      <w:rFonts w:ascii="Wingdings" w:hAnsi="Wingdings" w:cs="Wingdings"/>
    </w:rPr>
  </w:style>
  <w:style w:type="character" w:styleId="WWCharLFO6LVL1">
    <w:name w:val="WW_CharLFO6LVL1"/>
    <w:qFormat/>
    <w:rPr>
      <w:rFonts w:ascii="Verdana" w:hAnsi="Verdana" w:cs="Verdana"/>
    </w:rPr>
  </w:style>
  <w:style w:type="character" w:styleId="WWCharLFO6LVL2">
    <w:name w:val="WW_CharLFO6LVL2"/>
    <w:qFormat/>
    <w:rPr>
      <w:rFonts w:ascii="Courier New" w:hAnsi="Courier New" w:cs="Courier New"/>
    </w:rPr>
  </w:style>
  <w:style w:type="character" w:styleId="WWCharLFO6LVL3">
    <w:name w:val="WW_CharLFO6LVL3"/>
    <w:qFormat/>
    <w:rPr>
      <w:rFonts w:ascii="Wingdings" w:hAnsi="Wingdings" w:cs="Wingdings"/>
    </w:rPr>
  </w:style>
  <w:style w:type="character" w:styleId="WWCharLFO6LVL4">
    <w:name w:val="WW_CharLFO6LVL4"/>
    <w:qFormat/>
    <w:rPr>
      <w:rFonts w:ascii="Symbol" w:hAnsi="Symbol" w:cs="Symbol"/>
    </w:rPr>
  </w:style>
  <w:style w:type="character" w:styleId="WWCharLFO6LVL5">
    <w:name w:val="WW_CharLFO6LVL5"/>
    <w:qFormat/>
    <w:rPr>
      <w:rFonts w:ascii="Courier New" w:hAnsi="Courier New" w:cs="Courier New"/>
    </w:rPr>
  </w:style>
  <w:style w:type="character" w:styleId="WWCharLFO6LVL6">
    <w:name w:val="WW_CharLFO6LVL6"/>
    <w:qFormat/>
    <w:rPr>
      <w:rFonts w:ascii="Wingdings" w:hAnsi="Wingdings" w:cs="Wingdings"/>
    </w:rPr>
  </w:style>
  <w:style w:type="character" w:styleId="WWCharLFO6LVL7">
    <w:name w:val="WW_CharLFO6LVL7"/>
    <w:qFormat/>
    <w:rPr>
      <w:rFonts w:ascii="Symbol" w:hAnsi="Symbol" w:cs="Symbol"/>
    </w:rPr>
  </w:style>
  <w:style w:type="character" w:styleId="WWCharLFO6LVL8">
    <w:name w:val="WW_CharLFO6LVL8"/>
    <w:qFormat/>
    <w:rPr>
      <w:rFonts w:ascii="Courier New" w:hAnsi="Courier New" w:cs="Courier New"/>
    </w:rPr>
  </w:style>
  <w:style w:type="character" w:styleId="WWCharLFO6LVL9">
    <w:name w:val="WW_CharLFO6LVL9"/>
    <w:qFormat/>
    <w:rPr>
      <w:rFonts w:ascii="Wingdings" w:hAnsi="Wingdings" w:cs="Wingdings"/>
    </w:rPr>
  </w:style>
  <w:style w:type="character" w:styleId="WWCharLFO7LVL1">
    <w:name w:val="WW_CharLFO7LVL1"/>
    <w:qFormat/>
    <w:rPr>
      <w:rFonts w:ascii="Verdana" w:hAnsi="Verdana" w:cs="Verdana"/>
    </w:rPr>
  </w:style>
  <w:style w:type="character" w:styleId="WWCharLFO7LVL2">
    <w:name w:val="WW_CharLFO7LVL2"/>
    <w:qFormat/>
    <w:rPr>
      <w:rFonts w:ascii="Courier New" w:hAnsi="Courier New" w:cs="Courier New"/>
    </w:rPr>
  </w:style>
  <w:style w:type="character" w:styleId="WWCharLFO7LVL3">
    <w:name w:val="WW_CharLFO7LVL3"/>
    <w:qFormat/>
    <w:rPr>
      <w:rFonts w:ascii="Wingdings" w:hAnsi="Wingdings" w:cs="Wingdings"/>
    </w:rPr>
  </w:style>
  <w:style w:type="character" w:styleId="WWCharLFO7LVL4">
    <w:name w:val="WW_CharLFO7LVL4"/>
    <w:qFormat/>
    <w:rPr>
      <w:rFonts w:ascii="Symbol" w:hAnsi="Symbol" w:cs="Symbol"/>
    </w:rPr>
  </w:style>
  <w:style w:type="character" w:styleId="WWCharLFO7LVL5">
    <w:name w:val="WW_CharLFO7LVL5"/>
    <w:qFormat/>
    <w:rPr>
      <w:rFonts w:ascii="Courier New" w:hAnsi="Courier New" w:cs="Courier New"/>
    </w:rPr>
  </w:style>
  <w:style w:type="character" w:styleId="WWCharLFO7LVL6">
    <w:name w:val="WW_CharLFO7LVL6"/>
    <w:qFormat/>
    <w:rPr>
      <w:rFonts w:ascii="Wingdings" w:hAnsi="Wingdings" w:cs="Wingdings"/>
    </w:rPr>
  </w:style>
  <w:style w:type="character" w:styleId="WWCharLFO7LVL7">
    <w:name w:val="WW_CharLFO7LVL7"/>
    <w:qFormat/>
    <w:rPr>
      <w:rFonts w:ascii="Symbol" w:hAnsi="Symbol" w:cs="Symbol"/>
    </w:rPr>
  </w:style>
  <w:style w:type="character" w:styleId="WWCharLFO7LVL8">
    <w:name w:val="WW_CharLFO7LVL8"/>
    <w:qFormat/>
    <w:rPr>
      <w:rFonts w:ascii="Courier New" w:hAnsi="Courier New" w:cs="Courier New"/>
    </w:rPr>
  </w:style>
  <w:style w:type="character" w:styleId="WWCharLFO7LVL9">
    <w:name w:val="WW_CharLFO7LVL9"/>
    <w:qFormat/>
    <w:rPr>
      <w:rFonts w:ascii="Wingdings" w:hAnsi="Wingdings" w:cs="Wingdings"/>
    </w:rPr>
  </w:style>
  <w:style w:type="character" w:styleId="WWCharLFO10LVL2">
    <w:name w:val="WW_CharLFO10LVL2"/>
    <w:qFormat/>
    <w:rPr>
      <w:rFonts w:ascii="Verdana" w:hAnsi="Verdana" w:cs="Verdana"/>
    </w:rPr>
  </w:style>
  <w:style w:type="character" w:styleId="WWCharLFO12LVL1">
    <w:name w:val="WW_CharLFO12LVL1"/>
    <w:qFormat/>
    <w:rPr>
      <w:rFonts w:ascii="Verdana" w:hAnsi="Verdana" w:cs="Verdana"/>
    </w:rPr>
  </w:style>
  <w:style w:type="character" w:styleId="WWCharLFO12LVL3">
    <w:name w:val="WW_CharLFO12LVL3"/>
    <w:qFormat/>
    <w:rPr>
      <w:rFonts w:ascii="Verdana" w:hAnsi="Verdana" w:cs="Verdana"/>
    </w:rPr>
  </w:style>
  <w:style w:type="character" w:styleId="WWCharLFO15LVL1">
    <w:name w:val="WW_CharLFO15LVL1"/>
    <w:qFormat/>
    <w:rPr>
      <w:rFonts w:ascii="Verdana" w:hAnsi="Verdana" w:cs="Verdana"/>
    </w:rPr>
  </w:style>
  <w:style w:type="character" w:styleId="WWCharLFO15LVL2">
    <w:name w:val="WW_CharLFO15LVL2"/>
    <w:qFormat/>
    <w:rPr>
      <w:rFonts w:ascii="Courier New" w:hAnsi="Courier New" w:cs="Courier New"/>
    </w:rPr>
  </w:style>
  <w:style w:type="character" w:styleId="WWCharLFO15LVL3">
    <w:name w:val="WW_CharLFO15LVL3"/>
    <w:qFormat/>
    <w:rPr>
      <w:rFonts w:ascii="Wingdings" w:hAnsi="Wingdings" w:cs="Wingdings"/>
    </w:rPr>
  </w:style>
  <w:style w:type="character" w:styleId="WWCharLFO15LVL4">
    <w:name w:val="WW_CharLFO15LVL4"/>
    <w:qFormat/>
    <w:rPr>
      <w:rFonts w:ascii="Symbol" w:hAnsi="Symbol" w:cs="Symbol"/>
    </w:rPr>
  </w:style>
  <w:style w:type="character" w:styleId="WWCharLFO15LVL5">
    <w:name w:val="WW_CharLFO15LVL5"/>
    <w:qFormat/>
    <w:rPr>
      <w:rFonts w:ascii="Courier New" w:hAnsi="Courier New" w:cs="Courier New"/>
    </w:rPr>
  </w:style>
  <w:style w:type="character" w:styleId="WWCharLFO15LVL6">
    <w:name w:val="WW_CharLFO15LVL6"/>
    <w:qFormat/>
    <w:rPr>
      <w:rFonts w:ascii="Wingdings" w:hAnsi="Wingdings" w:cs="Wingdings"/>
    </w:rPr>
  </w:style>
  <w:style w:type="character" w:styleId="WWCharLFO15LVL7">
    <w:name w:val="WW_CharLFO15LVL7"/>
    <w:qFormat/>
    <w:rPr>
      <w:rFonts w:ascii="Symbol" w:hAnsi="Symbol" w:cs="Symbol"/>
    </w:rPr>
  </w:style>
  <w:style w:type="character" w:styleId="WWCharLFO15LVL8">
    <w:name w:val="WW_CharLFO15LVL8"/>
    <w:qFormat/>
    <w:rPr>
      <w:rFonts w:ascii="Courier New" w:hAnsi="Courier New" w:cs="Courier New"/>
    </w:rPr>
  </w:style>
  <w:style w:type="character" w:styleId="WWCharLFO15LVL9">
    <w:name w:val="WW_CharLFO15LVL9"/>
    <w:qFormat/>
    <w:rPr>
      <w:rFonts w:ascii="Wingdings" w:hAnsi="Wingdings" w:cs="Wingdings"/>
    </w:rPr>
  </w:style>
  <w:style w:type="character" w:styleId="WWCharLFO22LVL2">
    <w:name w:val="WW_CharLFO22LVL2"/>
    <w:qFormat/>
    <w:rPr>
      <w:rFonts w:cs="Arial"/>
      <w:b w:val="false"/>
      <w:bCs/>
      <w:strike w:val="false"/>
      <w:dstrike w:val="false"/>
    </w:rPr>
  </w:style>
  <w:style w:type="character" w:styleId="WWCharLFO22LVL4">
    <w:name w:val="WW_CharLFO22LVL4"/>
    <w:qFormat/>
    <w:rPr>
      <w:sz w:val="22"/>
      <w:szCs w:val="22"/>
    </w:rPr>
  </w:style>
  <w:style w:type="character" w:styleId="WWCharLFO37LVL2">
    <w:name w:val="WW_CharLFO37LVL2"/>
    <w:qFormat/>
    <w:rPr>
      <w:rFonts w:cs="Wingdings"/>
    </w:rPr>
  </w:style>
  <w:style w:type="character" w:styleId="WWCharLFO37LVL3">
    <w:name w:val="WW_CharLFO37LVL3"/>
    <w:qFormat/>
    <w:rPr>
      <w:rFonts w:cs="Wingdings"/>
    </w:rPr>
  </w:style>
  <w:style w:type="character" w:styleId="WWCharLFO37LVL4">
    <w:name w:val="WW_CharLFO37LVL4"/>
    <w:qFormat/>
    <w:rPr>
      <w:rFonts w:cs="Wingdings"/>
      <w:sz w:val="20"/>
      <w:szCs w:val="20"/>
    </w:rPr>
  </w:style>
  <w:style w:type="character" w:styleId="WWCharLFO37LVL5">
    <w:name w:val="WW_CharLFO37LVL5"/>
    <w:qFormat/>
    <w:rPr>
      <w:rFonts w:cs="Wingdings"/>
    </w:rPr>
  </w:style>
  <w:style w:type="character" w:styleId="WWCharLFO37LVL6">
    <w:name w:val="WW_CharLFO37LVL6"/>
    <w:qFormat/>
    <w:rPr>
      <w:rFonts w:cs="Wingdings"/>
    </w:rPr>
  </w:style>
  <w:style w:type="character" w:styleId="WWCharLFO37LVL7">
    <w:name w:val="WW_CharLFO37LVL7"/>
    <w:qFormat/>
    <w:rPr>
      <w:rFonts w:cs="Wingdings"/>
    </w:rPr>
  </w:style>
  <w:style w:type="character" w:styleId="WWCharLFO37LVL8">
    <w:name w:val="WW_CharLFO37LVL8"/>
    <w:qFormat/>
    <w:rPr>
      <w:rFonts w:cs="Wingdings"/>
    </w:rPr>
  </w:style>
  <w:style w:type="character" w:styleId="WWCharLFO37LVL9">
    <w:name w:val="WW_CharLFO37LVL9"/>
    <w:qFormat/>
    <w:rPr>
      <w:rFonts w:cs="Wingdings"/>
    </w:rPr>
  </w:style>
  <w:style w:type="paragraph" w:styleId="Antrat">
    <w:name w:val="Antraštė"/>
    <w:basedOn w:val="Normal"/>
    <w:qFormat/>
    <w:pPr>
      <w:suppressLineNumbers/>
      <w:suppressAutoHyphens w:val="true"/>
      <w:spacing w:before="120" w:after="120"/>
    </w:pPr>
    <w:rPr>
      <w:i/>
      <w:iCs/>
    </w:rPr>
  </w:style>
  <w:style w:type="paragraph" w:styleId="BodyText">
    <w:name w:val="Body Text"/>
    <w:basedOn w:val="Normal"/>
    <w:pPr>
      <w:suppressAutoHyphens w:val="true"/>
      <w:spacing w:lineRule="auto" w:line="276" w:before="0" w:after="140"/>
    </w:pPr>
    <w:rPr/>
  </w:style>
  <w:style w:type="paragraph" w:styleId="Normal1">
    <w:name w:val="Normal1"/>
    <w:qFormat/>
    <w:pPr>
      <w:keepNext w:val="false"/>
      <w:keepLines w:val="false"/>
      <w:pageBreakBefore w:val="false"/>
      <w:widowControl/>
      <w:pBdr/>
      <w:shd w:fill="auto" w:val="clear"/>
      <w:suppressAutoHyphens w:val="false"/>
      <w:kinsoku w:val="true"/>
      <w:overflowPunct w:val="true"/>
      <w:autoSpaceDE w:val="true"/>
      <w:bidi w:val="0"/>
      <w:snapToGrid w:val="true"/>
      <w:spacing w:lineRule="auto" w:line="240" w:before="0" w:after="0"/>
      <w:jc w:val="start"/>
    </w:pPr>
    <w:rPr>
      <w:rFonts w:ascii="Liberation Serif" w:hAnsi="Liberation Serif" w:eastAsia="NSimSun" w:cs="Lucida San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lt-LT" w:eastAsia="zh-CN" w:bidi="hi-IN"/>
    </w:rPr>
  </w:style>
  <w:style w:type="paragraph" w:styleId="prastasis">
    <w:name w:val="Įprastasis"/>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start"/>
    </w:pPr>
    <w:rPr>
      <w:rFonts w:ascii="Liberation Serif" w:hAnsi="Liberation Serif" w:eastAsia="NSimSun" w:cs="Lucida San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lt-LT" w:eastAsia="zh-CN" w:bidi="hi-IN"/>
    </w:rPr>
  </w:style>
  <w:style w:type="paragraph" w:styleId="List">
    <w:name w:val="List"/>
    <w:basedOn w:val="BodyText"/>
    <w:pPr>
      <w:suppressAutoHyphens w:val="true"/>
    </w:pPr>
    <w:rPr/>
  </w:style>
  <w:style w:type="paragraph" w:styleId="Rodykl">
    <w:name w:val="Rodyklė"/>
    <w:basedOn w:val="Normal"/>
    <w:qFormat/>
    <w:pPr>
      <w:suppressLineNumbers/>
      <w:suppressAutoHyphens w:val="true"/>
    </w:pPr>
    <w:rPr/>
  </w:style>
  <w:style w:type="paragraph" w:styleId="SubjectLine">
    <w:name w:val="Subject Line"/>
    <w:basedOn w:val="Normal"/>
    <w:next w:val="BodyText"/>
    <w:qFormat/>
    <w:pPr>
      <w:suppressAutoHyphens w:val="true"/>
      <w:spacing w:before="560" w:after="320"/>
      <w:jc w:val="both"/>
    </w:pPr>
    <w:rPr>
      <w:rFonts w:ascii="Verdana" w:hAnsi="Verdana" w:eastAsia="Verdana" w:cs="Verdana"/>
      <w:color w:val="EC008C"/>
      <w:sz w:val="32"/>
      <w:lang w:eastAsia="lt-LT"/>
    </w:rPr>
  </w:style>
  <w:style w:type="paragraph" w:styleId="Sraopastraipa">
    <w:name w:val="Sąrašo pastraipa"/>
    <w:basedOn w:val="Normal"/>
    <w:qFormat/>
    <w:pPr>
      <w:tabs>
        <w:tab w:val="clear" w:pos="709"/>
      </w:tabs>
      <w:suppressAutoHyphens w:val="true"/>
      <w:ind w:start="720"/>
    </w:pPr>
    <w:rPr>
      <w:rFonts w:ascii="Calibri" w:hAnsi="Calibri" w:eastAsia="Calibri" w:cs="Calibri"/>
      <w:sz w:val="22"/>
      <w:szCs w:val="22"/>
      <w:lang w:val="en-US"/>
    </w:rPr>
  </w:style>
  <w:style w:type="paragraph" w:styleId="Comment">
    <w:name w:val="Comment"/>
    <w:basedOn w:val="Normal"/>
    <w:qFormat/>
    <w:pPr>
      <w:tabs>
        <w:tab w:val="clear" w:pos="709"/>
      </w:tabs>
      <w:suppressAutoHyphens w:val="true"/>
      <w:spacing w:before="56" w:after="0"/>
      <w:ind w:start="56" w:end="56"/>
    </w:pPr>
    <w:rPr>
      <w:sz w:val="20"/>
      <w:szCs w:val="20"/>
    </w:rPr>
  </w:style>
  <w:style w:type="paragraph" w:styleId="Lentelsturinys">
    <w:name w:val="Lentelės turinys"/>
    <w:basedOn w:val="Normal"/>
    <w:qFormat/>
    <w:pPr>
      <w:widowControl w:val="false"/>
      <w:suppressLineNumbers/>
      <w:suppressAutoHyphens w:val="true"/>
    </w:pPr>
    <w:rPr/>
  </w:style>
  <w:style w:type="paragraph" w:styleId="Komentarotekstas">
    <w:name w:val="Komentaro tekstas"/>
    <w:basedOn w:val="prastasis"/>
    <w:qFormat/>
    <w:pPr>
      <w:suppressAutoHyphens w:val="true"/>
    </w:pPr>
    <w:rPr>
      <w:rFonts w:cs="Mangal"/>
      <w:sz w:val="20"/>
      <w:szCs w:val="18"/>
    </w:rPr>
  </w:style>
  <w:style w:type="paragraph" w:styleId="Debesliotekstas">
    <w:name w:val="Debesėlio tekstas"/>
    <w:basedOn w:val="prastasis"/>
    <w:qFormat/>
    <w:pPr>
      <w:suppressAutoHyphens w:val="true"/>
    </w:pPr>
    <w:rPr>
      <w:rFonts w:ascii="Segoe UI" w:hAnsi="Segoe UI" w:eastAsia="Segoe UI" w:cs="Mangal"/>
      <w:sz w:val="18"/>
      <w:szCs w:val="16"/>
    </w:rPr>
  </w:style>
  <w:style w:type="paragraph" w:styleId="Komentarotema">
    <w:name w:val="Komentaro tema"/>
    <w:basedOn w:val="Komentarotekstas"/>
    <w:next w:val="Komentarotekstas"/>
    <w:qFormat/>
    <w:pPr>
      <w:suppressAutoHyphens w:val="true"/>
    </w:pPr>
    <w:rPr>
      <w:b/>
      <w:bCs/>
    </w:rPr>
  </w:style>
  <w:style w:type="paragraph" w:styleId="CommentSubject">
    <w:name w:val="Comment Subject"/>
    <w:basedOn w:val="CommentText"/>
    <w:next w:val="CommentText"/>
    <w:qFormat/>
    <w:pPr>
      <w:suppressAutoHyphens w:val="false"/>
    </w:pPr>
    <w:rPr>
      <w:b/>
      <w:bCs/>
    </w:rPr>
  </w:style>
  <w:style w:type="paragraph" w:styleId="Revision">
    <w:name w:val="Revision"/>
    <w:qFormat/>
    <w:pPr>
      <w:keepNext w:val="false"/>
      <w:keepLines w:val="false"/>
      <w:pageBreakBefore w:val="false"/>
      <w:widowControl/>
      <w:pBdr/>
      <w:shd w:fill="auto" w:val="clear"/>
      <w:suppressAutoHyphens w:val="false"/>
      <w:kinsoku w:val="true"/>
      <w:overflowPunct w:val="true"/>
      <w:autoSpaceDE w:val="true"/>
      <w:bidi w:val="0"/>
      <w:snapToGrid w:val="true"/>
      <w:spacing w:lineRule="auto" w:line="240" w:before="0" w:after="0"/>
      <w:jc w:val="start"/>
      <w:textAlignment w:val="auto"/>
    </w:pPr>
    <w:rPr>
      <w:rFonts w:cs="Mangal" w:ascii="Liberation Serif" w:hAnsi="Liberation Serif" w:eastAsia="NSimSu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1"/>
      <w:u w:val="none"/>
      <w:shd w:fill="auto" w:val="clear"/>
      <w:vertAlign w:val="baseline"/>
      <w:em w:val="none"/>
      <w:lang w:val="lt-LT" w:eastAsia="zh-CN" w:bidi="hi-IN"/>
    </w:rPr>
  </w:style>
  <w:style w:type="paragraph" w:styleId="ListParagraph">
    <w:name w:val="List Paragraph"/>
    <w:basedOn w:val="Normal1"/>
    <w:qFormat/>
    <w:pPr>
      <w:tabs>
        <w:tab w:val="clear" w:pos="709"/>
      </w:tabs>
      <w:suppressAutoHyphens w:val="false"/>
      <w:spacing w:before="0" w:after="0"/>
      <w:ind w:start="720"/>
      <w:contextualSpacing/>
    </w:pPr>
    <w:rPr>
      <w:rFonts w:cs="Mangal"/>
      <w:szCs w:val="21"/>
    </w:rPr>
  </w:style>
  <w:style w:type="paragraph" w:styleId="CommentText">
    <w:name w:val="Comment Text"/>
    <w:basedOn w:val="Normal1"/>
    <w:qFormat/>
    <w:pPr>
      <w:suppressAutoHyphens w:val="false"/>
    </w:pPr>
    <w:rPr>
      <w:rFonts w:cs="Mangal"/>
      <w:sz w:val="20"/>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40</TotalTime>
  <Application>LibreOffice/24.8.0.3$Windows_X86_64 LibreOffice_project/0bdf1299c94fe897b119f97f3c613e9dca6be583</Application>
  <AppVersion>15.0000</AppVersion>
  <Pages>10</Pages>
  <Words>3773</Words>
  <Characters>25411</Characters>
  <CharactersWithSpaces>28838</CharactersWithSpaces>
  <Paragraphs>280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2025-01-29T11:57:00Z</dcterms:created>
  <dc:creator/>
  <dc:description/>
  <dc:language>lt-LT</dc:language>
  <cp:lastModifiedBy/>
  <dcterms:modified xsi:type="dcterms:W3CDTF">2025-02-07T13:31:45Z</dcterms:modified>
  <cp:revision>10</cp:revision>
  <dc:subject/>
  <dc:title/>
</cp:coreProperties>
</file>