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7777777" w:rsidR="00940552" w:rsidRPr="00E947D8" w:rsidRDefault="00940552" w:rsidP="00E947D8">
      <w:pPr>
        <w:keepNext/>
        <w:keepLines/>
        <w:spacing w:before="120"/>
        <w:jc w:val="right"/>
        <w:outlineLvl w:val="1"/>
        <w:rPr>
          <w:rFonts w:eastAsia="Calibri"/>
          <w:b/>
        </w:rPr>
      </w:pPr>
      <w:bookmarkStart w:id="0" w:name="_Ref38291223"/>
      <w:bookmarkStart w:id="1" w:name="_Ref38291334"/>
      <w:bookmarkStart w:id="2" w:name="_Ref38533412"/>
      <w:bookmarkStart w:id="3" w:name="_Toc124404959"/>
      <w:r w:rsidRPr="00E947D8">
        <w:rPr>
          <w:rFonts w:eastAsia="Calibri"/>
          <w:b/>
        </w:rPr>
        <w:t>Pirkimo sąlygų 6 priedas „Pasiūlymo forma“</w:t>
      </w:r>
      <w:bookmarkEnd w:id="0"/>
      <w:bookmarkEnd w:id="1"/>
      <w:bookmarkEnd w:id="2"/>
      <w:bookmarkEnd w:id="3"/>
    </w:p>
    <w:p w14:paraId="05329D62" w14:textId="7970A641" w:rsidR="005F09C4" w:rsidRPr="00E947D8"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781BD809" w14:textId="5112F7D1" w:rsidR="008B6454" w:rsidRPr="00E947D8" w:rsidRDefault="008B6454" w:rsidP="00A362ED">
      <w:pPr>
        <w:contextualSpacing/>
        <w:jc w:val="center"/>
        <w:rPr>
          <w:b/>
          <w:sz w:val="28"/>
          <w:szCs w:val="28"/>
        </w:rPr>
      </w:pPr>
      <w:r w:rsidRPr="00E947D8">
        <w:rPr>
          <w:b/>
          <w:bCs/>
          <w:sz w:val="28"/>
          <w:szCs w:val="28"/>
        </w:rPr>
        <w:t>„</w:t>
      </w:r>
      <w:r w:rsidR="00E947D8" w:rsidRPr="00E947D8">
        <w:rPr>
          <w:b/>
          <w:bCs/>
          <w:sz w:val="28"/>
          <w:szCs w:val="28"/>
        </w:rPr>
        <w:t>S</w:t>
      </w:r>
      <w:r w:rsidR="00A01C13">
        <w:rPr>
          <w:b/>
          <w:bCs/>
          <w:sz w:val="28"/>
          <w:szCs w:val="28"/>
        </w:rPr>
        <w:t xml:space="preserve">kaitmeninis </w:t>
      </w:r>
      <w:proofErr w:type="spellStart"/>
      <w:r w:rsidR="00A01C13">
        <w:rPr>
          <w:b/>
          <w:bCs/>
          <w:sz w:val="28"/>
          <w:szCs w:val="28"/>
        </w:rPr>
        <w:t>oscilografas</w:t>
      </w:r>
      <w:proofErr w:type="spellEnd"/>
      <w:r w:rsidRPr="00E947D8">
        <w:rPr>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350FA33" w14:textId="7575C164" w:rsidR="00C636E9" w:rsidRPr="0045180C" w:rsidRDefault="003E5E4F" w:rsidP="00CE2C30">
      <w:pPr>
        <w:jc w:val="center"/>
        <w:rPr>
          <w:b/>
          <w:sz w:val="22"/>
          <w:szCs w:val="22"/>
        </w:rPr>
      </w:pPr>
      <w:bookmarkStart w:id="6" w:name="_Hlk8377959"/>
      <w:bookmarkStart w:id="7" w:name="_Hlk96519690"/>
      <w:r w:rsidRPr="0045180C">
        <w:rPr>
          <w:b/>
          <w:sz w:val="22"/>
          <w:szCs w:val="22"/>
        </w:rPr>
        <w:t xml:space="preserve">3. </w:t>
      </w:r>
      <w:bookmarkEnd w:id="6"/>
      <w:r w:rsidR="00CE2C30" w:rsidRPr="0045180C">
        <w:rPr>
          <w:b/>
          <w:sz w:val="22"/>
          <w:szCs w:val="22"/>
        </w:rPr>
        <w:t xml:space="preserve">PASIŪLYMO KAINA </w:t>
      </w:r>
      <w:r w:rsidR="00CE2C30">
        <w:rPr>
          <w:b/>
          <w:sz w:val="22"/>
          <w:szCs w:val="22"/>
        </w:rPr>
        <w:t>IR SIŪLOMOS TECHNINĖS CHARAKTERISTIKOS</w:t>
      </w:r>
    </w:p>
    <w:p w14:paraId="0C8D49B8" w14:textId="77777777" w:rsidR="00AF2FDD" w:rsidRPr="0045180C" w:rsidRDefault="00AF2FDD" w:rsidP="00AF2FDD">
      <w:pPr>
        <w:jc w:val="both"/>
        <w:rPr>
          <w:b/>
          <w:sz w:val="22"/>
          <w:szCs w:val="22"/>
        </w:rPr>
      </w:pPr>
    </w:p>
    <w:p w14:paraId="2351DCEE" w14:textId="59B5A63A" w:rsidR="00AF2FDD"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yperlink"/>
            <w:sz w:val="22"/>
            <w:szCs w:val="22"/>
          </w:rPr>
          <w:t>lentel</w:t>
        </w:r>
      </w:hyperlink>
      <w:r w:rsidR="00EC3336">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 xml:space="preserve">visai </w:t>
      </w:r>
      <w:r w:rsidR="00A511E1">
        <w:rPr>
          <w:sz w:val="22"/>
          <w:szCs w:val="22"/>
        </w:rPr>
        <w:t xml:space="preserve">pirkimo dalies </w:t>
      </w:r>
      <w:r w:rsidRPr="0045180C">
        <w:rPr>
          <w:sz w:val="22"/>
          <w:szCs w:val="22"/>
        </w:rPr>
        <w:t>lentelėje nurodytai apimčiai, nestambinant jos plačiau ar neskaidant jos smulkiau:</w:t>
      </w:r>
    </w:p>
    <w:p w14:paraId="15296996" w14:textId="77777777" w:rsidR="00C00876" w:rsidRDefault="00C00876" w:rsidP="00AF2FDD">
      <w:pPr>
        <w:jc w:val="both"/>
        <w:rPr>
          <w:sz w:val="22"/>
          <w:szCs w:val="22"/>
        </w:rPr>
      </w:pPr>
    </w:p>
    <w:tbl>
      <w:tblPr>
        <w:tblStyle w:val="Lentelstinklelis2"/>
        <w:tblW w:w="0" w:type="auto"/>
        <w:tblInd w:w="0" w:type="dxa"/>
        <w:tblLook w:val="04A0" w:firstRow="1" w:lastRow="0" w:firstColumn="1" w:lastColumn="0" w:noHBand="0" w:noVBand="1"/>
      </w:tblPr>
      <w:tblGrid>
        <w:gridCol w:w="702"/>
        <w:gridCol w:w="5814"/>
        <w:gridCol w:w="1276"/>
        <w:gridCol w:w="1837"/>
      </w:tblGrid>
      <w:tr w:rsidR="00EC3336" w:rsidRPr="00445037" w14:paraId="34605629" w14:textId="77777777" w:rsidTr="00EC3336">
        <w:tc>
          <w:tcPr>
            <w:tcW w:w="702" w:type="dxa"/>
          </w:tcPr>
          <w:p w14:paraId="6C0FAFBE" w14:textId="77777777" w:rsidR="00EC3336" w:rsidRPr="00B02141" w:rsidRDefault="00EC3336"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5814" w:type="dxa"/>
          </w:tcPr>
          <w:p w14:paraId="30D60C74" w14:textId="77777777" w:rsidR="00EC3336" w:rsidRPr="00445037" w:rsidRDefault="00EC3336"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276" w:type="dxa"/>
          </w:tcPr>
          <w:p w14:paraId="4109F5D4" w14:textId="5E48B04E"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Mato vnt.</w:t>
            </w:r>
          </w:p>
        </w:tc>
        <w:tc>
          <w:tcPr>
            <w:tcW w:w="1837" w:type="dxa"/>
          </w:tcPr>
          <w:p w14:paraId="4CBAC690" w14:textId="25AAF9EB" w:rsidR="00EC3336" w:rsidRPr="00445037" w:rsidRDefault="00EC3336" w:rsidP="00EC3336">
            <w:pPr>
              <w:tabs>
                <w:tab w:val="left" w:pos="567"/>
              </w:tabs>
              <w:spacing w:before="60" w:after="60"/>
              <w:contextualSpacing/>
              <w:rPr>
                <w:rFonts w:eastAsia="Calibri"/>
                <w:b/>
                <w:color w:val="000000"/>
                <w:sz w:val="22"/>
                <w:szCs w:val="22"/>
                <w:lang w:eastAsia="en-US"/>
              </w:rPr>
            </w:pPr>
            <w:r>
              <w:rPr>
                <w:rFonts w:eastAsia="Calibri"/>
                <w:b/>
                <w:color w:val="000000"/>
                <w:sz w:val="22"/>
                <w:szCs w:val="22"/>
                <w:lang w:eastAsia="en-US"/>
              </w:rPr>
              <w:t>Kiekis</w:t>
            </w:r>
          </w:p>
        </w:tc>
      </w:tr>
      <w:tr w:rsidR="00EC3336" w:rsidRPr="00445037" w14:paraId="197B6314" w14:textId="77777777" w:rsidTr="00EC3336">
        <w:trPr>
          <w:trHeight w:val="310"/>
        </w:trPr>
        <w:tc>
          <w:tcPr>
            <w:tcW w:w="702" w:type="dxa"/>
            <w:vAlign w:val="center"/>
          </w:tcPr>
          <w:p w14:paraId="1A58D3C7" w14:textId="77777777" w:rsidR="00EC3336" w:rsidRPr="00964B05" w:rsidRDefault="00EC3336" w:rsidP="00EC3336">
            <w:pPr>
              <w:tabs>
                <w:tab w:val="left" w:pos="567"/>
              </w:tabs>
              <w:spacing w:before="60" w:after="60"/>
              <w:contextualSpacing/>
              <w:rPr>
                <w:bCs/>
                <w:sz w:val="22"/>
                <w:szCs w:val="22"/>
              </w:rPr>
            </w:pPr>
            <w:r w:rsidRPr="00964B05">
              <w:rPr>
                <w:bCs/>
                <w:sz w:val="22"/>
                <w:szCs w:val="22"/>
              </w:rPr>
              <w:t>1</w:t>
            </w:r>
          </w:p>
        </w:tc>
        <w:tc>
          <w:tcPr>
            <w:tcW w:w="5814" w:type="dxa"/>
            <w:tcBorders>
              <w:top w:val="single" w:sz="4" w:space="0" w:color="auto"/>
              <w:left w:val="single" w:sz="4" w:space="0" w:color="auto"/>
              <w:bottom w:val="single" w:sz="4" w:space="0" w:color="auto"/>
            </w:tcBorders>
            <w:vAlign w:val="center"/>
          </w:tcPr>
          <w:p w14:paraId="5CC1299F" w14:textId="7D0C0D96" w:rsidR="00EC3336" w:rsidRPr="00A83168" w:rsidRDefault="00A01C13" w:rsidP="00EC3336">
            <w:pPr>
              <w:tabs>
                <w:tab w:val="left" w:pos="567"/>
              </w:tabs>
              <w:spacing w:before="60" w:after="60"/>
              <w:contextualSpacing/>
            </w:pPr>
            <w:r w:rsidRPr="00A83168">
              <w:t xml:space="preserve">Skaitmeninis </w:t>
            </w:r>
            <w:proofErr w:type="spellStart"/>
            <w:r w:rsidRPr="00A83168">
              <w:t>oscilografas</w:t>
            </w:r>
            <w:proofErr w:type="spellEnd"/>
          </w:p>
        </w:tc>
        <w:tc>
          <w:tcPr>
            <w:tcW w:w="1276" w:type="dxa"/>
          </w:tcPr>
          <w:p w14:paraId="6FFBC524" w14:textId="2206E03C" w:rsidR="00EC3336" w:rsidRPr="00CB73C5" w:rsidRDefault="00EC3336" w:rsidP="00EC3336">
            <w:pPr>
              <w:tabs>
                <w:tab w:val="left" w:pos="567"/>
              </w:tabs>
              <w:spacing w:before="60" w:after="60"/>
              <w:contextualSpacing/>
              <w:rPr>
                <w:bCs/>
                <w:sz w:val="22"/>
                <w:szCs w:val="22"/>
              </w:rPr>
            </w:pPr>
            <w:proofErr w:type="spellStart"/>
            <w:r w:rsidRPr="00CB73C5">
              <w:rPr>
                <w:bCs/>
                <w:sz w:val="22"/>
                <w:szCs w:val="22"/>
              </w:rPr>
              <w:t>Kompl</w:t>
            </w:r>
            <w:proofErr w:type="spellEnd"/>
            <w:r w:rsidRPr="00CB73C5">
              <w:rPr>
                <w:bCs/>
                <w:sz w:val="22"/>
                <w:szCs w:val="22"/>
              </w:rPr>
              <w:t>.</w:t>
            </w:r>
          </w:p>
        </w:tc>
        <w:tc>
          <w:tcPr>
            <w:tcW w:w="1837" w:type="dxa"/>
          </w:tcPr>
          <w:p w14:paraId="6FCCA8FA" w14:textId="19AE7F54" w:rsidR="00EC3336" w:rsidRPr="00CB73C5" w:rsidRDefault="00EC3336" w:rsidP="00EC3336">
            <w:pPr>
              <w:tabs>
                <w:tab w:val="left" w:pos="567"/>
              </w:tabs>
              <w:spacing w:before="60" w:after="60"/>
              <w:contextualSpacing/>
              <w:rPr>
                <w:bCs/>
                <w:sz w:val="22"/>
                <w:szCs w:val="22"/>
              </w:rPr>
            </w:pPr>
            <w:r w:rsidRPr="00CB73C5">
              <w:rPr>
                <w:bCs/>
                <w:sz w:val="22"/>
                <w:szCs w:val="22"/>
              </w:rPr>
              <w:t>1</w:t>
            </w:r>
          </w:p>
        </w:tc>
      </w:tr>
      <w:tr w:rsidR="00EC3336" w:rsidRPr="00445037" w14:paraId="59215EDE" w14:textId="77777777" w:rsidTr="00A05AF2">
        <w:trPr>
          <w:trHeight w:val="310"/>
        </w:trPr>
        <w:tc>
          <w:tcPr>
            <w:tcW w:w="7792" w:type="dxa"/>
            <w:gridSpan w:val="3"/>
          </w:tcPr>
          <w:p w14:paraId="2D94AB3E" w14:textId="5B860FB6" w:rsidR="00EC3336" w:rsidRPr="00964B05" w:rsidRDefault="00EC3336" w:rsidP="00EC3336">
            <w:pPr>
              <w:tabs>
                <w:tab w:val="left" w:pos="567"/>
              </w:tabs>
              <w:spacing w:before="60" w:after="60"/>
              <w:contextualSpacing/>
              <w:jc w:val="right"/>
            </w:pPr>
            <w:r>
              <w:rPr>
                <w:sz w:val="22"/>
                <w:szCs w:val="22"/>
              </w:rPr>
              <w:t>P</w:t>
            </w:r>
            <w:r w:rsidRPr="00445037">
              <w:rPr>
                <w:sz w:val="22"/>
                <w:szCs w:val="22"/>
              </w:rPr>
              <w:t xml:space="preserve">asiūlymo kaina Eur </w:t>
            </w:r>
            <w:r>
              <w:rPr>
                <w:sz w:val="22"/>
                <w:szCs w:val="22"/>
              </w:rPr>
              <w:t>be</w:t>
            </w:r>
            <w:r w:rsidRPr="00445037">
              <w:rPr>
                <w:sz w:val="22"/>
                <w:szCs w:val="22"/>
              </w:rPr>
              <w:t xml:space="preserve"> PVM</w:t>
            </w:r>
          </w:p>
        </w:tc>
        <w:tc>
          <w:tcPr>
            <w:tcW w:w="1837" w:type="dxa"/>
          </w:tcPr>
          <w:p w14:paraId="3B7A2D1C" w14:textId="77777777" w:rsidR="00EC3336" w:rsidRPr="00445037" w:rsidRDefault="00EC3336" w:rsidP="00EC3336">
            <w:pPr>
              <w:tabs>
                <w:tab w:val="left" w:pos="567"/>
              </w:tabs>
              <w:spacing w:before="60" w:after="60"/>
              <w:contextualSpacing/>
              <w:rPr>
                <w:sz w:val="22"/>
                <w:szCs w:val="22"/>
              </w:rPr>
            </w:pPr>
          </w:p>
        </w:tc>
      </w:tr>
      <w:tr w:rsidR="00EC3336" w:rsidRPr="00445037" w14:paraId="01C5DC1C" w14:textId="77777777" w:rsidTr="00A05AF2">
        <w:trPr>
          <w:trHeight w:val="310"/>
        </w:trPr>
        <w:tc>
          <w:tcPr>
            <w:tcW w:w="7792" w:type="dxa"/>
            <w:gridSpan w:val="3"/>
          </w:tcPr>
          <w:p w14:paraId="7041405D" w14:textId="77777777" w:rsidR="00EC3336" w:rsidRPr="00964B05" w:rsidRDefault="00EC3336" w:rsidP="00EC3336">
            <w:pPr>
              <w:tabs>
                <w:tab w:val="left" w:pos="567"/>
              </w:tabs>
              <w:spacing w:before="60" w:after="60"/>
              <w:contextualSpacing/>
              <w:jc w:val="right"/>
            </w:pPr>
            <w:r w:rsidRPr="00964B05">
              <w:t>PVM* dydis, %</w:t>
            </w:r>
          </w:p>
        </w:tc>
        <w:tc>
          <w:tcPr>
            <w:tcW w:w="1837" w:type="dxa"/>
          </w:tcPr>
          <w:p w14:paraId="124F2833" w14:textId="77777777" w:rsidR="00EC3336" w:rsidRPr="00964B05" w:rsidRDefault="00EC3336" w:rsidP="00EC3336">
            <w:pPr>
              <w:tabs>
                <w:tab w:val="left" w:pos="567"/>
              </w:tabs>
              <w:spacing w:before="60" w:after="60"/>
              <w:contextualSpacing/>
              <w:rPr>
                <w:b/>
                <w:sz w:val="20"/>
                <w:szCs w:val="20"/>
              </w:rPr>
            </w:pPr>
          </w:p>
        </w:tc>
      </w:tr>
      <w:tr w:rsidR="00EC3336" w:rsidRPr="00445037" w14:paraId="775E3013" w14:textId="77777777" w:rsidTr="00A05AF2">
        <w:trPr>
          <w:trHeight w:val="310"/>
        </w:trPr>
        <w:tc>
          <w:tcPr>
            <w:tcW w:w="7792" w:type="dxa"/>
            <w:gridSpan w:val="3"/>
          </w:tcPr>
          <w:p w14:paraId="1E99DEC3" w14:textId="77777777" w:rsidR="00EC3336" w:rsidRPr="00445037" w:rsidRDefault="00EC3336" w:rsidP="00EC3336">
            <w:pPr>
              <w:tabs>
                <w:tab w:val="left" w:pos="567"/>
              </w:tabs>
              <w:spacing w:before="60" w:after="60"/>
              <w:contextualSpacing/>
              <w:jc w:val="right"/>
              <w:rPr>
                <w:sz w:val="22"/>
                <w:szCs w:val="22"/>
              </w:rPr>
            </w:pPr>
            <w:r>
              <w:rPr>
                <w:sz w:val="22"/>
                <w:szCs w:val="22"/>
              </w:rPr>
              <w:t>PVM suma, Eur</w:t>
            </w:r>
          </w:p>
        </w:tc>
        <w:tc>
          <w:tcPr>
            <w:tcW w:w="1837" w:type="dxa"/>
          </w:tcPr>
          <w:p w14:paraId="1003A85A" w14:textId="77777777" w:rsidR="00EC3336" w:rsidRPr="00445037" w:rsidRDefault="00EC3336" w:rsidP="00EC3336">
            <w:pPr>
              <w:tabs>
                <w:tab w:val="left" w:pos="567"/>
              </w:tabs>
              <w:spacing w:before="60" w:after="60"/>
              <w:contextualSpacing/>
              <w:rPr>
                <w:sz w:val="22"/>
                <w:szCs w:val="22"/>
              </w:rPr>
            </w:pPr>
          </w:p>
        </w:tc>
      </w:tr>
      <w:tr w:rsidR="00EC3336" w:rsidRPr="00445037" w14:paraId="3EFE9E61" w14:textId="77777777" w:rsidTr="00A05AF2">
        <w:trPr>
          <w:trHeight w:val="310"/>
        </w:trPr>
        <w:tc>
          <w:tcPr>
            <w:tcW w:w="7792" w:type="dxa"/>
            <w:gridSpan w:val="3"/>
          </w:tcPr>
          <w:p w14:paraId="73674F9F" w14:textId="20FC9F2F" w:rsidR="00EC3336" w:rsidRPr="00445037" w:rsidRDefault="00EC3336" w:rsidP="00EC3336">
            <w:pPr>
              <w:tabs>
                <w:tab w:val="left" w:pos="567"/>
              </w:tabs>
              <w:spacing w:before="60" w:after="60"/>
              <w:contextualSpacing/>
              <w:jc w:val="right"/>
              <w:rPr>
                <w:sz w:val="22"/>
                <w:szCs w:val="22"/>
              </w:rPr>
            </w:pPr>
            <w:r>
              <w:rPr>
                <w:sz w:val="22"/>
                <w:szCs w:val="22"/>
              </w:rPr>
              <w:t>P</w:t>
            </w:r>
            <w:r w:rsidRPr="00445037">
              <w:rPr>
                <w:sz w:val="22"/>
                <w:szCs w:val="22"/>
              </w:rPr>
              <w:t xml:space="preserve">asiūlymo kaina Eur </w:t>
            </w:r>
            <w:r>
              <w:rPr>
                <w:sz w:val="22"/>
                <w:szCs w:val="22"/>
              </w:rPr>
              <w:t>su</w:t>
            </w:r>
            <w:r w:rsidRPr="00445037">
              <w:rPr>
                <w:sz w:val="22"/>
                <w:szCs w:val="22"/>
              </w:rPr>
              <w:t xml:space="preserve"> PVM</w:t>
            </w:r>
          </w:p>
        </w:tc>
        <w:tc>
          <w:tcPr>
            <w:tcW w:w="1837" w:type="dxa"/>
          </w:tcPr>
          <w:p w14:paraId="5D667761" w14:textId="77777777" w:rsidR="00EC3336" w:rsidRPr="00445037" w:rsidRDefault="00EC3336"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3641DF3" w14:textId="11656C23"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 xml:space="preserve">priedas) nurodyta detalizuota lentelė privalo būti </w:t>
      </w:r>
      <w:r w:rsidR="00FA29F0">
        <w:rPr>
          <w:b/>
          <w:i/>
          <w:color w:val="FF0000"/>
          <w:sz w:val="22"/>
          <w:szCs w:val="22"/>
        </w:rPr>
        <w:t xml:space="preserve">užpildyta ir </w:t>
      </w:r>
      <w:r w:rsidRPr="006E3DFF">
        <w:rPr>
          <w:b/>
          <w:i/>
          <w:color w:val="FF0000"/>
          <w:sz w:val="22"/>
          <w:szCs w:val="22"/>
        </w:rPr>
        <w:t>pateikta kartu su pasiūlymu.</w:t>
      </w:r>
    </w:p>
    <w:bookmarkEnd w:id="7"/>
    <w:p w14:paraId="05558450" w14:textId="67E116B4" w:rsidR="00AE5856" w:rsidRPr="0045180C" w:rsidRDefault="00AE5856" w:rsidP="00AE5856">
      <w:pPr>
        <w:jc w:val="center"/>
        <w:rPr>
          <w:b/>
          <w:sz w:val="22"/>
          <w:szCs w:val="22"/>
          <w:highlight w:val="yellow"/>
        </w:rPr>
      </w:pPr>
    </w:p>
    <w:p w14:paraId="6A1418AF" w14:textId="0307D867" w:rsidR="00AD0963"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bCs/>
          <w:sz w:val="22"/>
          <w:szCs w:val="22"/>
        </w:rPr>
        <w:t xml:space="preserve">3.2. </w:t>
      </w:r>
      <w:r w:rsidR="00BF05DB" w:rsidRPr="0045180C">
        <w:rPr>
          <w:sz w:val="22"/>
          <w:szCs w:val="22"/>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880E4C" w:rsidRPr="0045180C">
        <w:rPr>
          <w:sz w:val="22"/>
          <w:szCs w:val="22"/>
        </w:rPr>
        <w:t xml:space="preserve">. </w:t>
      </w:r>
    </w:p>
    <w:p w14:paraId="7DB956D6" w14:textId="77777777" w:rsidR="00855093" w:rsidRDefault="00855093" w:rsidP="00880E4C">
      <w:pPr>
        <w:pStyle w:val="NormalWeb"/>
        <w:tabs>
          <w:tab w:val="left" w:pos="270"/>
        </w:tabs>
        <w:suppressAutoHyphens w:val="0"/>
        <w:autoSpaceDE w:val="0"/>
        <w:autoSpaceDN w:val="0"/>
        <w:spacing w:before="0" w:after="40"/>
        <w:ind w:right="141"/>
        <w:jc w:val="both"/>
        <w:textAlignment w:val="baseline"/>
        <w:rPr>
          <w:sz w:val="22"/>
          <w:szCs w:val="22"/>
        </w:rPr>
      </w:pPr>
    </w:p>
    <w:p w14:paraId="6695F31B" w14:textId="62AA1FB9" w:rsidR="00852ECE"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lastRenderedPageBreak/>
        <w:t xml:space="preserve">3.3. </w:t>
      </w:r>
      <w:r w:rsidR="00855093" w:rsidRPr="0028595F">
        <w:rPr>
          <w:color w:val="000000" w:themeColor="text1"/>
          <w:sz w:val="22"/>
          <w:szCs w:val="22"/>
        </w:rPr>
        <w:t>Teikdami šį pasiūlymą mes patvirtiname, kad mūsų siūlomos prekės atitinka techninius reikalavimus</w:t>
      </w:r>
      <w:r w:rsidR="00855093">
        <w:rPr>
          <w:color w:val="000000" w:themeColor="text1"/>
          <w:sz w:val="22"/>
          <w:szCs w:val="22"/>
        </w:rPr>
        <w:t>,</w:t>
      </w:r>
      <w:r w:rsidR="00855093" w:rsidRPr="0028595F">
        <w:rPr>
          <w:color w:val="000000" w:themeColor="text1"/>
          <w:sz w:val="22"/>
          <w:szCs w:val="22"/>
        </w:rPr>
        <w:t xml:space="preserve"> nurodytus </w:t>
      </w:r>
      <w:r w:rsidR="00855093">
        <w:rPr>
          <w:color w:val="000000" w:themeColor="text1"/>
          <w:sz w:val="22"/>
          <w:szCs w:val="22"/>
        </w:rPr>
        <w:t xml:space="preserve">specialiųjų </w:t>
      </w:r>
      <w:r w:rsidR="00855093" w:rsidRPr="0028595F">
        <w:rPr>
          <w:color w:val="000000" w:themeColor="text1"/>
          <w:sz w:val="22"/>
          <w:szCs w:val="22"/>
        </w:rPr>
        <w:t>pirkimo sąlygų 2 priede „Techninė specifikacija“ ir prekėms galios pasiūlyta kaina</w:t>
      </w:r>
      <w:r w:rsidR="00855093">
        <w:rPr>
          <w:color w:val="000000" w:themeColor="text1"/>
          <w:sz w:val="22"/>
          <w:szCs w:val="22"/>
        </w:rPr>
        <w:t>.</w:t>
      </w:r>
    </w:p>
    <w:p w14:paraId="5936EA64" w14:textId="5E60A2AB" w:rsidR="004F672F"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color w:val="000000" w:themeColor="text1"/>
          <w:sz w:val="22"/>
          <w:szCs w:val="22"/>
        </w:rPr>
        <w:t xml:space="preserve">3.4. </w:t>
      </w:r>
      <w:r w:rsidR="004F672F" w:rsidRPr="0028595F">
        <w:rPr>
          <w:color w:val="000000" w:themeColor="text1"/>
          <w:sz w:val="22"/>
          <w:szCs w:val="22"/>
        </w:rPr>
        <w:t xml:space="preserve">Teikdami šį pasiūlymą mes patvirtiname, kad mūsų siūlomos prekės </w:t>
      </w:r>
      <w:r w:rsidR="004F672F">
        <w:rPr>
          <w:color w:val="000000" w:themeColor="text1"/>
          <w:sz w:val="22"/>
          <w:szCs w:val="22"/>
        </w:rPr>
        <w:t xml:space="preserve">yra ilgaamžės, o jos sudedamosios dalys </w:t>
      </w:r>
      <w:r w:rsidR="004F672F" w:rsidRPr="00FD1314">
        <w:rPr>
          <w:color w:val="000000" w:themeColor="text1"/>
          <w:sz w:val="22"/>
          <w:szCs w:val="22"/>
        </w:rPr>
        <w:t xml:space="preserve">lengvai pataisomos ar pakeičiamos ir užtikriname, </w:t>
      </w:r>
      <w:r w:rsidR="004F672F" w:rsidRPr="00FD1314">
        <w:rPr>
          <w:bCs/>
          <w:iCs/>
          <w:sz w:val="22"/>
          <w:szCs w:val="22"/>
        </w:rPr>
        <w:t>kad per garantinį įrangos naudojimo laikotarpį ir bent 5 metus po garantinio laikotarpio bus galima įsigyti originalių arba joms lygiaverčių atsarginių dalių</w:t>
      </w:r>
      <w:r w:rsidR="004F672F">
        <w:rPr>
          <w:bCs/>
          <w:iCs/>
          <w:sz w:val="22"/>
          <w:szCs w:val="22"/>
        </w:rPr>
        <w:t>.</w:t>
      </w:r>
    </w:p>
    <w:p w14:paraId="3CEE7DDF" w14:textId="04976484" w:rsidR="00880E4C" w:rsidRDefault="00CE2C30" w:rsidP="00880E4C">
      <w:pPr>
        <w:pStyle w:val="NormalWeb"/>
        <w:tabs>
          <w:tab w:val="left" w:pos="270"/>
        </w:tabs>
        <w:suppressAutoHyphens w:val="0"/>
        <w:autoSpaceDE w:val="0"/>
        <w:autoSpaceDN w:val="0"/>
        <w:spacing w:before="0" w:after="40"/>
        <w:ind w:right="141"/>
        <w:jc w:val="both"/>
        <w:textAlignment w:val="baseline"/>
        <w:rPr>
          <w:sz w:val="22"/>
          <w:szCs w:val="22"/>
        </w:rPr>
      </w:pPr>
      <w:r>
        <w:rPr>
          <w:sz w:val="22"/>
          <w:szCs w:val="22"/>
        </w:rPr>
        <w:t>3</w:t>
      </w:r>
      <w:r w:rsidR="00880E4C" w:rsidRPr="00E0262E">
        <w:rPr>
          <w:sz w:val="22"/>
          <w:szCs w:val="22"/>
        </w:rPr>
        <w:t>.</w:t>
      </w:r>
      <w:r>
        <w:rPr>
          <w:sz w:val="22"/>
          <w:szCs w:val="22"/>
        </w:rPr>
        <w:t>5</w:t>
      </w:r>
      <w:r w:rsidR="00880E4C" w:rsidRPr="00E0262E">
        <w:rPr>
          <w:sz w:val="22"/>
          <w:szCs w:val="22"/>
        </w:rPr>
        <w:t>. P</w:t>
      </w:r>
      <w:r w:rsidR="003C70AF" w:rsidRPr="00E0262E">
        <w:rPr>
          <w:sz w:val="22"/>
          <w:szCs w:val="22"/>
        </w:rPr>
        <w:t>erkančioji organizacija</w:t>
      </w:r>
      <w:r w:rsidR="00880E4C" w:rsidRPr="00E0262E">
        <w:rPr>
          <w:sz w:val="22"/>
          <w:szCs w:val="22"/>
        </w:rPr>
        <w:t xml:space="preserve"> siekia mažinti poveikį aplinkai, įsigydama p</w:t>
      </w:r>
      <w:r w:rsidR="00600CBF" w:rsidRPr="00E0262E">
        <w:rPr>
          <w:sz w:val="22"/>
          <w:szCs w:val="22"/>
        </w:rPr>
        <w:t>rekes</w:t>
      </w:r>
      <w:r w:rsidR="00880E4C"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NormalWeb"/>
        <w:tabs>
          <w:tab w:val="left" w:pos="270"/>
        </w:tabs>
        <w:suppressAutoHyphens w:val="0"/>
        <w:autoSpaceDE w:val="0"/>
        <w:autoSpaceDN w:val="0"/>
        <w:spacing w:before="0" w:after="40"/>
        <w:ind w:right="141"/>
        <w:jc w:val="both"/>
        <w:textAlignment w:val="baseline"/>
        <w:rPr>
          <w:sz w:val="22"/>
          <w:szCs w:val="22"/>
        </w:rPr>
      </w:pPr>
    </w:p>
    <w:tbl>
      <w:tblPr>
        <w:tblStyle w:val="TableGrid"/>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r w:rsidR="000372F9" w:rsidRPr="00E0262E" w14:paraId="4C521AF4" w14:textId="77777777" w:rsidTr="00620E17">
        <w:tc>
          <w:tcPr>
            <w:tcW w:w="851" w:type="dxa"/>
            <w:tcBorders>
              <w:top w:val="single" w:sz="4" w:space="0" w:color="auto"/>
              <w:left w:val="single" w:sz="4" w:space="0" w:color="auto"/>
              <w:bottom w:val="single" w:sz="4" w:space="0" w:color="auto"/>
              <w:right w:val="single" w:sz="4" w:space="0" w:color="auto"/>
            </w:tcBorders>
          </w:tcPr>
          <w:p w14:paraId="1D130832" w14:textId="416BACDF" w:rsidR="000372F9" w:rsidRPr="00E0262E" w:rsidRDefault="000372F9" w:rsidP="00BB7F7E">
            <w:pPr>
              <w:tabs>
                <w:tab w:val="left" w:pos="709"/>
              </w:tabs>
              <w:jc w:val="both"/>
              <w:rPr>
                <w:sz w:val="22"/>
                <w:szCs w:val="22"/>
              </w:rPr>
            </w:pPr>
            <w:r>
              <w:rPr>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7E2E2BC5" w14:textId="3756B322" w:rsidR="000372F9" w:rsidRPr="00E0262E" w:rsidRDefault="000543DE" w:rsidP="00BB7F7E">
            <w:pPr>
              <w:tabs>
                <w:tab w:val="left" w:pos="709"/>
              </w:tabs>
              <w:jc w:val="both"/>
              <w:rPr>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95839" w14:textId="77777777" w:rsidR="00B43406" w:rsidRDefault="00B43406" w:rsidP="00D5620E">
      <w:r>
        <w:separator/>
      </w:r>
    </w:p>
  </w:endnote>
  <w:endnote w:type="continuationSeparator" w:id="0">
    <w:p w14:paraId="358A334D" w14:textId="77777777" w:rsidR="00B43406" w:rsidRDefault="00B4340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324A" w14:textId="77777777" w:rsidR="00B43406" w:rsidRDefault="00B43406" w:rsidP="00D5620E">
      <w:r>
        <w:separator/>
      </w:r>
    </w:p>
  </w:footnote>
  <w:footnote w:type="continuationSeparator" w:id="0">
    <w:p w14:paraId="0B0B6D0D" w14:textId="77777777" w:rsidR="00B43406" w:rsidRDefault="00B4340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1A0E"/>
    <w:rsid w:val="00026304"/>
    <w:rsid w:val="000304FE"/>
    <w:rsid w:val="000372F9"/>
    <w:rsid w:val="00045EA9"/>
    <w:rsid w:val="0004710C"/>
    <w:rsid w:val="000503FA"/>
    <w:rsid w:val="000513B1"/>
    <w:rsid w:val="000543DE"/>
    <w:rsid w:val="00054BC2"/>
    <w:rsid w:val="00056711"/>
    <w:rsid w:val="0006230D"/>
    <w:rsid w:val="0007192C"/>
    <w:rsid w:val="000733FC"/>
    <w:rsid w:val="00073751"/>
    <w:rsid w:val="000829B1"/>
    <w:rsid w:val="00083575"/>
    <w:rsid w:val="00092958"/>
    <w:rsid w:val="000A677D"/>
    <w:rsid w:val="000A710E"/>
    <w:rsid w:val="000B0349"/>
    <w:rsid w:val="000B04F6"/>
    <w:rsid w:val="000B719A"/>
    <w:rsid w:val="000C0B9F"/>
    <w:rsid w:val="000C17DB"/>
    <w:rsid w:val="000C5A1B"/>
    <w:rsid w:val="000C5D56"/>
    <w:rsid w:val="000D2D10"/>
    <w:rsid w:val="000D4322"/>
    <w:rsid w:val="000D47AC"/>
    <w:rsid w:val="000F05DD"/>
    <w:rsid w:val="000F27E7"/>
    <w:rsid w:val="000F3105"/>
    <w:rsid w:val="000F62D9"/>
    <w:rsid w:val="00106E94"/>
    <w:rsid w:val="001076D7"/>
    <w:rsid w:val="0011513D"/>
    <w:rsid w:val="00120BFB"/>
    <w:rsid w:val="001235DA"/>
    <w:rsid w:val="00135206"/>
    <w:rsid w:val="00150660"/>
    <w:rsid w:val="001521AE"/>
    <w:rsid w:val="0015257C"/>
    <w:rsid w:val="0015417B"/>
    <w:rsid w:val="00161389"/>
    <w:rsid w:val="00165F14"/>
    <w:rsid w:val="001718EF"/>
    <w:rsid w:val="0017240D"/>
    <w:rsid w:val="00173052"/>
    <w:rsid w:val="00175A3D"/>
    <w:rsid w:val="0018414D"/>
    <w:rsid w:val="0018752B"/>
    <w:rsid w:val="001A5383"/>
    <w:rsid w:val="001A6950"/>
    <w:rsid w:val="001C0700"/>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A1C07"/>
    <w:rsid w:val="002B1EAE"/>
    <w:rsid w:val="002B3286"/>
    <w:rsid w:val="002E2050"/>
    <w:rsid w:val="00304DE1"/>
    <w:rsid w:val="00307F92"/>
    <w:rsid w:val="003108BB"/>
    <w:rsid w:val="00313A9A"/>
    <w:rsid w:val="00324B2F"/>
    <w:rsid w:val="0033134D"/>
    <w:rsid w:val="0033201D"/>
    <w:rsid w:val="003340D1"/>
    <w:rsid w:val="00341823"/>
    <w:rsid w:val="00356B9C"/>
    <w:rsid w:val="00357B91"/>
    <w:rsid w:val="003602A4"/>
    <w:rsid w:val="0036271A"/>
    <w:rsid w:val="003642C1"/>
    <w:rsid w:val="00381195"/>
    <w:rsid w:val="003B5537"/>
    <w:rsid w:val="003C70AF"/>
    <w:rsid w:val="003E0ACE"/>
    <w:rsid w:val="003E5559"/>
    <w:rsid w:val="003E5B7D"/>
    <w:rsid w:val="003E5E4F"/>
    <w:rsid w:val="003E64DB"/>
    <w:rsid w:val="003F1605"/>
    <w:rsid w:val="003F53BC"/>
    <w:rsid w:val="00400D73"/>
    <w:rsid w:val="00401E29"/>
    <w:rsid w:val="00411234"/>
    <w:rsid w:val="00431EC0"/>
    <w:rsid w:val="00432395"/>
    <w:rsid w:val="00433B18"/>
    <w:rsid w:val="00436C09"/>
    <w:rsid w:val="004403FA"/>
    <w:rsid w:val="004409C8"/>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5331"/>
    <w:rsid w:val="004D2A66"/>
    <w:rsid w:val="004E6D36"/>
    <w:rsid w:val="004F672F"/>
    <w:rsid w:val="00507D8B"/>
    <w:rsid w:val="005237AF"/>
    <w:rsid w:val="005257E7"/>
    <w:rsid w:val="0052590A"/>
    <w:rsid w:val="00526922"/>
    <w:rsid w:val="005301D7"/>
    <w:rsid w:val="00534144"/>
    <w:rsid w:val="00535A6A"/>
    <w:rsid w:val="005401C9"/>
    <w:rsid w:val="00565D0B"/>
    <w:rsid w:val="00567FFD"/>
    <w:rsid w:val="005808EF"/>
    <w:rsid w:val="005831FF"/>
    <w:rsid w:val="00593DA8"/>
    <w:rsid w:val="00593E2E"/>
    <w:rsid w:val="005B0CE0"/>
    <w:rsid w:val="005B25F7"/>
    <w:rsid w:val="005B523E"/>
    <w:rsid w:val="005C3B4D"/>
    <w:rsid w:val="005D33CB"/>
    <w:rsid w:val="005E55D2"/>
    <w:rsid w:val="005F09C4"/>
    <w:rsid w:val="005F1230"/>
    <w:rsid w:val="005F6440"/>
    <w:rsid w:val="00600CBF"/>
    <w:rsid w:val="00610BC1"/>
    <w:rsid w:val="00624F5D"/>
    <w:rsid w:val="00626AC2"/>
    <w:rsid w:val="0064305E"/>
    <w:rsid w:val="00656C02"/>
    <w:rsid w:val="0067489B"/>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3D58"/>
    <w:rsid w:val="00735E5B"/>
    <w:rsid w:val="00744CC5"/>
    <w:rsid w:val="00750538"/>
    <w:rsid w:val="007916C7"/>
    <w:rsid w:val="00794FE7"/>
    <w:rsid w:val="007A1C5D"/>
    <w:rsid w:val="007B0D5F"/>
    <w:rsid w:val="007B39E5"/>
    <w:rsid w:val="007B789B"/>
    <w:rsid w:val="007C36AF"/>
    <w:rsid w:val="007C4EB2"/>
    <w:rsid w:val="007D4D8B"/>
    <w:rsid w:val="007E2138"/>
    <w:rsid w:val="007F749E"/>
    <w:rsid w:val="008116AC"/>
    <w:rsid w:val="008149C2"/>
    <w:rsid w:val="00852360"/>
    <w:rsid w:val="00852ECE"/>
    <w:rsid w:val="00855093"/>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6402"/>
    <w:rsid w:val="0091059A"/>
    <w:rsid w:val="0092260B"/>
    <w:rsid w:val="00937EE6"/>
    <w:rsid w:val="00940552"/>
    <w:rsid w:val="00954DB7"/>
    <w:rsid w:val="00961BCA"/>
    <w:rsid w:val="00964B05"/>
    <w:rsid w:val="00966EEB"/>
    <w:rsid w:val="009709C1"/>
    <w:rsid w:val="009757CC"/>
    <w:rsid w:val="0098587F"/>
    <w:rsid w:val="00994681"/>
    <w:rsid w:val="009B0570"/>
    <w:rsid w:val="009C32E1"/>
    <w:rsid w:val="009C5195"/>
    <w:rsid w:val="009D4099"/>
    <w:rsid w:val="009F0390"/>
    <w:rsid w:val="00A01C13"/>
    <w:rsid w:val="00A04C83"/>
    <w:rsid w:val="00A0774D"/>
    <w:rsid w:val="00A153B5"/>
    <w:rsid w:val="00A30954"/>
    <w:rsid w:val="00A362ED"/>
    <w:rsid w:val="00A36785"/>
    <w:rsid w:val="00A44469"/>
    <w:rsid w:val="00A462F3"/>
    <w:rsid w:val="00A47650"/>
    <w:rsid w:val="00A511E1"/>
    <w:rsid w:val="00A5495D"/>
    <w:rsid w:val="00A55776"/>
    <w:rsid w:val="00A568E3"/>
    <w:rsid w:val="00A707EB"/>
    <w:rsid w:val="00A7397D"/>
    <w:rsid w:val="00A74FF1"/>
    <w:rsid w:val="00A80AD4"/>
    <w:rsid w:val="00A83168"/>
    <w:rsid w:val="00A8575A"/>
    <w:rsid w:val="00A9671B"/>
    <w:rsid w:val="00AA173E"/>
    <w:rsid w:val="00AA623E"/>
    <w:rsid w:val="00AA6B9A"/>
    <w:rsid w:val="00AD0393"/>
    <w:rsid w:val="00AD0963"/>
    <w:rsid w:val="00AE1B28"/>
    <w:rsid w:val="00AE5383"/>
    <w:rsid w:val="00AE5856"/>
    <w:rsid w:val="00AE78A0"/>
    <w:rsid w:val="00AE792C"/>
    <w:rsid w:val="00AF1216"/>
    <w:rsid w:val="00AF2FDD"/>
    <w:rsid w:val="00AF3676"/>
    <w:rsid w:val="00AF7734"/>
    <w:rsid w:val="00AF7C72"/>
    <w:rsid w:val="00B00F16"/>
    <w:rsid w:val="00B01358"/>
    <w:rsid w:val="00B02A01"/>
    <w:rsid w:val="00B11CA8"/>
    <w:rsid w:val="00B256F9"/>
    <w:rsid w:val="00B3242F"/>
    <w:rsid w:val="00B34380"/>
    <w:rsid w:val="00B43406"/>
    <w:rsid w:val="00B43797"/>
    <w:rsid w:val="00B47825"/>
    <w:rsid w:val="00B51535"/>
    <w:rsid w:val="00B53CBE"/>
    <w:rsid w:val="00B561D1"/>
    <w:rsid w:val="00B63F74"/>
    <w:rsid w:val="00B739CC"/>
    <w:rsid w:val="00B74F37"/>
    <w:rsid w:val="00B809CE"/>
    <w:rsid w:val="00B942C6"/>
    <w:rsid w:val="00BB663A"/>
    <w:rsid w:val="00BC3482"/>
    <w:rsid w:val="00BC6C2E"/>
    <w:rsid w:val="00BD1AB2"/>
    <w:rsid w:val="00BD1EB4"/>
    <w:rsid w:val="00BD6C0B"/>
    <w:rsid w:val="00BE096C"/>
    <w:rsid w:val="00BF05DB"/>
    <w:rsid w:val="00BF350D"/>
    <w:rsid w:val="00BF3C9D"/>
    <w:rsid w:val="00C00876"/>
    <w:rsid w:val="00C03750"/>
    <w:rsid w:val="00C11DD1"/>
    <w:rsid w:val="00C16D7E"/>
    <w:rsid w:val="00C22084"/>
    <w:rsid w:val="00C24098"/>
    <w:rsid w:val="00C24BA9"/>
    <w:rsid w:val="00C25E59"/>
    <w:rsid w:val="00C27C08"/>
    <w:rsid w:val="00C3243D"/>
    <w:rsid w:val="00C505C8"/>
    <w:rsid w:val="00C51533"/>
    <w:rsid w:val="00C55AAB"/>
    <w:rsid w:val="00C636E9"/>
    <w:rsid w:val="00C8049A"/>
    <w:rsid w:val="00C903A6"/>
    <w:rsid w:val="00C92F6D"/>
    <w:rsid w:val="00CA555F"/>
    <w:rsid w:val="00CB2C08"/>
    <w:rsid w:val="00CB73C5"/>
    <w:rsid w:val="00CC42F3"/>
    <w:rsid w:val="00CC4689"/>
    <w:rsid w:val="00CD582E"/>
    <w:rsid w:val="00CE2C30"/>
    <w:rsid w:val="00CE4142"/>
    <w:rsid w:val="00CF0EED"/>
    <w:rsid w:val="00CF2275"/>
    <w:rsid w:val="00D13A01"/>
    <w:rsid w:val="00D14688"/>
    <w:rsid w:val="00D2594D"/>
    <w:rsid w:val="00D27B02"/>
    <w:rsid w:val="00D27B42"/>
    <w:rsid w:val="00D375BA"/>
    <w:rsid w:val="00D376D7"/>
    <w:rsid w:val="00D5620E"/>
    <w:rsid w:val="00D63D50"/>
    <w:rsid w:val="00D64DEE"/>
    <w:rsid w:val="00D6510E"/>
    <w:rsid w:val="00D658A3"/>
    <w:rsid w:val="00D769B3"/>
    <w:rsid w:val="00D80603"/>
    <w:rsid w:val="00D80FA2"/>
    <w:rsid w:val="00D94993"/>
    <w:rsid w:val="00D95FFF"/>
    <w:rsid w:val="00DA138A"/>
    <w:rsid w:val="00DA43E0"/>
    <w:rsid w:val="00DA65B4"/>
    <w:rsid w:val="00DA6F5C"/>
    <w:rsid w:val="00DA7477"/>
    <w:rsid w:val="00DC6944"/>
    <w:rsid w:val="00DD0D3F"/>
    <w:rsid w:val="00DD1DF6"/>
    <w:rsid w:val="00DD4829"/>
    <w:rsid w:val="00DE6A01"/>
    <w:rsid w:val="00DF34FF"/>
    <w:rsid w:val="00DF647C"/>
    <w:rsid w:val="00E0262E"/>
    <w:rsid w:val="00E036F2"/>
    <w:rsid w:val="00E110CC"/>
    <w:rsid w:val="00E11961"/>
    <w:rsid w:val="00E11C33"/>
    <w:rsid w:val="00E24D44"/>
    <w:rsid w:val="00E2662B"/>
    <w:rsid w:val="00E315D0"/>
    <w:rsid w:val="00E32E4E"/>
    <w:rsid w:val="00E41A99"/>
    <w:rsid w:val="00E43B3E"/>
    <w:rsid w:val="00E507D6"/>
    <w:rsid w:val="00E6380C"/>
    <w:rsid w:val="00E65B9E"/>
    <w:rsid w:val="00E67E35"/>
    <w:rsid w:val="00E75179"/>
    <w:rsid w:val="00E76E44"/>
    <w:rsid w:val="00E77A50"/>
    <w:rsid w:val="00E819D4"/>
    <w:rsid w:val="00E821C2"/>
    <w:rsid w:val="00E85179"/>
    <w:rsid w:val="00E933ED"/>
    <w:rsid w:val="00E947D8"/>
    <w:rsid w:val="00E95531"/>
    <w:rsid w:val="00EB4DB8"/>
    <w:rsid w:val="00EB603D"/>
    <w:rsid w:val="00EC3336"/>
    <w:rsid w:val="00ED1D0A"/>
    <w:rsid w:val="00ED7FA9"/>
    <w:rsid w:val="00EF1E19"/>
    <w:rsid w:val="00EF722D"/>
    <w:rsid w:val="00F03E4A"/>
    <w:rsid w:val="00F049B6"/>
    <w:rsid w:val="00F15930"/>
    <w:rsid w:val="00F24EB3"/>
    <w:rsid w:val="00F43C3D"/>
    <w:rsid w:val="00F50F80"/>
    <w:rsid w:val="00F569B7"/>
    <w:rsid w:val="00F579D2"/>
    <w:rsid w:val="00F72AE8"/>
    <w:rsid w:val="00F747D4"/>
    <w:rsid w:val="00F762BB"/>
    <w:rsid w:val="00F82928"/>
    <w:rsid w:val="00F86890"/>
    <w:rsid w:val="00F872A9"/>
    <w:rsid w:val="00F9777D"/>
    <w:rsid w:val="00FA29F0"/>
    <w:rsid w:val="00FA5B0F"/>
    <w:rsid w:val="00FB18F4"/>
    <w:rsid w:val="00FB784B"/>
    <w:rsid w:val="00FD41FC"/>
    <w:rsid w:val="00FD5DEF"/>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8BD176-A995-4F1C-BD1E-3C27DBB9A40C}">
  <ds:schemaRefs>
    <ds:schemaRef ds:uri="http://schemas.openxmlformats.org/officeDocument/2006/bibliography"/>
  </ds:schemaRefs>
</ds:datastoreItem>
</file>

<file path=customXml/itemProps3.xml><?xml version="1.0" encoding="utf-8"?>
<ds:datastoreItem xmlns:ds="http://schemas.openxmlformats.org/officeDocument/2006/customXml" ds:itemID="{044DD4D7-C111-4070-99DC-323023658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76D3-5534-4155-B5AD-BEA8EC54A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1244</Words>
  <Characters>7093</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Almina Zinevičienė</cp:lastModifiedBy>
  <cp:revision>4</cp:revision>
  <cp:lastPrinted>2024-01-05T13:07:00Z</cp:lastPrinted>
  <dcterms:created xsi:type="dcterms:W3CDTF">2025-02-10T08:17:00Z</dcterms:created>
  <dcterms:modified xsi:type="dcterms:W3CDTF">2025-02-10T08:31:00Z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