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963E" w14:textId="208ECF80"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03178A">
        <w:rPr>
          <w:b/>
          <w:color w:val="000000" w:themeColor="text1"/>
          <w:spacing w:val="-3"/>
          <w:szCs w:val="24"/>
        </w:rPr>
        <w:t>6</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5B7227C0" w:rsidR="008E4387" w:rsidRDefault="00F94DEC" w:rsidP="00740C27">
      <w:pPr>
        <w:jc w:val="center"/>
        <w:rPr>
          <w:szCs w:val="24"/>
        </w:rPr>
      </w:pPr>
      <w:r>
        <w:rPr>
          <w:szCs w:val="24"/>
        </w:rPr>
        <w:t>202</w:t>
      </w:r>
      <w:r w:rsidR="000D6003">
        <w:rPr>
          <w:szCs w:val="24"/>
        </w:rPr>
        <w:t>5</w:t>
      </w:r>
      <w:r w:rsidR="008E4387">
        <w:rPr>
          <w:szCs w:val="24"/>
        </w:rPr>
        <w:t xml:space="preserve"> m</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35BA700" w14:textId="414C9C9C" w:rsidR="004C264C" w:rsidRPr="0081288B" w:rsidRDefault="008E4387" w:rsidP="006B57E3">
      <w:pPr>
        <w:overflowPunct w:val="0"/>
        <w:autoSpaceDE w:val="0"/>
        <w:jc w:val="both"/>
        <w:rPr>
          <w:b/>
          <w:bCs/>
          <w:szCs w:val="24"/>
          <w:lang w:eastAsia="en-US"/>
        </w:rPr>
      </w:pPr>
      <w:r>
        <w:rPr>
          <w:b/>
          <w:lang w:eastAsia="en-US"/>
        </w:rPr>
        <w:tab/>
      </w:r>
      <w:r w:rsidRPr="005326FD">
        <w:rPr>
          <w:b/>
          <w:lang w:eastAsia="en-US"/>
        </w:rPr>
        <w:t>1.1.</w:t>
      </w:r>
      <w:r w:rsidR="001D5F72" w:rsidRPr="0068439C">
        <w:rPr>
          <w:b/>
        </w:rPr>
        <w:t xml:space="preserve"> </w:t>
      </w:r>
      <w:r w:rsidR="004A11ED" w:rsidRPr="004A11ED">
        <w:rPr>
          <w:b/>
        </w:rPr>
        <w:t xml:space="preserve">Gydymo paskirties pastato (VšĮ Respublikinė Klaipėdos ligoninė), Šatrijos g. 3-1, Skuodas, patalpų paprastojo remonto aprašo parengimas </w:t>
      </w:r>
      <w:r w:rsidR="00637FEE" w:rsidRPr="0081288B">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4C264C" w:rsidRPr="0081288B">
        <w:rPr>
          <w:b/>
          <w:bCs/>
          <w:lang w:eastAsia="en-US"/>
        </w:rPr>
        <w:t xml:space="preserve"> </w:t>
      </w:r>
      <w:bookmarkStart w:id="0" w:name="_Hlk102574654"/>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681BD274" w14:textId="77777777" w:rsidR="00034EA4" w:rsidRPr="000B40EB" w:rsidRDefault="00034EA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2DC1AA29" w:rsidR="003628A0" w:rsidRPr="00B9599F"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B9599F" w:rsidRPr="00B13072">
        <w:rPr>
          <w:rFonts w:ascii="Times New Roman" w:hAnsi="Times New Roman" w:cs="Times New Roman"/>
          <w:b/>
          <w:bCs/>
          <w:lang w:eastAsia="en-US"/>
        </w:rPr>
        <w:t xml:space="preserve"> </w:t>
      </w:r>
      <w:r w:rsidR="00CF5E1A">
        <w:rPr>
          <w:rFonts w:ascii="Times New Roman" w:hAnsi="Times New Roman" w:cs="Times New Roman"/>
          <w:b/>
          <w:bCs/>
          <w:lang w:eastAsia="en-US"/>
        </w:rPr>
        <w:t xml:space="preserve">sutarties pasirašymo data, pabaiga – </w:t>
      </w:r>
      <w:r w:rsidR="00F77444">
        <w:rPr>
          <w:rFonts w:ascii="Times New Roman" w:hAnsi="Times New Roman" w:cs="Times New Roman"/>
          <w:b/>
          <w:bCs/>
          <w:lang w:eastAsia="en-US"/>
        </w:rPr>
        <w:t>4</w:t>
      </w:r>
      <w:r w:rsidR="00CF5E1A">
        <w:rPr>
          <w:rFonts w:ascii="Times New Roman" w:hAnsi="Times New Roman" w:cs="Times New Roman"/>
          <w:b/>
          <w:bCs/>
          <w:lang w:eastAsia="en-US"/>
        </w:rPr>
        <w:t xml:space="preserve"> </w:t>
      </w:r>
      <w:r w:rsidR="00B9599F" w:rsidRPr="00B9599F">
        <w:rPr>
          <w:rFonts w:ascii="Times New Roman" w:hAnsi="Times New Roman" w:cs="Times New Roman"/>
          <w:b/>
          <w:bCs/>
          <w:lang w:eastAsia="en-US"/>
        </w:rPr>
        <w:t xml:space="preserve">mėnesiai nuo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D52015">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1"/>
    <w:p w14:paraId="192CB690" w14:textId="04C6CEE3"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sąskaitą faktūrą ne vėliau kaip per 30 kalendorinių dienų</w:t>
      </w:r>
      <w:r w:rsidR="0022253D">
        <w:t>.</w:t>
      </w:r>
    </w:p>
    <w:p w14:paraId="043C14FA" w14:textId="21C7BCD4"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 xml:space="preserve">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D52015">
        <w:rPr>
          <w:szCs w:val="24"/>
          <w:lang w:eastAsia="en-US"/>
        </w:rPr>
        <w:t xml:space="preserve">Vykdytojo </w:t>
      </w:r>
      <w:r w:rsidR="00D465BD" w:rsidRPr="00D465BD">
        <w:rPr>
          <w:szCs w:val="24"/>
          <w:lang w:eastAsia="en-US"/>
        </w:rPr>
        <w:t>pasirinktomis priemonėmis. Europos elektroninių sąskaitų faktūrų standarto neatitinkančios elektroninės sąskaitos faktūros gali būti teikiamos tik naudojantis informacinės sistemos SABIS priemonėmis.</w:t>
      </w:r>
    </w:p>
    <w:p w14:paraId="2D049AD8" w14:textId="637EE064" w:rsidR="004E3685" w:rsidRDefault="004E3685" w:rsidP="004E3685">
      <w:pPr>
        <w:tabs>
          <w:tab w:val="left" w:pos="1260"/>
          <w:tab w:val="left" w:pos="1440"/>
        </w:tabs>
        <w:jc w:val="both"/>
        <w:rPr>
          <w:rFonts w:eastAsia="Batang"/>
          <w:szCs w:val="24"/>
        </w:rPr>
      </w:pPr>
      <w:r>
        <w:tab/>
      </w:r>
      <w:r>
        <w:rPr>
          <w:rFonts w:eastAsia="Batang"/>
          <w:szCs w:val="24"/>
        </w:rPr>
        <w:t xml:space="preserve">2.4. </w:t>
      </w:r>
      <w:r w:rsidR="004B1E8C">
        <w:rPr>
          <w:rFonts w:eastAsia="Batang"/>
          <w:szCs w:val="24"/>
        </w:rPr>
        <w:t xml:space="preserve">Paslaugos finansuojamos </w:t>
      </w:r>
      <w:r w:rsidRPr="00034EA4">
        <w:rPr>
          <w:rFonts w:eastAsia="Batang"/>
          <w:szCs w:val="24"/>
        </w:rPr>
        <w:t>pagal finansavimo sutartį, kuri sudaryta siekiant įgyvendinti pavienį projektą</w:t>
      </w:r>
      <w:r w:rsidR="005A1312">
        <w:rPr>
          <w:rFonts w:eastAsia="Batang"/>
          <w:szCs w:val="24"/>
        </w:rPr>
        <w:t xml:space="preserve">, </w:t>
      </w:r>
      <w:r w:rsidRPr="00034EA4">
        <w:rPr>
          <w:rFonts w:eastAsia="Batang"/>
          <w:szCs w:val="24"/>
        </w:rPr>
        <w:t>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p>
    <w:p w14:paraId="6FC9262D" w14:textId="24B51DF2"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7FCE1B2"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pagal </w:t>
      </w:r>
      <w:r w:rsidR="00072B09">
        <w:rPr>
          <w:szCs w:val="24"/>
        </w:rPr>
        <w:t xml:space="preserve">Projektavimo </w:t>
      </w:r>
      <w:r w:rsidR="00E55D14">
        <w:rPr>
          <w:szCs w:val="24"/>
        </w:rPr>
        <w:t xml:space="preserve">techninę </w:t>
      </w:r>
      <w:r w:rsidR="00072B09">
        <w:rPr>
          <w:szCs w:val="24"/>
        </w:rPr>
        <w:t xml:space="preserve">užduotį </w:t>
      </w:r>
      <w:r w:rsidR="00890F71">
        <w:rPr>
          <w:szCs w:val="24"/>
        </w:rPr>
        <w:t>(Sutarties</w:t>
      </w:r>
      <w:r w:rsidR="000E5DA5">
        <w:rPr>
          <w:szCs w:val="24"/>
        </w:rPr>
        <w:t xml:space="preserve"> </w:t>
      </w:r>
      <w:r w:rsidR="008A7FEB">
        <w:rPr>
          <w:szCs w:val="24"/>
        </w:rPr>
        <w:t xml:space="preserve">1 </w:t>
      </w:r>
      <w:r w:rsidR="00890F71">
        <w:rPr>
          <w:szCs w:val="24"/>
        </w:rPr>
        <w:t>priedas)</w:t>
      </w:r>
      <w:r w:rsidR="00DE4E2E">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lastRenderedPageBreak/>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7FF5B271"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 xml:space="preserve">kvalifikacija dėl teisės verstis atitinkama veikla nebuvo tikrinama arba tikrinama ne visa apimtimi, </w:t>
      </w:r>
      <w:r w:rsidR="00E65BA3">
        <w:rPr>
          <w:szCs w:val="24"/>
        </w:rPr>
        <w:t xml:space="preserve">Vykdytojas </w:t>
      </w:r>
      <w:r w:rsidR="003C0419" w:rsidRPr="003C0419">
        <w:rPr>
          <w:szCs w:val="24"/>
        </w:rPr>
        <w:t>įsipareigoja, kad pirkimo sutartį vykdys tik tokią teisę turintys asmenys.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proofErr w:type="spellStart"/>
      <w:r w:rsidR="00BD0687">
        <w:rPr>
          <w:color w:val="000000"/>
          <w:szCs w:val="24"/>
        </w:rPr>
        <w:t>kvazisubtiekėjus</w:t>
      </w:r>
      <w:proofErr w:type="spellEnd"/>
      <w:r w:rsidR="00BD0687">
        <w:rPr>
          <w:color w:val="000000"/>
          <w:szCs w:val="24"/>
        </w:rPr>
        <w:t>),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 xml:space="preserve">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w:t>
      </w:r>
      <w:r w:rsidR="00EF5CE5">
        <w:rPr>
          <w:szCs w:val="24"/>
          <w:lang w:eastAsia="en-US"/>
        </w:rPr>
        <w:lastRenderedPageBreak/>
        <w:t>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6B1835B3" w14:textId="77777777" w:rsidR="004F4499" w:rsidRDefault="004F4499" w:rsidP="008E4387">
      <w:pPr>
        <w:tabs>
          <w:tab w:val="left" w:pos="1259"/>
        </w:tabs>
        <w:jc w:val="both"/>
        <w:rPr>
          <w:rFonts w:cs="Arial"/>
          <w:color w:val="000000"/>
        </w:rPr>
      </w:pPr>
    </w:p>
    <w:p w14:paraId="74F19ABB" w14:textId="1F7AC969" w:rsidR="004F4499" w:rsidRDefault="004F4499" w:rsidP="004F4499">
      <w:pPr>
        <w:tabs>
          <w:tab w:val="left" w:pos="1259"/>
        </w:tabs>
        <w:jc w:val="center"/>
        <w:rPr>
          <w:rFonts w:cs="Arial"/>
          <w:b/>
          <w:bCs/>
          <w:color w:val="000000"/>
        </w:rPr>
      </w:pPr>
      <w:r w:rsidRPr="004F4499">
        <w:rPr>
          <w:rFonts w:cs="Arial"/>
          <w:b/>
          <w:bCs/>
          <w:color w:val="000000"/>
        </w:rPr>
        <w:t>VIII. SUTARTIES KEITIMAS</w:t>
      </w:r>
    </w:p>
    <w:p w14:paraId="066B93A3" w14:textId="77777777" w:rsidR="004F4499" w:rsidRPr="004F4499" w:rsidRDefault="004F4499" w:rsidP="004F4499">
      <w:pPr>
        <w:tabs>
          <w:tab w:val="left" w:pos="1259"/>
        </w:tabs>
        <w:jc w:val="center"/>
        <w:rPr>
          <w:rFonts w:cs="Arial"/>
          <w:b/>
          <w:bCs/>
          <w:color w:val="000000"/>
        </w:rPr>
      </w:pPr>
    </w:p>
    <w:p w14:paraId="73C9DE48" w14:textId="6080CF88"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1. Sutarties sąlygos Sutarties galiojimo laikotarpiu negali būti keičiamos, išskyrus tokias Sutarties sąlygas, kurių keitimas numatytas Sutartyje ir (ar) galimas vadovaujantis VPĮ nuostatomis.</w:t>
      </w:r>
    </w:p>
    <w:p w14:paraId="22617528" w14:textId="38F65DFA"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2. Sutarties pakeitimai įforminami Šalims sudarant Susitarimą.</w:t>
      </w:r>
    </w:p>
    <w:p w14:paraId="0FD842E5" w14:textId="6F8586AE"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4028650" w14:textId="632CADF2" w:rsidR="0070484E" w:rsidRDefault="004F4499" w:rsidP="004F4499">
      <w:pPr>
        <w:tabs>
          <w:tab w:val="left" w:pos="1259"/>
        </w:tabs>
        <w:jc w:val="both"/>
        <w:rPr>
          <w:rFonts w:cs="Arial"/>
          <w:color w:val="000000"/>
        </w:rPr>
      </w:pPr>
      <w:r>
        <w:rPr>
          <w:rFonts w:cs="Arial"/>
          <w:color w:val="000000"/>
        </w:rPr>
        <w:tab/>
        <w:t>8.</w:t>
      </w:r>
      <w:r w:rsidRPr="004F4499">
        <w:rPr>
          <w:rFonts w:cs="Arial"/>
          <w:color w:val="000000"/>
        </w:rPr>
        <w:t>4. Susitarimas įsigalioja nuo jo sudarymo, jei Susitarime nenurodyta kitaip. Susitarimą Pirkėjas privalo paviešinti VPĮ 86 str. nustatyta tvarka.</w:t>
      </w:r>
    </w:p>
    <w:p w14:paraId="5E4A77E9" w14:textId="77777777" w:rsidR="004F4499" w:rsidRDefault="004F4499" w:rsidP="004F4499">
      <w:pPr>
        <w:tabs>
          <w:tab w:val="left" w:pos="1259"/>
        </w:tabs>
        <w:jc w:val="both"/>
        <w:rPr>
          <w:rFonts w:cs="Arial"/>
          <w:color w:val="000000"/>
        </w:rPr>
      </w:pPr>
    </w:p>
    <w:p w14:paraId="3D95FBBF" w14:textId="0B4B4E5B" w:rsidR="0070484E" w:rsidRPr="00676DE4" w:rsidRDefault="004F4499" w:rsidP="0070484E">
      <w:pPr>
        <w:tabs>
          <w:tab w:val="left" w:pos="1259"/>
        </w:tabs>
        <w:jc w:val="center"/>
        <w:rPr>
          <w:rFonts w:cs="Arial"/>
          <w:b/>
          <w:bCs/>
          <w:color w:val="000000"/>
        </w:rPr>
      </w:pPr>
      <w:r>
        <w:rPr>
          <w:rFonts w:cs="Arial"/>
          <w:b/>
          <w:bCs/>
          <w:color w:val="000000"/>
        </w:rPr>
        <w:t>IX</w:t>
      </w:r>
      <w:r w:rsidR="0070484E" w:rsidRPr="00676DE4">
        <w:rPr>
          <w:rFonts w:cs="Arial"/>
          <w:b/>
          <w:bCs/>
          <w:color w:val="000000"/>
        </w:rPr>
        <w:t>.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0671A6D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.1. Sutartis įsigalioja ją pasirašius abiem Šalims ir galioja iki visiško Sutarties Šalių sutartinių įsipareigojimų įvykdymo arba Sutarties nutraukimo Sutartyje ar įstatymuose nustatytais atvejais. </w:t>
      </w:r>
    </w:p>
    <w:p w14:paraId="25679634" w14:textId="69C30930"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.2. Jei kuri nors Sutarties nuostata tampa ar pripažįstama visiškai ar iš dalies negaliojančia, tai neturi įtakos kitų Sutarties nuostatų galiojimui.</w:t>
      </w:r>
    </w:p>
    <w:p w14:paraId="11FA2009" w14:textId="2B46D444"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r>
      <w:r w:rsidR="004F4499">
        <w:rPr>
          <w:rFonts w:cs="Arial"/>
          <w:color w:val="000000"/>
        </w:rPr>
        <w:t>9</w:t>
      </w:r>
      <w:r w:rsidRPr="0070484E">
        <w:rPr>
          <w:rFonts w:cs="Arial"/>
          <w:color w:val="000000"/>
        </w:rPr>
        <w:t>.3. Sutarties vykdymas gali būti stabdomas ir/arba Paslaugų teikimo terminas nukeliamas esant bent vienai iš šių aplinkybių, ne ilgesniam laikotarpiui, nei nurodytos aplinkybės tęsiasi:</w:t>
      </w:r>
    </w:p>
    <w:p w14:paraId="43ABB643" w14:textId="4D67CFD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13D7D7E"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.3.2. esant bet kokiam uždelsimui, kliūtims ar trukdymams, atsiradusiems dėl Užsakovo kaltės;</w:t>
      </w:r>
    </w:p>
    <w:p w14:paraId="0897B9F5" w14:textId="405BC5FC"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.3.3. esant bet kokiam uždelsimui, kliūtims ar trukdymams, atsiradusiems dėl trečiųjų šalių kaltės;</w:t>
      </w:r>
    </w:p>
    <w:p w14:paraId="3FC59D15" w14:textId="42F8016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.3.4. esant nenumatytoms aplinkybėms, jei tokių aplinkybių kiekviena Pirkimo sutarties šalis, būdama protinga ir apdairi, negalėjo iš anksto numatyti.</w:t>
      </w:r>
    </w:p>
    <w:p w14:paraId="1B28077F" w14:textId="7D4265A6"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.4. Atsiradus Sutarties stabdymo aplinkybėms ir Užsakovui (ne)pripažinus Vykdytojo nurodytų aplinkybių (jei prašymą sustabdyti sutartyje numatytų Paslaugų tiekimą teikia Vykdytojas) </w:t>
      </w:r>
      <w:r w:rsidRPr="0070484E">
        <w:rPr>
          <w:rFonts w:cs="Arial"/>
          <w:color w:val="000000"/>
        </w:rPr>
        <w:lastRenderedPageBreak/>
        <w:t xml:space="preserve">pateisinamomis, Užsakovas apie priimtą sprendimą informuoja Vykdytoją raštu per 5 (penkias) darbo dienas nuo Vykdytojo prašymo sustabdyti Sutartyje numatytų Paslaugų teikimą gavimo. </w:t>
      </w:r>
    </w:p>
    <w:p w14:paraId="69B456F2" w14:textId="5187068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5613982B"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6</w:t>
      </w:r>
      <w:r w:rsidRPr="0070484E">
        <w:rPr>
          <w:rFonts w:cs="Arial"/>
          <w:color w:val="000000"/>
        </w:rPr>
        <w:t xml:space="preserve">.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5F25947B" w:rsidR="00162E94"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7</w:t>
      </w:r>
      <w:r w:rsidRPr="0070484E">
        <w:rPr>
          <w:rFonts w:cs="Arial"/>
          <w:color w:val="000000"/>
        </w:rPr>
        <w:t>.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3FBE154A" w:rsidR="008E4387" w:rsidRDefault="00E55D14" w:rsidP="00E024DA">
      <w:pPr>
        <w:tabs>
          <w:tab w:val="left" w:pos="1259"/>
        </w:tabs>
        <w:jc w:val="center"/>
        <w:rPr>
          <w:rFonts w:cs="Arial"/>
          <w:b/>
          <w:color w:val="000000"/>
        </w:rPr>
      </w:pPr>
      <w:r>
        <w:rPr>
          <w:rFonts w:cs="Arial"/>
          <w:b/>
          <w:color w:val="000000"/>
        </w:rPr>
        <w:t>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2AFED218" w:rsidR="008E4387" w:rsidRDefault="004F4499" w:rsidP="00BC181F">
      <w:pPr>
        <w:tabs>
          <w:tab w:val="left" w:pos="1304"/>
        </w:tabs>
        <w:ind w:firstLine="1247"/>
        <w:jc w:val="both"/>
        <w:rPr>
          <w:rFonts w:cs="Arial"/>
          <w:b/>
          <w:bCs/>
          <w:color w:val="000000"/>
        </w:rPr>
      </w:pPr>
      <w:r>
        <w:rPr>
          <w:rFonts w:cs="Arial"/>
          <w:color w:val="000000"/>
        </w:rPr>
        <w:t>10</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04193CF" w:rsidR="000D6D9F" w:rsidRPr="00BC181F" w:rsidRDefault="004F4499" w:rsidP="00BC181F">
      <w:pPr>
        <w:tabs>
          <w:tab w:val="left" w:pos="1304"/>
        </w:tabs>
        <w:ind w:firstLine="1247"/>
        <w:jc w:val="both"/>
        <w:rPr>
          <w:color w:val="000000"/>
          <w:szCs w:val="24"/>
          <w:lang w:eastAsia="lt-LT"/>
        </w:rPr>
      </w:pPr>
      <w:r>
        <w:rPr>
          <w:rFonts w:cs="Arial"/>
          <w:b/>
          <w:bCs/>
          <w:color w:val="000000"/>
        </w:rPr>
        <w:t>10</w:t>
      </w:r>
      <w:r w:rsidR="000D6D9F">
        <w:rPr>
          <w:rFonts w:cs="Arial"/>
          <w:b/>
          <w:bCs/>
          <w:color w:val="000000"/>
        </w:rPr>
        <w:t xml:space="preserve">.2. </w:t>
      </w:r>
      <w:r w:rsidR="000D6D9F" w:rsidRPr="000679F9">
        <w:rPr>
          <w:rFonts w:cs="Arial"/>
          <w:b/>
          <w:bCs/>
          <w:color w:val="000000"/>
        </w:rPr>
        <w:t xml:space="preserve">Už sutarties vykdymą </w:t>
      </w:r>
      <w:r w:rsidR="000D6D9F">
        <w:rPr>
          <w:rFonts w:cs="Arial"/>
          <w:b/>
          <w:bCs/>
          <w:color w:val="000000"/>
        </w:rPr>
        <w:t xml:space="preserve">Vykdytojo </w:t>
      </w:r>
      <w:r w:rsidR="000D6D9F" w:rsidRPr="000679F9">
        <w:rPr>
          <w:rFonts w:cs="Arial"/>
          <w:b/>
          <w:bCs/>
          <w:color w:val="000000"/>
        </w:rPr>
        <w:t>paskirtas atsakingas asmuo</w:t>
      </w:r>
    </w:p>
    <w:p w14:paraId="4BD3E74D" w14:textId="4339F60A" w:rsidR="008E4387" w:rsidRPr="00C04CF9" w:rsidRDefault="00D70EF4" w:rsidP="008E4387">
      <w:pPr>
        <w:tabs>
          <w:tab w:val="left" w:pos="1259"/>
        </w:tabs>
        <w:jc w:val="both"/>
        <w:rPr>
          <w:rFonts w:cs="Arial"/>
          <w:color w:val="000000"/>
        </w:rPr>
      </w:pPr>
      <w:r>
        <w:rPr>
          <w:rFonts w:cs="Arial"/>
          <w:color w:val="000000"/>
        </w:rPr>
        <w:tab/>
      </w:r>
      <w:r w:rsidR="004F4499">
        <w:rPr>
          <w:rFonts w:cs="Arial"/>
          <w:color w:val="000000"/>
        </w:rPr>
        <w:t>10</w:t>
      </w:r>
      <w:r>
        <w:rPr>
          <w:rFonts w:cs="Arial"/>
          <w:color w:val="000000"/>
        </w:rPr>
        <w:t>.</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079D016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253E7B2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28F840FE" w:rsidR="008E4387"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07E8B7A1" w:rsidR="00083947" w:rsidRDefault="00083947" w:rsidP="008E4387">
      <w:pPr>
        <w:tabs>
          <w:tab w:val="left" w:pos="1259"/>
        </w:tabs>
        <w:jc w:val="both"/>
        <w:rPr>
          <w:rFonts w:cs="Arial"/>
          <w:color w:val="000000"/>
        </w:rPr>
      </w:pPr>
      <w:r>
        <w:rPr>
          <w:rFonts w:cs="Arial"/>
          <w:color w:val="000000"/>
        </w:rPr>
        <w:tab/>
      </w:r>
      <w:r w:rsidR="004F4499">
        <w:rPr>
          <w:rFonts w:cs="Arial"/>
          <w:color w:val="000000"/>
        </w:rPr>
        <w:t>10</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71D4D3A4" w14:textId="2D6B27C5" w:rsidR="00463DA4" w:rsidRPr="00463DA4" w:rsidRDefault="00A30EFE" w:rsidP="00463DA4">
      <w:pPr>
        <w:tabs>
          <w:tab w:val="left" w:pos="1260"/>
          <w:tab w:val="left" w:pos="1440"/>
        </w:tabs>
        <w:snapToGrid w:val="0"/>
        <w:ind w:firstLine="1247"/>
        <w:jc w:val="both"/>
        <w:rPr>
          <w:lang w:eastAsia="lt-LT"/>
        </w:rPr>
      </w:pPr>
      <w:r>
        <w:rPr>
          <w:rFonts w:cs="Arial"/>
          <w:color w:val="000000"/>
        </w:rPr>
        <w:tab/>
      </w:r>
      <w:r w:rsidR="004F4499">
        <w:rPr>
          <w:lang w:eastAsia="lt-LT"/>
        </w:rPr>
        <w:t>10</w:t>
      </w:r>
      <w:r w:rsidR="00463DA4" w:rsidRPr="00463DA4">
        <w:rPr>
          <w:lang w:eastAsia="lt-LT"/>
        </w:rPr>
        <w:t>.</w:t>
      </w:r>
      <w:r w:rsidR="00C56BA5">
        <w:rPr>
          <w:lang w:eastAsia="lt-LT"/>
        </w:rPr>
        <w:t>8</w:t>
      </w:r>
      <w:r w:rsidR="00463DA4" w:rsidRPr="00463DA4">
        <w:rPr>
          <w:lang w:eastAsia="lt-LT"/>
        </w:rPr>
        <w:t>. Sutarties prieda</w:t>
      </w:r>
      <w:r w:rsidR="003856F1">
        <w:rPr>
          <w:lang w:eastAsia="lt-LT"/>
        </w:rPr>
        <w:t>i</w:t>
      </w:r>
      <w:r w:rsidR="00463DA4" w:rsidRPr="00463DA4">
        <w:rPr>
          <w:lang w:eastAsia="lt-LT"/>
        </w:rPr>
        <w:t xml:space="preserve"> yra neatskiriama Sutarties dalis:</w:t>
      </w:r>
    </w:p>
    <w:p w14:paraId="543CE78B" w14:textId="46DF6705" w:rsidR="00C86E63" w:rsidRDefault="004F4499" w:rsidP="00072B09">
      <w:pPr>
        <w:tabs>
          <w:tab w:val="left" w:pos="1260"/>
          <w:tab w:val="left" w:pos="1440"/>
        </w:tabs>
        <w:suppressAutoHyphens w:val="0"/>
        <w:snapToGrid w:val="0"/>
        <w:ind w:firstLine="1247"/>
        <w:jc w:val="both"/>
        <w:rPr>
          <w:lang w:eastAsia="lt-LT"/>
        </w:rPr>
      </w:pPr>
      <w:r>
        <w:rPr>
          <w:lang w:eastAsia="lt-LT"/>
        </w:rPr>
        <w:t>10</w:t>
      </w:r>
      <w:r w:rsidR="00463DA4" w:rsidRPr="00463DA4">
        <w:rPr>
          <w:lang w:eastAsia="lt-LT"/>
        </w:rPr>
        <w:t>.</w:t>
      </w:r>
      <w:r w:rsidR="00C56BA5">
        <w:rPr>
          <w:lang w:eastAsia="lt-LT"/>
        </w:rPr>
        <w:t>8</w:t>
      </w:r>
      <w:r w:rsidR="00463DA4" w:rsidRPr="00463DA4">
        <w:rPr>
          <w:lang w:eastAsia="lt-LT"/>
        </w:rPr>
        <w:t xml:space="preserve">.1. </w:t>
      </w:r>
      <w:r w:rsidR="00F92DD3">
        <w:rPr>
          <w:lang w:eastAsia="lt-LT"/>
        </w:rPr>
        <w:t>Sutarties</w:t>
      </w:r>
      <w:r w:rsidR="003856F1">
        <w:rPr>
          <w:lang w:eastAsia="lt-LT"/>
        </w:rPr>
        <w:t xml:space="preserve"> priedas – Projektavimo </w:t>
      </w:r>
      <w:r w:rsidR="00082B97">
        <w:rPr>
          <w:lang w:eastAsia="lt-LT"/>
        </w:rPr>
        <w:t xml:space="preserve">techninė </w:t>
      </w:r>
      <w:r w:rsidR="003856F1">
        <w:rPr>
          <w:lang w:eastAsia="lt-LT"/>
        </w:rPr>
        <w:t>užduotis.</w:t>
      </w:r>
    </w:p>
    <w:p w14:paraId="56152A52" w14:textId="77777777" w:rsidR="008E4387" w:rsidRDefault="008E4387" w:rsidP="00ED657A">
      <w:pPr>
        <w:tabs>
          <w:tab w:val="left" w:pos="1259"/>
        </w:tabs>
        <w:rPr>
          <w:rFonts w:cs="Arial"/>
          <w:b/>
          <w:color w:val="000000"/>
        </w:rPr>
      </w:pPr>
    </w:p>
    <w:p w14:paraId="05055D9D" w14:textId="037FFF44" w:rsidR="008E4387" w:rsidRPr="00E024DA" w:rsidRDefault="00E55D14" w:rsidP="00E024DA">
      <w:pPr>
        <w:tabs>
          <w:tab w:val="left" w:pos="1259"/>
        </w:tabs>
        <w:jc w:val="center"/>
        <w:rPr>
          <w:rFonts w:cs="Arial"/>
          <w:b/>
          <w:color w:val="000000"/>
        </w:rPr>
      </w:pPr>
      <w:r>
        <w:rPr>
          <w:rFonts w:cs="Arial"/>
          <w:b/>
          <w:color w:val="000000"/>
        </w:rPr>
        <w:t>X</w:t>
      </w:r>
      <w:r w:rsidR="004F4499">
        <w:rPr>
          <w:rFonts w:cs="Arial"/>
          <w:b/>
          <w:color w:val="000000"/>
        </w:rPr>
        <w:t>I</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proofErr w:type="spellStart"/>
            <w:r w:rsidRPr="00BD0687">
              <w:rPr>
                <w:rFonts w:eastAsia="Calibri"/>
                <w:color w:val="000000"/>
                <w:szCs w:val="24"/>
                <w:lang w:eastAsia="en-US"/>
              </w:rPr>
              <w:t>Luminor</w:t>
            </w:r>
            <w:proofErr w:type="spellEnd"/>
            <w:r w:rsidRPr="00BD0687">
              <w:rPr>
                <w:rFonts w:eastAsia="Calibri"/>
                <w:color w:val="000000"/>
                <w:szCs w:val="24"/>
                <w:lang w:eastAsia="en-US"/>
              </w:rPr>
              <w:t xml:space="preserve"> Bank</w:t>
            </w:r>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7D1B" w14:textId="77777777" w:rsidR="00652193" w:rsidRDefault="00652193" w:rsidP="00E024DA">
      <w:r>
        <w:separator/>
      </w:r>
    </w:p>
  </w:endnote>
  <w:endnote w:type="continuationSeparator" w:id="0">
    <w:p w14:paraId="46F020CF" w14:textId="77777777" w:rsidR="00652193" w:rsidRDefault="00652193"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B0D5" w14:textId="77777777" w:rsidR="00652193" w:rsidRDefault="00652193" w:rsidP="00E024DA">
      <w:r>
        <w:separator/>
      </w:r>
    </w:p>
  </w:footnote>
  <w:footnote w:type="continuationSeparator" w:id="0">
    <w:p w14:paraId="411B7DCC" w14:textId="77777777" w:rsidR="00652193" w:rsidRDefault="00652193"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39061946">
    <w:abstractNumId w:val="1"/>
  </w:num>
  <w:num w:numId="2" w16cid:durableId="1879779489">
    <w:abstractNumId w:val="2"/>
  </w:num>
  <w:num w:numId="3" w16cid:durableId="15002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23EE1"/>
    <w:rsid w:val="0003178A"/>
    <w:rsid w:val="00031DB4"/>
    <w:rsid w:val="00032911"/>
    <w:rsid w:val="00034EA4"/>
    <w:rsid w:val="00035207"/>
    <w:rsid w:val="00050408"/>
    <w:rsid w:val="00060FFB"/>
    <w:rsid w:val="000679F9"/>
    <w:rsid w:val="00072B09"/>
    <w:rsid w:val="00072C34"/>
    <w:rsid w:val="00081929"/>
    <w:rsid w:val="00082203"/>
    <w:rsid w:val="00082B97"/>
    <w:rsid w:val="00083947"/>
    <w:rsid w:val="00095200"/>
    <w:rsid w:val="000A1B52"/>
    <w:rsid w:val="000A4329"/>
    <w:rsid w:val="000B0EE6"/>
    <w:rsid w:val="000B627A"/>
    <w:rsid w:val="000C1B9A"/>
    <w:rsid w:val="000C27B7"/>
    <w:rsid w:val="000D37F7"/>
    <w:rsid w:val="000D5CDD"/>
    <w:rsid w:val="000D6003"/>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892"/>
    <w:rsid w:val="002177F7"/>
    <w:rsid w:val="00221581"/>
    <w:rsid w:val="0022253D"/>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A35"/>
    <w:rsid w:val="00355A3D"/>
    <w:rsid w:val="003628A0"/>
    <w:rsid w:val="0036496B"/>
    <w:rsid w:val="00370767"/>
    <w:rsid w:val="00372C95"/>
    <w:rsid w:val="003750CF"/>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77AA"/>
    <w:rsid w:val="003F076B"/>
    <w:rsid w:val="00401A07"/>
    <w:rsid w:val="0040559D"/>
    <w:rsid w:val="00421753"/>
    <w:rsid w:val="004536AD"/>
    <w:rsid w:val="00454F7C"/>
    <w:rsid w:val="00460CFC"/>
    <w:rsid w:val="004618BB"/>
    <w:rsid w:val="00463DA4"/>
    <w:rsid w:val="00464BE9"/>
    <w:rsid w:val="00474018"/>
    <w:rsid w:val="0047650F"/>
    <w:rsid w:val="00484EC4"/>
    <w:rsid w:val="0049363A"/>
    <w:rsid w:val="00494A79"/>
    <w:rsid w:val="00494C64"/>
    <w:rsid w:val="004A11ED"/>
    <w:rsid w:val="004A70F8"/>
    <w:rsid w:val="004B1E8C"/>
    <w:rsid w:val="004B3344"/>
    <w:rsid w:val="004B7B68"/>
    <w:rsid w:val="004C264C"/>
    <w:rsid w:val="004C5B0D"/>
    <w:rsid w:val="004C71D3"/>
    <w:rsid w:val="004D1289"/>
    <w:rsid w:val="004D5FFE"/>
    <w:rsid w:val="004E05E7"/>
    <w:rsid w:val="004E2E46"/>
    <w:rsid w:val="004E3685"/>
    <w:rsid w:val="004F2630"/>
    <w:rsid w:val="004F2F0F"/>
    <w:rsid w:val="004F4499"/>
    <w:rsid w:val="004F6318"/>
    <w:rsid w:val="004F79BE"/>
    <w:rsid w:val="00505F70"/>
    <w:rsid w:val="00512CBA"/>
    <w:rsid w:val="00516D21"/>
    <w:rsid w:val="00531BDA"/>
    <w:rsid w:val="005326FD"/>
    <w:rsid w:val="00533DA7"/>
    <w:rsid w:val="00533E2A"/>
    <w:rsid w:val="00537224"/>
    <w:rsid w:val="00540C79"/>
    <w:rsid w:val="00546A12"/>
    <w:rsid w:val="00553E0D"/>
    <w:rsid w:val="00556D23"/>
    <w:rsid w:val="005609F6"/>
    <w:rsid w:val="00562575"/>
    <w:rsid w:val="00564E2A"/>
    <w:rsid w:val="005730B4"/>
    <w:rsid w:val="00576DCC"/>
    <w:rsid w:val="00592305"/>
    <w:rsid w:val="00596A8C"/>
    <w:rsid w:val="005971BC"/>
    <w:rsid w:val="005A1312"/>
    <w:rsid w:val="005A3878"/>
    <w:rsid w:val="005A562D"/>
    <w:rsid w:val="005B7A12"/>
    <w:rsid w:val="005C2F5C"/>
    <w:rsid w:val="005C36E7"/>
    <w:rsid w:val="005C63AE"/>
    <w:rsid w:val="005C67F0"/>
    <w:rsid w:val="005D01AF"/>
    <w:rsid w:val="005D025C"/>
    <w:rsid w:val="005D1CFC"/>
    <w:rsid w:val="005D25CB"/>
    <w:rsid w:val="005D7640"/>
    <w:rsid w:val="005E2721"/>
    <w:rsid w:val="005E68C3"/>
    <w:rsid w:val="005F2457"/>
    <w:rsid w:val="005F3D6B"/>
    <w:rsid w:val="005F3DC6"/>
    <w:rsid w:val="00603FC1"/>
    <w:rsid w:val="00604069"/>
    <w:rsid w:val="0061120F"/>
    <w:rsid w:val="00616C83"/>
    <w:rsid w:val="006201CE"/>
    <w:rsid w:val="0062119C"/>
    <w:rsid w:val="00630017"/>
    <w:rsid w:val="00630F79"/>
    <w:rsid w:val="00631957"/>
    <w:rsid w:val="006367DA"/>
    <w:rsid w:val="00636E44"/>
    <w:rsid w:val="006379FB"/>
    <w:rsid w:val="00637FEE"/>
    <w:rsid w:val="00644CC7"/>
    <w:rsid w:val="00645688"/>
    <w:rsid w:val="00647AA8"/>
    <w:rsid w:val="00652193"/>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D5260"/>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A7D99"/>
    <w:rsid w:val="008A7FEB"/>
    <w:rsid w:val="008B571E"/>
    <w:rsid w:val="008C2FAE"/>
    <w:rsid w:val="008C42F8"/>
    <w:rsid w:val="008C698C"/>
    <w:rsid w:val="008D02FB"/>
    <w:rsid w:val="008D16F6"/>
    <w:rsid w:val="008D4767"/>
    <w:rsid w:val="008D6608"/>
    <w:rsid w:val="008E4387"/>
    <w:rsid w:val="008F6F86"/>
    <w:rsid w:val="009063D5"/>
    <w:rsid w:val="00915D62"/>
    <w:rsid w:val="00916FD0"/>
    <w:rsid w:val="00926BC5"/>
    <w:rsid w:val="00933FA7"/>
    <w:rsid w:val="00940B76"/>
    <w:rsid w:val="009442A4"/>
    <w:rsid w:val="00952C3A"/>
    <w:rsid w:val="009601FA"/>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4DA5"/>
    <w:rsid w:val="00A160EE"/>
    <w:rsid w:val="00A17DE0"/>
    <w:rsid w:val="00A2653C"/>
    <w:rsid w:val="00A277D4"/>
    <w:rsid w:val="00A30EFE"/>
    <w:rsid w:val="00A3122E"/>
    <w:rsid w:val="00A31583"/>
    <w:rsid w:val="00A33071"/>
    <w:rsid w:val="00A36B8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0122"/>
    <w:rsid w:val="00B25286"/>
    <w:rsid w:val="00B3382D"/>
    <w:rsid w:val="00B369E8"/>
    <w:rsid w:val="00B37239"/>
    <w:rsid w:val="00B41D2F"/>
    <w:rsid w:val="00B5027A"/>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0DFA"/>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43E2A"/>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07E5"/>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2015"/>
    <w:rsid w:val="00D55A39"/>
    <w:rsid w:val="00D644E2"/>
    <w:rsid w:val="00D70EF4"/>
    <w:rsid w:val="00D71066"/>
    <w:rsid w:val="00D71ABD"/>
    <w:rsid w:val="00D74DF5"/>
    <w:rsid w:val="00D75A27"/>
    <w:rsid w:val="00D81596"/>
    <w:rsid w:val="00D85EB6"/>
    <w:rsid w:val="00D9004D"/>
    <w:rsid w:val="00D93B2B"/>
    <w:rsid w:val="00D97975"/>
    <w:rsid w:val="00DA00EC"/>
    <w:rsid w:val="00DC117E"/>
    <w:rsid w:val="00DC1DC9"/>
    <w:rsid w:val="00DC404F"/>
    <w:rsid w:val="00DC465A"/>
    <w:rsid w:val="00DC690C"/>
    <w:rsid w:val="00DC7C5B"/>
    <w:rsid w:val="00DD0714"/>
    <w:rsid w:val="00DD17BF"/>
    <w:rsid w:val="00DD4C5C"/>
    <w:rsid w:val="00DD58E0"/>
    <w:rsid w:val="00DD668A"/>
    <w:rsid w:val="00DE23E3"/>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EB9"/>
    <w:rsid w:val="00E50D23"/>
    <w:rsid w:val="00E53836"/>
    <w:rsid w:val="00E543D4"/>
    <w:rsid w:val="00E55D14"/>
    <w:rsid w:val="00E57B56"/>
    <w:rsid w:val="00E65BA3"/>
    <w:rsid w:val="00E6771F"/>
    <w:rsid w:val="00E70986"/>
    <w:rsid w:val="00E70F32"/>
    <w:rsid w:val="00E74E13"/>
    <w:rsid w:val="00E828E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3F62"/>
    <w:rsid w:val="00F04BD2"/>
    <w:rsid w:val="00F14B89"/>
    <w:rsid w:val="00F17A0A"/>
    <w:rsid w:val="00F26C4E"/>
    <w:rsid w:val="00F27589"/>
    <w:rsid w:val="00F34C10"/>
    <w:rsid w:val="00F403A5"/>
    <w:rsid w:val="00F4067E"/>
    <w:rsid w:val="00F41D46"/>
    <w:rsid w:val="00F430A3"/>
    <w:rsid w:val="00F45549"/>
    <w:rsid w:val="00F4722D"/>
    <w:rsid w:val="00F54AA7"/>
    <w:rsid w:val="00F57EB5"/>
    <w:rsid w:val="00F60847"/>
    <w:rsid w:val="00F61767"/>
    <w:rsid w:val="00F63AEE"/>
    <w:rsid w:val="00F70BA4"/>
    <w:rsid w:val="00F70EAE"/>
    <w:rsid w:val="00F71B6E"/>
    <w:rsid w:val="00F72035"/>
    <w:rsid w:val="00F77444"/>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4</Pages>
  <Words>1891</Words>
  <Characters>10785</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355</cp:revision>
  <cp:lastPrinted>2022-12-21T11:45:00Z</cp:lastPrinted>
  <dcterms:created xsi:type="dcterms:W3CDTF">2023-02-28T13:45:00Z</dcterms:created>
  <dcterms:modified xsi:type="dcterms:W3CDTF">2025-01-16T09:43:00Z</dcterms:modified>
</cp:coreProperties>
</file>