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</w:pPr>
      <w:r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71475" cy="466725"/>
            <wp:effectExtent l="0" t="0" r="9525" b="9525"/>
            <wp:docPr id="1" name="Picture 1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Lietuvos KARIUOMENĖS logistikos valdybos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ĮGULŲ aptarnavimo tarnyba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tbl>
      <w:tblPr>
        <w:tblW w:w="9739" w:type="dxa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E54F22" w:rsidRPr="00E54F22" w:rsidTr="00981A03">
        <w:trPr>
          <w:trHeight w:val="388"/>
        </w:trPr>
        <w:tc>
          <w:tcPr>
            <w:tcW w:w="9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Biudžetinė įstaiga, Šv. Ignoto g. 8, LT-01120 Vilnius.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Duomenys kaupiami ir saugomi Juridinių asmenų registre, kodas 188732677, PVM mokėtojo kodas LT887326716.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Tarnybos duomenys: biudžetinės įstaigos filialas, Mindaugo g. 26, LT-03215 Vilnius, tel. (8 5)  278 5343,  faks. (8 5) 211 3844, filialo kodas 300066843</w:t>
            </w:r>
          </w:p>
        </w:tc>
      </w:tr>
    </w:tbl>
    <w:p w:rsidR="009F394A" w:rsidRDefault="009F394A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205DCF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DCF">
        <w:rPr>
          <w:rFonts w:ascii="Times New Roman" w:hAnsi="Times New Roman" w:cs="Times New Roman"/>
          <w:b/>
          <w:bCs/>
          <w:sz w:val="24"/>
          <w:szCs w:val="24"/>
        </w:rPr>
        <w:t>KMHB RIED</w:t>
      </w:r>
      <w:r>
        <w:rPr>
          <w:rFonts w:ascii="Times New Roman" w:hAnsi="Times New Roman" w:cs="Times New Roman"/>
          <w:b/>
          <w:bCs/>
          <w:sz w:val="24"/>
          <w:szCs w:val="24"/>
        </w:rPr>
        <w:t>ĖJIMO TAKO DANGOS REMONTO DARBAI</w:t>
      </w:r>
    </w:p>
    <w:p w:rsidR="00014586" w:rsidRDefault="00DB61EE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SKELBIAMOS APKLAUSOS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44BEF" w:rsidRP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1C445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1C445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1C445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1C445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1C445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1C445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1C445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2045FF">
        <w:rPr>
          <w:bCs/>
        </w:rPr>
        <w:t>mų katalogu, nes tokių darbų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7D4CB0" w:rsidRDefault="00D26DB1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Pr="00D26DB1">
        <w:rPr>
          <w:bCs/>
        </w:rPr>
        <w:t xml:space="preserve">. </w:t>
      </w:r>
      <w:r w:rsidR="00A12D1A" w:rsidRPr="00A12D1A">
        <w:rPr>
          <w:bCs/>
        </w:rPr>
        <w:t>Pirkimas laikomas žaliuoju</w:t>
      </w:r>
      <w:r w:rsidR="00A12D1A">
        <w:rPr>
          <w:bCs/>
        </w:rPr>
        <w:t>.</w:t>
      </w:r>
      <w:r w:rsidR="00E0499B">
        <w:rPr>
          <w:bCs/>
        </w:rPr>
        <w:t xml:space="preserve"> Pirkimas tenkina</w:t>
      </w:r>
      <w:r w:rsidRPr="00D26DB1">
        <w:rPr>
          <w:bCs/>
        </w:rPr>
        <w:t xml:space="preserve"> Lietuvos Respublikos aplinkos ministro 2011 m. birželio 28 d. įsakymu Nr. D1-508 „Dėl aplinkos apsaugos kriterijų taikymo, vykdant žaliuosius pirkimus, tvarkos apraš</w:t>
      </w:r>
      <w:r w:rsidR="007D4CB0">
        <w:rPr>
          <w:bCs/>
        </w:rPr>
        <w:t>o patvirtinimo“ 4.3</w:t>
      </w:r>
      <w:r w:rsidR="00E0499B">
        <w:rPr>
          <w:bCs/>
        </w:rPr>
        <w:t xml:space="preserve"> papunkčio sąlygą</w:t>
      </w:r>
      <w:r w:rsidR="00631DAC">
        <w:rPr>
          <w:bCs/>
        </w:rPr>
        <w:t>:</w:t>
      </w:r>
      <w:r w:rsidR="00631DAC" w:rsidRPr="00631DAC">
        <w:rPr>
          <w:bCs/>
        </w:rPr>
        <w:t xml:space="preserve">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</w:t>
      </w:r>
      <w:proofErr w:type="spellStart"/>
      <w:r w:rsidR="00631DAC" w:rsidRPr="00631DAC">
        <w:rPr>
          <w:bCs/>
        </w:rPr>
        <w:t>įrodymais</w:t>
      </w:r>
      <w:proofErr w:type="spellEnd"/>
      <w:r w:rsidR="00631DAC" w:rsidRPr="00631DAC">
        <w:rPr>
          <w:bCs/>
        </w:rPr>
        <w:t xml:space="preserve"> (lygiaverčiai įrodymai gali būti priimami atliekant supaprastintus pirkimus ar Viešųjų pirkimų įstatymo ir Pirkimų, atliekamų </w:t>
      </w:r>
      <w:proofErr w:type="spellStart"/>
      <w:r w:rsidR="00631DAC" w:rsidRPr="00631DAC">
        <w:rPr>
          <w:bCs/>
        </w:rPr>
        <w:t>vandentvarkos</w:t>
      </w:r>
      <w:proofErr w:type="spellEnd"/>
      <w:r w:rsidR="00631DAC" w:rsidRPr="00631DAC">
        <w:rPr>
          <w:bCs/>
        </w:rPr>
        <w:t>, energetikos, transporto ar pašto paslaugų srities perkančiųjų subjektų, įstatymo prieduose nurodytų socialinių ir kitų specialiųjų paslaugų pirkimus, o kitų pirkimų atvejais lygiaverčiai įrodymai priimami tik jeigu tiekėjas dėl nuo jo nepriklausančių objektyvių priežasčių negali pateikti sertifikatų per nustatytą laiką);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Pr="00CD370E" w:rsidRDefault="00B963EE" w:rsidP="00631DAC">
      <w:pPr>
        <w:pStyle w:val="NormalWeb"/>
        <w:spacing w:before="0" w:beforeAutospacing="0" w:after="0" w:afterAutospacing="0"/>
        <w:jc w:val="both"/>
        <w:rPr>
          <w:bCs/>
          <w:lang w:val="en-US"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A767CF" w:rsidRPr="00A767CF">
        <w:rPr>
          <w:bCs/>
        </w:rPr>
        <w:t xml:space="preserve"> </w:t>
      </w:r>
      <w:r w:rsidR="00205DCF">
        <w:rPr>
          <w:bCs/>
        </w:rPr>
        <w:t>KMHB riedėjimo tako dangos remontas</w:t>
      </w:r>
      <w:r w:rsidR="00CD370E">
        <w:rPr>
          <w:bCs/>
        </w:rPr>
        <w:t>.</w:t>
      </w:r>
    </w:p>
    <w:p w:rsidR="00F35E8D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2.2. Maksimali </w:t>
      </w:r>
      <w:r w:rsidR="00FC10E0">
        <w:rPr>
          <w:bCs/>
        </w:rPr>
        <w:t>pirkimo Sutarties vertė iki 160</w:t>
      </w:r>
      <w:r w:rsidR="00EF4159">
        <w:rPr>
          <w:bCs/>
        </w:rPr>
        <w:t xml:space="preserve"> 000</w:t>
      </w:r>
      <w:r w:rsidRPr="00F35E8D">
        <w:rPr>
          <w:bCs/>
        </w:rPr>
        <w:t xml:space="preserve">,00 </w:t>
      </w:r>
      <w:proofErr w:type="spellStart"/>
      <w:r w:rsidRPr="00F35E8D">
        <w:rPr>
          <w:bCs/>
        </w:rPr>
        <w:t>Eur</w:t>
      </w:r>
      <w:proofErr w:type="spellEnd"/>
      <w:r w:rsidRPr="00F35E8D">
        <w:rPr>
          <w:bCs/>
        </w:rPr>
        <w:t xml:space="preserve"> su PVM.</w:t>
      </w:r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2045FF">
        <w:rPr>
          <w:bCs/>
        </w:rPr>
        <w:t>. Darbų atlikimo vieta</w:t>
      </w:r>
      <w:r w:rsidR="00631DAC">
        <w:rPr>
          <w:bCs/>
        </w:rPr>
        <w:t xml:space="preserve"> –</w:t>
      </w:r>
      <w:r w:rsidR="00631DAC" w:rsidRPr="00631DAC">
        <w:t xml:space="preserve"> </w:t>
      </w:r>
      <w:r w:rsidR="00FC10E0" w:rsidRPr="00FC10E0">
        <w:t xml:space="preserve">KMHB </w:t>
      </w:r>
      <w:proofErr w:type="spellStart"/>
      <w:r w:rsidR="00FC10E0" w:rsidRPr="00FC10E0">
        <w:t>Pajuosčio</w:t>
      </w:r>
      <w:proofErr w:type="spellEnd"/>
      <w:r w:rsidR="00FC10E0" w:rsidRPr="00FC10E0">
        <w:t xml:space="preserve"> k.1, </w:t>
      </w:r>
      <w:proofErr w:type="spellStart"/>
      <w:r w:rsidR="00FC10E0" w:rsidRPr="00FC10E0">
        <w:t>Velžio</w:t>
      </w:r>
      <w:proofErr w:type="spellEnd"/>
      <w:r w:rsidR="00FC10E0" w:rsidRPr="00FC10E0">
        <w:t xml:space="preserve"> sen., Panevėžio r.</w:t>
      </w:r>
      <w:bookmarkStart w:id="0" w:name="_GoBack"/>
      <w:bookmarkEnd w:id="0"/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2.4</w:t>
      </w:r>
      <w:r w:rsidR="00631DAC">
        <w:rPr>
          <w:bCs/>
        </w:rPr>
        <w:t xml:space="preserve">. </w:t>
      </w:r>
      <w:r w:rsidR="00631DAC" w:rsidRPr="00631DAC">
        <w:rPr>
          <w:bCs/>
        </w:rPr>
        <w:t>Darbų a</w:t>
      </w:r>
      <w:r w:rsidR="00FC10E0">
        <w:rPr>
          <w:bCs/>
        </w:rPr>
        <w:t>tlikimo terminas 2</w:t>
      </w:r>
      <w:r w:rsidR="00631DAC">
        <w:rPr>
          <w:bCs/>
        </w:rPr>
        <w:t xml:space="preserve"> mė</w:t>
      </w:r>
      <w:r w:rsidR="00FC10E0">
        <w:rPr>
          <w:bCs/>
        </w:rPr>
        <w:t xml:space="preserve">n. nuo </w:t>
      </w:r>
      <w:proofErr w:type="spellStart"/>
      <w:r w:rsidR="00FC10E0" w:rsidRPr="00FC10E0">
        <w:rPr>
          <w:bCs/>
        </w:rPr>
        <w:t>nuo</w:t>
      </w:r>
      <w:proofErr w:type="spellEnd"/>
      <w:r w:rsidR="00FC10E0" w:rsidRPr="00FC10E0">
        <w:rPr>
          <w:bCs/>
        </w:rPr>
        <w:t xml:space="preserve"> statybvietės perdavimo.</w:t>
      </w:r>
    </w:p>
    <w:p w:rsidR="00B963EE" w:rsidRPr="00A767CF" w:rsidRDefault="00F35E8D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A767CF" w:rsidRPr="00A767CF">
        <w:rPr>
          <w:bCs/>
        </w:rPr>
        <w:t xml:space="preserve">. Pirkimo objektas į dalis neskaidomas. Pirkimo apimtys, reikalavimai ir techninė specifikacija apibrėžti specialiųjų pirkimo </w:t>
      </w:r>
      <w:r w:rsidR="00A767CF" w:rsidRPr="006B77DA">
        <w:rPr>
          <w:b/>
          <w:bCs/>
        </w:rPr>
        <w:t xml:space="preserve">sąlygų </w:t>
      </w:r>
      <w:r w:rsidR="006B77DA" w:rsidRPr="006B77DA">
        <w:rPr>
          <w:b/>
          <w:bCs/>
        </w:rPr>
        <w:t>7 ir 9 prieduose.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8845D7">
        <w:rPr>
          <w:b/>
          <w:bCs/>
        </w:rPr>
        <w:t>2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EF352B" w:rsidRPr="00EF352B">
        <w:rPr>
          <w:b/>
          <w:bCs/>
        </w:rPr>
        <w:t>8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lastRenderedPageBreak/>
        <w:t>4.1. Perkančioji organizacija atmes tiekėjo pasiūlymą, jei bus tenkinama</w:t>
      </w:r>
      <w:r>
        <w:rPr>
          <w:bCs/>
        </w:rPr>
        <w:t xml:space="preserve"> bent viena VPĮ 45 straipsnio 2²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D21EC4" w:rsidRPr="00D21EC4">
        <w:rPr>
          <w:b/>
          <w:bCs/>
        </w:rPr>
        <w:t>8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Pr="00D21EC4">
        <w:rPr>
          <w:bCs/>
          <w:color w:val="000000" w:themeColor="text1"/>
        </w:rPr>
        <w:t>VPĮ 45 straipsnio 2²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Pr="008845D7">
        <w:rPr>
          <w:bCs/>
        </w:rPr>
        <w:t>.1. Tiekėjas gali pateikti tik vieną pasiūlymą.</w:t>
      </w:r>
      <w:r w:rsidR="0098180F" w:rsidRPr="0098180F">
        <w:rPr>
          <w:bCs/>
        </w:rPr>
        <w:t xml:space="preserve"> CVP IS pasiūlymo lango eilutėje „Prisegti d</w:t>
      </w:r>
      <w:r>
        <w:rPr>
          <w:bCs/>
        </w:rPr>
        <w:t>okumentus“.</w:t>
      </w:r>
    </w:p>
    <w:p w:rsidR="008845D7" w:rsidRP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5.2. </w:t>
      </w:r>
      <w:r w:rsidRPr="008845D7">
        <w:rPr>
          <w:bCs/>
        </w:rPr>
        <w:t>Pasiūlymą sudaro tiekėjo pateiktų duomenų bei dokumentų visuma:</w:t>
      </w:r>
    </w:p>
    <w:p w:rsid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5.2.1.</w:t>
      </w:r>
      <w:r w:rsidRPr="008845D7">
        <w:rPr>
          <w:bCs/>
        </w:rPr>
        <w:t xml:space="preserve"> </w:t>
      </w:r>
      <w:r w:rsidRPr="0098180F">
        <w:rPr>
          <w:bCs/>
        </w:rPr>
        <w:t xml:space="preserve">pateikiamas tiekėjo pasirašytas pasiūlymas, parengtas pagal specialiųjų pirkimo </w:t>
      </w:r>
      <w:r w:rsidRPr="00B71E96">
        <w:rPr>
          <w:bCs/>
        </w:rPr>
        <w:t xml:space="preserve">sąlygų </w:t>
      </w:r>
      <w:r>
        <w:rPr>
          <w:b/>
          <w:bCs/>
        </w:rPr>
        <w:t>11</w:t>
      </w:r>
      <w:r w:rsidRPr="00EF352B">
        <w:rPr>
          <w:b/>
          <w:bCs/>
        </w:rPr>
        <w:t xml:space="preserve"> priede</w:t>
      </w:r>
      <w:r w:rsidRPr="0098180F">
        <w:rPr>
          <w:bCs/>
        </w:rPr>
        <w:t xml:space="preserve"> pateiktą pasiūlymo formą ir pasiūlymo formoje nurodyti ir kiti, tiekėjo nuomone,</w:t>
      </w:r>
      <w:r>
        <w:rPr>
          <w:bCs/>
        </w:rPr>
        <w:t xml:space="preserve"> būtini dokumentai (jų kopijos);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5.2.2</w:t>
      </w:r>
      <w:r w:rsidR="008845D7">
        <w:rPr>
          <w:bCs/>
        </w:rPr>
        <w:t>. pateikta</w:t>
      </w:r>
      <w:r w:rsidR="008845D7" w:rsidRPr="008845D7">
        <w:rPr>
          <w:bCs/>
        </w:rPr>
        <w:t xml:space="preserve"> deklaracija</w:t>
      </w:r>
      <w:r w:rsidR="0056481E">
        <w:rPr>
          <w:bCs/>
        </w:rPr>
        <w:t xml:space="preserve"> </w:t>
      </w:r>
      <w:r w:rsidR="0056481E" w:rsidRPr="0056481E">
        <w:rPr>
          <w:bCs/>
        </w:rPr>
        <w:t>parengtas pa</w:t>
      </w:r>
      <w:r w:rsidR="0056481E">
        <w:rPr>
          <w:bCs/>
        </w:rPr>
        <w:t xml:space="preserve">gal specialiųjų pirkimo sąlygų </w:t>
      </w:r>
      <w:r w:rsidR="0056481E" w:rsidRPr="0056481E">
        <w:rPr>
          <w:b/>
          <w:bCs/>
        </w:rPr>
        <w:t>8 priede</w:t>
      </w:r>
      <w:r w:rsidR="0056481E" w:rsidRPr="0056481E">
        <w:rPr>
          <w:bCs/>
        </w:rPr>
        <w:t xml:space="preserve"> pateiktą formą;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5.2.3</w:t>
      </w:r>
      <w:r w:rsidR="008845D7" w:rsidRPr="008845D7">
        <w:rPr>
          <w:bCs/>
        </w:rPr>
        <w:t>. įgaliojimo ar kito dokumento, suteikiančio teisę pateikti ir (ar) pasirašyti pasiūlymą bei kitus dokumentus, kopija (jeigu pasiūlymą pateikia ne tiekėjo vadovas);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5.2.4</w:t>
      </w:r>
      <w:r w:rsidR="008845D7" w:rsidRPr="0054655F">
        <w:rPr>
          <w:bCs/>
        </w:rPr>
        <w:t>. informacija ir do</w:t>
      </w:r>
      <w:r w:rsidR="0054655F">
        <w:rPr>
          <w:bCs/>
        </w:rPr>
        <w:t xml:space="preserve">kumentai pagal </w:t>
      </w:r>
      <w:r w:rsidR="008845D7" w:rsidRPr="0054655F">
        <w:rPr>
          <w:bCs/>
        </w:rPr>
        <w:t>jei pasiūlymą teikia ūkio s</w:t>
      </w:r>
      <w:r w:rsidR="0054655F">
        <w:rPr>
          <w:bCs/>
        </w:rPr>
        <w:t>ubjektai</w:t>
      </w:r>
      <w:r w:rsidR="008845D7" w:rsidRPr="0054655F">
        <w:rPr>
          <w:bCs/>
        </w:rPr>
        <w:t>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5.2.5</w:t>
      </w:r>
      <w:r w:rsidR="008845D7" w:rsidRPr="008845D7">
        <w:rPr>
          <w:bCs/>
        </w:rPr>
        <w:t>. kita reikalaujama informacija ir dokumentai;</w:t>
      </w:r>
    </w:p>
    <w:p w:rsidR="008845D7" w:rsidRPr="00A02F2A" w:rsidRDefault="00EF4159" w:rsidP="0056481E">
      <w:pPr>
        <w:pStyle w:val="NormalWeb"/>
        <w:spacing w:before="0" w:beforeAutospacing="0" w:after="0" w:afterAutospacing="0"/>
        <w:jc w:val="both"/>
        <w:rPr>
          <w:bCs/>
          <w:i/>
        </w:rPr>
      </w:pPr>
      <w:r>
        <w:rPr>
          <w:bCs/>
        </w:rPr>
        <w:t>5.2.6</w:t>
      </w:r>
      <w:r w:rsidR="0056481E">
        <w:rPr>
          <w:bCs/>
        </w:rPr>
        <w:t>.</w:t>
      </w:r>
      <w:r w:rsidR="008845D7" w:rsidRPr="008845D7">
        <w:rPr>
          <w:bCs/>
        </w:rPr>
        <w:t xml:space="preserve"> tiekėjo atitiktį kvalifikaciniams reikalavi</w:t>
      </w:r>
      <w:r w:rsidR="00FC10E0">
        <w:rPr>
          <w:bCs/>
        </w:rPr>
        <w:t>mams patvirtinantys dokumentai.</w:t>
      </w:r>
    </w:p>
    <w:p w:rsid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5.2.7</w:t>
      </w:r>
      <w:r w:rsidR="008845D7" w:rsidRPr="008845D7">
        <w:rPr>
          <w:bCs/>
        </w:rPr>
        <w:t>. pasiūlymo paaiškinimai bei atsakymai dėl pasiūlymo (jei tokių yra).</w:t>
      </w:r>
    </w:p>
    <w:p w:rsidR="008845D7" w:rsidRPr="0098180F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:rsidR="0098180F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.1. pateikiami kvalifikuotu elektroniniu parašu pasirašyti elektroninėmis priemonėmis suformuoti dokumentai;</w:t>
      </w:r>
    </w:p>
    <w:p w:rsidR="00B963EE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.2. skaitmeninės dokumentų kopijos (fiziniu parašu tvirtinami dokumentai turi būti pateikiami pasirašyti ir nuskenuoti).</w:t>
      </w: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C57FEB">
        <w:rPr>
          <w:b/>
          <w:bCs/>
        </w:rPr>
        <w:t>11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Pr="0056481E" w:rsidRDefault="00C57FEB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lastRenderedPageBreak/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54655F">
        <w:rPr>
          <w:b/>
          <w:bCs/>
        </w:rPr>
        <w:t>10</w:t>
      </w:r>
      <w:r w:rsidRPr="00EF352B">
        <w:rPr>
          <w:b/>
          <w:bCs/>
        </w:rPr>
        <w:t xml:space="preserve">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9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59" w:rsidRDefault="001C4459" w:rsidP="008B40DB">
      <w:pPr>
        <w:spacing w:after="0" w:line="240" w:lineRule="auto"/>
      </w:pPr>
      <w:r>
        <w:separator/>
      </w:r>
    </w:p>
  </w:endnote>
  <w:endnote w:type="continuationSeparator" w:id="0">
    <w:p w:rsidR="001C4459" w:rsidRDefault="001C4459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1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59" w:rsidRDefault="001C4459" w:rsidP="008B40DB">
      <w:pPr>
        <w:spacing w:after="0" w:line="240" w:lineRule="auto"/>
      </w:pPr>
      <w:r>
        <w:separator/>
      </w:r>
    </w:p>
  </w:footnote>
  <w:footnote w:type="continuationSeparator" w:id="0">
    <w:p w:rsidR="001C4459" w:rsidRDefault="001C4459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3D04"/>
    <w:rsid w:val="00173B97"/>
    <w:rsid w:val="00173BCD"/>
    <w:rsid w:val="00182455"/>
    <w:rsid w:val="0019106A"/>
    <w:rsid w:val="00191B32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41C39"/>
    <w:rsid w:val="00247ECC"/>
    <w:rsid w:val="00255823"/>
    <w:rsid w:val="0025720B"/>
    <w:rsid w:val="00257426"/>
    <w:rsid w:val="0026241D"/>
    <w:rsid w:val="00272402"/>
    <w:rsid w:val="00284938"/>
    <w:rsid w:val="002A13E3"/>
    <w:rsid w:val="002A4521"/>
    <w:rsid w:val="002B1299"/>
    <w:rsid w:val="002B6E9F"/>
    <w:rsid w:val="002C0D19"/>
    <w:rsid w:val="002D17F0"/>
    <w:rsid w:val="002D394D"/>
    <w:rsid w:val="002E148D"/>
    <w:rsid w:val="00301F4F"/>
    <w:rsid w:val="0031556E"/>
    <w:rsid w:val="00315E87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4DE"/>
    <w:rsid w:val="00405F43"/>
    <w:rsid w:val="00410872"/>
    <w:rsid w:val="004112A7"/>
    <w:rsid w:val="00415254"/>
    <w:rsid w:val="00415620"/>
    <w:rsid w:val="00435152"/>
    <w:rsid w:val="00443948"/>
    <w:rsid w:val="004529CF"/>
    <w:rsid w:val="00453671"/>
    <w:rsid w:val="0047367B"/>
    <w:rsid w:val="00480DB3"/>
    <w:rsid w:val="004A0D9A"/>
    <w:rsid w:val="004A617B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42E5F"/>
    <w:rsid w:val="0054562F"/>
    <w:rsid w:val="0054655F"/>
    <w:rsid w:val="005502D7"/>
    <w:rsid w:val="00553503"/>
    <w:rsid w:val="0056481E"/>
    <w:rsid w:val="00570964"/>
    <w:rsid w:val="0057271E"/>
    <w:rsid w:val="00573A16"/>
    <w:rsid w:val="00586C3C"/>
    <w:rsid w:val="005943B5"/>
    <w:rsid w:val="0059674D"/>
    <w:rsid w:val="005967B9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6808"/>
    <w:rsid w:val="007D25A8"/>
    <w:rsid w:val="007D4CB0"/>
    <w:rsid w:val="007D5577"/>
    <w:rsid w:val="007F5440"/>
    <w:rsid w:val="00804AA0"/>
    <w:rsid w:val="0081276A"/>
    <w:rsid w:val="00813852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977B8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7FA5"/>
    <w:rsid w:val="00CB0B57"/>
    <w:rsid w:val="00CB3700"/>
    <w:rsid w:val="00CC3E51"/>
    <w:rsid w:val="00CC4122"/>
    <w:rsid w:val="00CC46CC"/>
    <w:rsid w:val="00CC528A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B1C64"/>
    <w:rsid w:val="00EB3936"/>
    <w:rsid w:val="00EB5E27"/>
    <w:rsid w:val="00EC2162"/>
    <w:rsid w:val="00EC6FEC"/>
    <w:rsid w:val="00EC7AD7"/>
    <w:rsid w:val="00ED14C7"/>
    <w:rsid w:val="00ED28D2"/>
    <w:rsid w:val="00EE05F9"/>
    <w:rsid w:val="00EE5EA7"/>
    <w:rsid w:val="00EE7EC4"/>
    <w:rsid w:val="00EF324E"/>
    <w:rsid w:val="00EF352B"/>
    <w:rsid w:val="00EF4159"/>
    <w:rsid w:val="00EF5BDA"/>
    <w:rsid w:val="00F07423"/>
    <w:rsid w:val="00F10652"/>
    <w:rsid w:val="00F2252C"/>
    <w:rsid w:val="00F30994"/>
    <w:rsid w:val="00F32163"/>
    <w:rsid w:val="00F35E8D"/>
    <w:rsid w:val="00F3748B"/>
    <w:rsid w:val="00F4477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E6CF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F6A8-D67F-479A-8D56-BD725DC6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46</cp:revision>
  <cp:lastPrinted>2019-12-04T08:00:00Z</cp:lastPrinted>
  <dcterms:created xsi:type="dcterms:W3CDTF">2024-10-31T11:03:00Z</dcterms:created>
  <dcterms:modified xsi:type="dcterms:W3CDTF">2025-02-11T07:45:00Z</dcterms:modified>
</cp:coreProperties>
</file>