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3D7F52" w:rsidRDefault="00EE1753" w:rsidP="00EE1753">
      <w:pPr>
        <w:spacing w:after="120" w:line="20" w:lineRule="atLeast"/>
        <w:contextualSpacing/>
        <w:jc w:val="right"/>
        <w:rPr>
          <w:rFonts w:cstheme="minorHAnsi"/>
          <w:iCs/>
          <w:color w:val="000000" w:themeColor="text1"/>
          <w:sz w:val="22"/>
          <w:szCs w:val="22"/>
        </w:rPr>
      </w:pPr>
      <w:r w:rsidRPr="003D7F52">
        <w:rPr>
          <w:rFonts w:cstheme="minorHAnsi"/>
          <w:iCs/>
          <w:color w:val="000000" w:themeColor="text1"/>
          <w:sz w:val="22"/>
          <w:szCs w:val="22"/>
        </w:rPr>
        <w:t>Viešojo pirkimo komisijos</w:t>
      </w:r>
    </w:p>
    <w:p w14:paraId="733B86AC" w14:textId="733C69CC" w:rsidR="00EE1753" w:rsidRPr="003D7F52" w:rsidRDefault="00EE1753" w:rsidP="00EE1753">
      <w:pPr>
        <w:spacing w:after="120" w:line="20" w:lineRule="atLeast"/>
        <w:contextualSpacing/>
        <w:jc w:val="right"/>
        <w:rPr>
          <w:rFonts w:cstheme="minorHAnsi"/>
          <w:iCs/>
          <w:color w:val="000000" w:themeColor="text1"/>
          <w:sz w:val="22"/>
          <w:szCs w:val="22"/>
        </w:rPr>
      </w:pPr>
      <w:r w:rsidRPr="003D7F52">
        <w:rPr>
          <w:rFonts w:cstheme="minorHAnsi"/>
          <w:iCs/>
          <w:color w:val="000000" w:themeColor="text1"/>
          <w:sz w:val="22"/>
          <w:szCs w:val="22"/>
        </w:rPr>
        <w:t xml:space="preserve">posėdžio </w:t>
      </w:r>
      <w:r w:rsidRPr="003D7F52">
        <w:rPr>
          <w:rFonts w:cstheme="minorHAnsi"/>
          <w:iCs/>
          <w:sz w:val="22"/>
          <w:szCs w:val="22"/>
        </w:rPr>
        <w:t>202</w:t>
      </w:r>
      <w:r w:rsidR="00EF12D5">
        <w:rPr>
          <w:rFonts w:cstheme="minorHAnsi"/>
          <w:iCs/>
          <w:sz w:val="22"/>
          <w:szCs w:val="22"/>
        </w:rPr>
        <w:t>5</w:t>
      </w:r>
      <w:r w:rsidRPr="003D7F52">
        <w:rPr>
          <w:rFonts w:cstheme="minorHAnsi"/>
          <w:iCs/>
          <w:sz w:val="22"/>
          <w:szCs w:val="22"/>
        </w:rPr>
        <w:t xml:space="preserve"> m.</w:t>
      </w:r>
      <w:r w:rsidR="002018FC" w:rsidRPr="003D7F52">
        <w:rPr>
          <w:rFonts w:cstheme="minorHAnsi"/>
          <w:iCs/>
          <w:sz w:val="22"/>
          <w:szCs w:val="22"/>
        </w:rPr>
        <w:t xml:space="preserve"> </w:t>
      </w:r>
      <w:r w:rsidR="00EF12D5">
        <w:rPr>
          <w:rFonts w:cstheme="minorHAnsi"/>
          <w:iCs/>
          <w:color w:val="000000" w:themeColor="text1"/>
          <w:sz w:val="22"/>
          <w:szCs w:val="22"/>
        </w:rPr>
        <w:t>vasario 10</w:t>
      </w:r>
      <w:r w:rsidR="009609A6" w:rsidRPr="003D7F52">
        <w:rPr>
          <w:rFonts w:cstheme="minorHAnsi"/>
          <w:iCs/>
          <w:color w:val="000000" w:themeColor="text1"/>
          <w:sz w:val="22"/>
          <w:szCs w:val="22"/>
        </w:rPr>
        <w:t xml:space="preserve"> </w:t>
      </w:r>
      <w:r w:rsidR="00304AC0" w:rsidRPr="003D7F52">
        <w:rPr>
          <w:rFonts w:cstheme="minorHAnsi"/>
          <w:iCs/>
          <w:color w:val="000000" w:themeColor="text1"/>
          <w:sz w:val="22"/>
          <w:szCs w:val="22"/>
        </w:rPr>
        <w:t xml:space="preserve"> </w:t>
      </w:r>
      <w:r w:rsidRPr="003D7F52">
        <w:rPr>
          <w:rFonts w:cstheme="minorHAnsi"/>
          <w:iCs/>
          <w:color w:val="000000" w:themeColor="text1"/>
          <w:sz w:val="22"/>
          <w:szCs w:val="22"/>
        </w:rPr>
        <w:t xml:space="preserve">d. </w:t>
      </w:r>
    </w:p>
    <w:p w14:paraId="57B009B9" w14:textId="258CE3AA" w:rsidR="00927B1F" w:rsidRPr="003D7F52" w:rsidRDefault="00EE1753" w:rsidP="00EE1753">
      <w:pPr>
        <w:spacing w:after="120" w:line="20" w:lineRule="atLeast"/>
        <w:contextualSpacing/>
        <w:jc w:val="right"/>
        <w:rPr>
          <w:rFonts w:cstheme="minorHAnsi"/>
          <w:iCs/>
          <w:sz w:val="22"/>
          <w:szCs w:val="22"/>
        </w:rPr>
      </w:pPr>
      <w:r w:rsidRPr="003D7F52">
        <w:rPr>
          <w:rFonts w:cstheme="minorHAnsi"/>
          <w:iCs/>
          <w:color w:val="000000" w:themeColor="text1"/>
          <w:sz w:val="22"/>
          <w:szCs w:val="22"/>
        </w:rPr>
        <w:t xml:space="preserve">protokolu Nr. </w:t>
      </w:r>
      <w:r w:rsidR="00EF12D5">
        <w:rPr>
          <w:rFonts w:cstheme="minorHAnsi"/>
          <w:iCs/>
          <w:sz w:val="22"/>
          <w:szCs w:val="22"/>
        </w:rPr>
        <w:t>17801</w:t>
      </w:r>
      <w:r w:rsidR="0012521C">
        <w:rPr>
          <w:rFonts w:cstheme="minorHAnsi"/>
          <w:iCs/>
          <w:sz w:val="22"/>
          <w:szCs w:val="22"/>
        </w:rPr>
        <w:t>-</w:t>
      </w:r>
      <w:r w:rsidR="00E75613">
        <w:rPr>
          <w:rFonts w:cstheme="minorHAnsi"/>
          <w:iCs/>
          <w:sz w:val="22"/>
          <w:szCs w:val="22"/>
        </w:rPr>
        <w:t>1</w:t>
      </w:r>
    </w:p>
    <w:p w14:paraId="4DAA7510" w14:textId="1673F71B" w:rsidR="00EE1753" w:rsidRPr="00304AC0" w:rsidRDefault="00927B1F" w:rsidP="00EE1753">
      <w:pPr>
        <w:spacing w:after="120" w:line="20" w:lineRule="atLeast"/>
        <w:contextualSpacing/>
        <w:jc w:val="right"/>
        <w:rPr>
          <w:rFonts w:cstheme="minorHAnsi"/>
          <w:iCs/>
          <w:sz w:val="22"/>
          <w:szCs w:val="22"/>
        </w:rPr>
      </w:pPr>
      <w:r w:rsidRPr="003D7F52">
        <w:rPr>
          <w:rFonts w:cstheme="minorHAnsi"/>
          <w:iCs/>
          <w:sz w:val="22"/>
          <w:szCs w:val="22"/>
        </w:rPr>
        <w:t xml:space="preserve">CVPIS Pirkimo Nr. </w:t>
      </w:r>
      <w:r w:rsidR="001D6B16">
        <w:rPr>
          <w:rFonts w:cstheme="minorHAnsi"/>
          <w:iCs/>
          <w:sz w:val="22"/>
          <w:szCs w:val="22"/>
        </w:rPr>
        <w:t>1133920</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12F286E3" w:rsidR="00D6296A" w:rsidRPr="00EB48CF" w:rsidRDefault="00D6296A" w:rsidP="00EB48CF">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921D93">
            <w:rPr>
              <w:rFonts w:cstheme="minorHAnsi"/>
              <w:b/>
              <w:bCs/>
              <w:sz w:val="28"/>
              <w:szCs w:val="28"/>
            </w:rPr>
            <w:t>Laboratorinė planetarinė maišyklė/ deaeratorius</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netaikoma</w:t>
          </w:r>
          <w:r w:rsidR="00072F49" w:rsidRPr="00F465EB">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CB1AFE" w:rsidRDefault="00BB28BD">
          <w:pPr>
            <w:pStyle w:val="TOC2"/>
            <w:rPr>
              <w:b w:val="0"/>
              <w:lang w:eastAsia="en-US"/>
            </w:rPr>
          </w:pPr>
          <w:hyperlink w:anchor="_Toc124404963" w:history="1">
            <w:r w:rsidRPr="00CB1AFE">
              <w:rPr>
                <w:rStyle w:val="Hyperlink"/>
                <w:b w:val="0"/>
              </w:rPr>
              <w:t>Pirkimo sąlygų 8 priedas „</w:t>
            </w:r>
          </w:hyperlink>
          <w:r w:rsidR="00D6296A" w:rsidRPr="00CB1AFE">
            <w:rPr>
              <w:b w:val="0"/>
              <w:lang w:eastAsia="en-US"/>
            </w:rPr>
            <w:t>Tiekėjo deklaracija dėl atitikties Reglamento nuostatoms juridiniam asmeniui”</w:t>
          </w:r>
          <w:r w:rsidR="00F145C7">
            <w:rPr>
              <w:b w:val="0"/>
              <w:lang w:eastAsia="en-US"/>
            </w:rPr>
            <w:t xml:space="preserve"> - netaikoma</w:t>
          </w:r>
        </w:p>
        <w:p w14:paraId="48FF975A" w14:textId="3CA7B411" w:rsidR="00BB28BD" w:rsidRPr="001A739C" w:rsidRDefault="00BB28BD" w:rsidP="009973DB">
          <w:pPr>
            <w:spacing w:after="0"/>
            <w:rPr>
              <w:b/>
            </w:rPr>
          </w:pPr>
          <w:hyperlink w:anchor="_Toc124404964" w:history="1">
            <w:r w:rsidRPr="00CB1AFE">
              <w:rPr>
                <w:rStyle w:val="Hyperlink"/>
                <w:noProof/>
              </w:rPr>
              <w:t>Pirkimo sąlygų 9 priedas „</w:t>
            </w:r>
            <w:r w:rsidR="00D6296A" w:rsidRPr="00CB1AFE">
              <w:rPr>
                <w:rStyle w:val="Hyperlink"/>
                <w:noProof/>
              </w:rPr>
              <w:t xml:space="preserve">Tiekėjo deklaracija dėl atitikties Reglamento nuostatoms fiziniam asmeniui </w:t>
            </w:r>
            <w:r w:rsidRPr="00CB1AFE">
              <w:rPr>
                <w:rStyle w:val="Hyperlink"/>
                <w:noProof/>
              </w:rPr>
              <w:t>“</w:t>
            </w:r>
          </w:hyperlink>
          <w:r w:rsidR="00F145C7">
            <w:rPr>
              <w:rStyle w:val="Hyperlink"/>
              <w:noProof/>
            </w:rPr>
            <w:t xml:space="preserve"> - 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netaikoma</w:t>
          </w:r>
          <w:r w:rsidR="00EE1753">
            <w:rPr>
              <w:rStyle w:val="Hyperlink"/>
              <w:noProof/>
            </w:rPr>
            <w:t>.</w:t>
          </w:r>
        </w:p>
        <w:p w14:paraId="445CB12C" w14:textId="4AA27F5C"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bendrosios sąlygos“</w:t>
          </w:r>
        </w:p>
        <w:p w14:paraId="3305C917" w14:textId="000493B0"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7FE57EB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Prekių pirkimo-pardavimo sutarties 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r w:rsidRPr="00623077">
        <w:rPr>
          <w:rFonts w:cstheme="minorHAnsi"/>
          <w:i/>
          <w:iCs/>
          <w:color w:val="000000" w:themeColor="text1"/>
          <w:lang w:eastAsia="en-US"/>
        </w:rPr>
        <w:t>ex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33E3C5DB" w:rsidR="00C2037E" w:rsidRPr="00710A3C"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FD762D">
        <w:rPr>
          <w:rFonts w:eastAsia="Times New Roman" w:cstheme="minorHAnsi"/>
          <w:b/>
          <w:color w:val="000000" w:themeColor="text1"/>
        </w:rPr>
        <w:t>1024008</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8554AF8" w14:textId="68F4B58A" w:rsidR="00710A3C" w:rsidRPr="00597827" w:rsidRDefault="00710A3C" w:rsidP="00710A3C">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Pr="0000154F">
          <w:rPr>
            <w:rStyle w:val="Hyperlink"/>
            <w:rFonts w:cstheme="minorHAnsi"/>
            <w:sz w:val="20"/>
            <w:szCs w:val="20"/>
          </w:rPr>
          <w:t>renata.aukstikalniene@ktu.lt</w:t>
        </w:r>
      </w:hyperlink>
      <w:r w:rsidRPr="00597827">
        <w:rPr>
          <w:rFonts w:cstheme="minorHAnsi"/>
          <w:sz w:val="20"/>
          <w:szCs w:val="20"/>
        </w:rPr>
        <w:t xml:space="preserve">, tel. </w:t>
      </w:r>
      <w:r>
        <w:rPr>
          <w:rFonts w:cstheme="minorHAnsi"/>
          <w:sz w:val="20"/>
          <w:szCs w:val="20"/>
        </w:rPr>
        <w:t>N</w:t>
      </w:r>
      <w:r w:rsidRPr="00597827">
        <w:rPr>
          <w:rFonts w:cstheme="minorHAnsi"/>
          <w:sz w:val="20"/>
          <w:szCs w:val="20"/>
        </w:rPr>
        <w:t>r. +370</w:t>
      </w:r>
      <w:r>
        <w:rPr>
          <w:rFonts w:cstheme="minorHAnsi"/>
          <w:sz w:val="20"/>
          <w:szCs w:val="20"/>
        </w:rPr>
        <w:t> </w:t>
      </w:r>
      <w:r w:rsidRPr="00597827">
        <w:rPr>
          <w:rFonts w:cstheme="minorHAnsi"/>
          <w:sz w:val="20"/>
          <w:szCs w:val="20"/>
        </w:rPr>
        <w:t>6</w:t>
      </w:r>
      <w:r>
        <w:rPr>
          <w:rFonts w:cstheme="minorHAnsi"/>
          <w:sz w:val="20"/>
          <w:szCs w:val="20"/>
        </w:rPr>
        <w:t xml:space="preserve">48 11 451. </w:t>
      </w:r>
    </w:p>
    <w:p w14:paraId="52E2CC0C" w14:textId="77777777" w:rsidR="00710A3C" w:rsidRPr="00623077" w:rsidRDefault="00710A3C" w:rsidP="00710A3C">
      <w:pPr>
        <w:pStyle w:val="ListParagraph"/>
        <w:spacing w:after="0" w:line="240" w:lineRule="auto"/>
        <w:ind w:left="567"/>
        <w:jc w:val="both"/>
        <w:rPr>
          <w:rFonts w:cstheme="minorHAnsi"/>
          <w:color w:val="000000" w:themeColor="text1"/>
        </w:rPr>
      </w:pP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0B7B0A50" w14:textId="00AFF94C"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283FE9">
        <w:rPr>
          <w:rStyle w:val="Hyperlink"/>
          <w:color w:val="000000" w:themeColor="text1"/>
        </w:rPr>
        <w:t>laboratorin</w:t>
      </w:r>
      <w:r w:rsidR="002A75B8">
        <w:rPr>
          <w:rStyle w:val="Hyperlink"/>
          <w:color w:val="000000" w:themeColor="text1"/>
        </w:rPr>
        <w:t>ę</w:t>
      </w:r>
      <w:r w:rsidR="005438E8">
        <w:rPr>
          <w:rStyle w:val="Hyperlink"/>
          <w:color w:val="000000" w:themeColor="text1"/>
        </w:rPr>
        <w:t xml:space="preserve"> planetarinę</w:t>
      </w:r>
      <w:r w:rsidR="002827CB">
        <w:rPr>
          <w:rStyle w:val="Hyperlink"/>
          <w:color w:val="000000" w:themeColor="text1"/>
        </w:rPr>
        <w:t xml:space="preserve"> maišyklę/deaeratorių, skirtą didelės klampos, įvairios </w:t>
      </w:r>
      <w:r w:rsidR="00013D92">
        <w:rPr>
          <w:rStyle w:val="Hyperlink"/>
          <w:color w:val="000000" w:themeColor="text1"/>
        </w:rPr>
        <w:t>sudėties homogeniniams mišiniams be oro molekulių gauti</w:t>
      </w:r>
      <w:r w:rsidR="00916B76">
        <w:rPr>
          <w:rStyle w:val="Hyperlink"/>
          <w:color w:val="000000" w:themeColor="text1"/>
        </w:rPr>
        <w:t xml:space="preserve"> </w:t>
      </w:r>
      <w:r w:rsidR="00F61B56" w:rsidRPr="00A70481">
        <w:rPr>
          <w:rStyle w:val="Hyperlink"/>
          <w:color w:val="000000" w:themeColor="text1"/>
        </w:rPr>
        <w:t>Kauno technologijos universiteto kuriamam SmartEcoTech kompetencijų centrui („Sumani ir klimatui neutrali Lietuva“)</w:t>
      </w:r>
      <w:r w:rsidR="00723642" w:rsidRPr="00A704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6C37FC" w:rsidRPr="00A70481">
        <w:rPr>
          <w:rStyle w:val="Hyperlink"/>
          <w:color w:val="000000" w:themeColor="text1"/>
        </w:rPr>
        <w:t>38</w:t>
      </w:r>
      <w:r w:rsidR="00916B76">
        <w:rPr>
          <w:rStyle w:val="Hyperlink"/>
          <w:color w:val="000000" w:themeColor="text1"/>
        </w:rPr>
        <w:t>970000-5</w:t>
      </w:r>
      <w:r w:rsidR="006C37FC" w:rsidRPr="00A70481">
        <w:rPr>
          <w:rStyle w:val="Hyperlink"/>
          <w:color w:val="000000" w:themeColor="text1"/>
        </w:rPr>
        <w:t xml:space="preserve"> </w:t>
      </w:r>
      <w:bookmarkEnd w:id="9"/>
      <w:r w:rsidR="00042408">
        <w:rPr>
          <w:rStyle w:val="Hyperlink"/>
          <w:color w:val="000000" w:themeColor="text1"/>
        </w:rPr>
        <w:t>Tyrimų, bandymų ir moksliniai techniniai imituokliai</w:t>
      </w:r>
      <w:r w:rsidR="00D60DCA" w:rsidRPr="00A70481">
        <w:rPr>
          <w:rStyle w:val="Hyperlink"/>
          <w:color w:val="000000" w:themeColor="text1"/>
        </w:rPr>
        <w:t>.</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33E9B37B" w14:textId="06D9A281" w:rsidR="00044795" w:rsidRPr="00044795" w:rsidRDefault="00496E27" w:rsidP="00044795">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044795" w:rsidRPr="00044795">
        <w:rPr>
          <w:rStyle w:val="Hyperlink"/>
          <w:color w:val="000000" w:themeColor="text1"/>
        </w:rPr>
        <w:t xml:space="preserve">Pirkimo objekto į dalis </w:t>
      </w:r>
      <w:r w:rsidR="0085577C">
        <w:rPr>
          <w:rStyle w:val="Hyperlink"/>
          <w:color w:val="000000" w:themeColor="text1"/>
        </w:rPr>
        <w:t>neskaidomas</w:t>
      </w:r>
      <w:r w:rsidR="006011E0">
        <w:rPr>
          <w:rStyle w:val="Hyperlink"/>
          <w:color w:val="000000" w:themeColor="text1"/>
        </w:rPr>
        <w:t xml:space="preserve">, nes </w:t>
      </w:r>
      <w:r w:rsidR="00044795" w:rsidRPr="00044795">
        <w:rPr>
          <w:rStyle w:val="Hyperlink"/>
          <w:color w:val="000000" w:themeColor="text1"/>
        </w:rPr>
        <w:t xml:space="preserve"> perkamas vienas prietaisas, kurio visos dalys turi būti tarpusavyje suderintos,  užtikrinant nuoseklų darbą bei rezultatų patikimumą ir palyginamumą. Pirkimo objektą skaidant į dalis  būtų neįmanoma užtikrinti optimalaus sistemos funkcionalumo. </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8"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8"/>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Pr="004F7E04" w:rsidRDefault="00507D90" w:rsidP="00D43DD0">
      <w:pPr>
        <w:spacing w:after="0" w:line="240" w:lineRule="auto"/>
        <w:ind w:firstLine="567"/>
        <w:jc w:val="both"/>
        <w:rPr>
          <w:color w:val="000000" w:themeColor="text1"/>
        </w:rPr>
      </w:pPr>
      <w:r w:rsidRPr="00507D90">
        <w:t xml:space="preserve">5.1. </w:t>
      </w:r>
      <w:r w:rsidRPr="004F7E04">
        <w:rPr>
          <w:color w:val="000000" w:themeColor="text1"/>
        </w:rPr>
        <w:t xml:space="preserve">Pirkimui taikomos Reglamento nuostatos. Kartu su pasiūlymu tiekėjas turi pateikti užpildytą deklaraciją dėl (ne)atitikties Reglamento nuostatoms, kuri pateikta Pirkimo sąlygų </w:t>
      </w:r>
      <w:r w:rsidR="00AC0B5B" w:rsidRPr="004F7E04">
        <w:rPr>
          <w:color w:val="000000" w:themeColor="text1"/>
        </w:rPr>
        <w:t>12 priede („Tiekėjo/Subtiekėjo deklaracija“)</w:t>
      </w:r>
      <w:r w:rsidRPr="004F7E04">
        <w:rPr>
          <w:color w:val="000000" w:themeColor="text1"/>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4F7E04" w:rsidRDefault="00507D90" w:rsidP="00D43DD0">
      <w:pPr>
        <w:spacing w:after="0" w:line="240" w:lineRule="auto"/>
        <w:ind w:firstLine="567"/>
        <w:jc w:val="both"/>
        <w:rPr>
          <w:color w:val="000000" w:themeColor="text1"/>
        </w:rPr>
      </w:pPr>
      <w:bookmarkStart w:id="20" w:name="part_0bf49b47971946ecbbec156f895bdd28"/>
      <w:bookmarkStart w:id="21" w:name="part_ce0c1ec65cd04504a5c7e7a6019a52b2"/>
      <w:bookmarkEnd w:id="20"/>
      <w:bookmarkEnd w:id="21"/>
      <w:r w:rsidRPr="004F7E04">
        <w:rPr>
          <w:color w:val="000000" w:themeColor="text1"/>
        </w:rPr>
        <w:t xml:space="preserve">5.2. </w:t>
      </w:r>
      <w:r w:rsidR="00AC0B5B" w:rsidRPr="004F7E04">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4F7E04">
        <w:rPr>
          <w:color w:val="000000" w:themeColor="text1"/>
        </w:rPr>
        <w:t>.</w:t>
      </w:r>
    </w:p>
    <w:p w14:paraId="0F882D8C" w14:textId="17F6C68C" w:rsidR="00887B60" w:rsidRPr="004F7E04" w:rsidRDefault="00507D90" w:rsidP="00513008">
      <w:pPr>
        <w:spacing w:after="0" w:line="240" w:lineRule="auto"/>
        <w:ind w:firstLine="567"/>
        <w:jc w:val="both"/>
        <w:rPr>
          <w:iCs/>
          <w:color w:val="000000" w:themeColor="text1"/>
        </w:rPr>
      </w:pPr>
      <w:r w:rsidRPr="004F7E04">
        <w:rPr>
          <w:color w:val="000000" w:themeColor="text1"/>
        </w:rPr>
        <w:t xml:space="preserve">5.3. </w:t>
      </w:r>
      <w:r w:rsidR="007E717B" w:rsidRPr="006006DD">
        <w:rPr>
          <w:color w:val="000000" w:themeColor="text1"/>
        </w:rPr>
        <w:t xml:space="preserve">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šį reikalavimą: jeigu pagal numatomą pasirašyti prekių, paslaugų ar darbų pirkimo sutartį lėšų gavėjo tikrasis (-ieji)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(-ųjų) savininko (-ų) (turinčio (-ių)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7E717B">
        <w:rPr>
          <w:color w:val="000000" w:themeColor="text1"/>
        </w:rPr>
        <w:t>Laimėjusiu nustatytas tiekėjas šiuos duomenis privalo pateikti iki pirkimo sutarties sudarymo. Tiekėjui nepateikus šių duomenų, Perkančioji organizacija laikys, kad tiekėjas atsisako sudaryti sutartį.</w:t>
      </w:r>
    </w:p>
    <w:p w14:paraId="16CD2A30" w14:textId="674E7890" w:rsidR="00507D90" w:rsidRPr="004F7E04" w:rsidRDefault="00380DEB" w:rsidP="00D43DD0">
      <w:pPr>
        <w:spacing w:after="0" w:line="240" w:lineRule="auto"/>
        <w:ind w:firstLine="567"/>
        <w:jc w:val="both"/>
        <w:rPr>
          <w:i/>
          <w:color w:val="000000" w:themeColor="text1"/>
        </w:rPr>
      </w:pPr>
      <w:r w:rsidRPr="004F7E04">
        <w:rPr>
          <w:color w:val="000000" w:themeColor="text1"/>
        </w:rPr>
        <w:t>5.</w:t>
      </w:r>
      <w:r w:rsidR="00897DD4">
        <w:rPr>
          <w:color w:val="000000" w:themeColor="text1"/>
        </w:rPr>
        <w:t>5</w:t>
      </w:r>
      <w:r w:rsidRPr="004F7E04">
        <w:rPr>
          <w:color w:val="000000" w:themeColor="text1"/>
        </w:rPr>
        <w:t xml:space="preserve">. </w:t>
      </w:r>
      <w:r w:rsidR="00507D90" w:rsidRPr="004F7E04">
        <w:rPr>
          <w:color w:val="000000" w:themeColor="text1"/>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25A18117" w:rsidR="009A61DC" w:rsidRPr="007B7589" w:rsidRDefault="007B7589" w:rsidP="007B7589">
      <w:pPr>
        <w:pStyle w:val="ListParagraph"/>
        <w:numPr>
          <w:ilvl w:val="2"/>
          <w:numId w:val="11"/>
        </w:numPr>
        <w:spacing w:after="0" w:line="240" w:lineRule="auto"/>
        <w:ind w:left="0" w:firstLine="709"/>
        <w:jc w:val="both"/>
        <w:rPr>
          <w:u w:val="single"/>
        </w:rPr>
      </w:pPr>
      <w:r>
        <w:t>t</w:t>
      </w:r>
      <w:r w:rsidR="003F0DA7" w:rsidRPr="001D41A8">
        <w:t xml:space="preserve">iekėjo pasirašytas pasiūlymas, parengtas pagal </w:t>
      </w:r>
      <w:r w:rsidR="008F7F9A" w:rsidRPr="001D41A8">
        <w:t>P</w:t>
      </w:r>
      <w:r w:rsidR="00551FA7" w:rsidRPr="001D41A8">
        <w:t xml:space="preserve">irkimo </w:t>
      </w:r>
      <w:r w:rsidR="00476F8C" w:rsidRPr="001D41A8">
        <w:t>sąlygų</w:t>
      </w:r>
      <w:r w:rsidR="00DE5F20" w:rsidRPr="001D41A8">
        <w:t xml:space="preserve"> </w:t>
      </w:r>
      <w:r w:rsidR="00FE3494" w:rsidRPr="001D41A8">
        <w:rPr>
          <w:rFonts w:cstheme="minorHAnsi"/>
          <w:shd w:val="clear" w:color="auto" w:fill="FFFFFF"/>
        </w:rPr>
        <w:t xml:space="preserve">6 </w:t>
      </w:r>
      <w:r w:rsidR="00FE3494" w:rsidRPr="001D41A8">
        <w:rPr>
          <w:rFonts w:eastAsiaTheme="minorHAnsi" w:cstheme="minorHAnsi"/>
          <w:bCs/>
          <w:iCs/>
        </w:rPr>
        <w:t xml:space="preserve">priede „Pasiūlymo forma“ </w:t>
      </w:r>
      <w:r w:rsidR="003F0DA7" w:rsidRPr="001D41A8">
        <w:t>pateiktą pasiūlymo formą.</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lastRenderedPageBreak/>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5F6ABB2C"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pagrindžiančius dokumentus</w:t>
      </w:r>
      <w:r w:rsidR="00332B78" w:rsidRPr="000E0CAF">
        <w:t xml:space="preserve"> (nurodyta pirkimo s</w:t>
      </w:r>
      <w:r w:rsidR="000E0CAF" w:rsidRPr="000E0CAF">
        <w:t xml:space="preserve">ąlygų 2 priede „Techninė specifikacija“). </w:t>
      </w:r>
    </w:p>
    <w:p w14:paraId="684ABF15" w14:textId="07F8906B" w:rsidR="008E485C" w:rsidRDefault="00991586" w:rsidP="007B7589">
      <w:pPr>
        <w:pStyle w:val="ListParagraph"/>
        <w:numPr>
          <w:ilvl w:val="2"/>
          <w:numId w:val="11"/>
        </w:numPr>
        <w:spacing w:after="0" w:line="240" w:lineRule="auto"/>
        <w:ind w:left="0" w:firstLine="709"/>
        <w:jc w:val="both"/>
      </w:pPr>
      <w:r>
        <w:t>atitiktį Pirkimo sąlygų 2 priede „Techninė specifikacija“ nustatytiems aplinkos apsaugos reikalavimams įrodantys dokumentai (</w:t>
      </w:r>
      <w:r w:rsidRPr="000E0CAF">
        <w:t>nurodyt</w:t>
      </w:r>
      <w:r>
        <w:t>i</w:t>
      </w:r>
      <w:r w:rsidRPr="000E0CAF">
        <w:t xml:space="preserve"> pirkimo sąlygų 2 priede „Techninė specifikacija“</w:t>
      </w:r>
      <w:r>
        <w:t>).</w:t>
      </w:r>
    </w:p>
    <w:p w14:paraId="22ECECE6" w14:textId="77777777" w:rsidR="00111B68" w:rsidRDefault="00111B68" w:rsidP="00111B68">
      <w:pPr>
        <w:pStyle w:val="ListParagraph"/>
        <w:numPr>
          <w:ilvl w:val="2"/>
          <w:numId w:val="11"/>
        </w:numPr>
        <w:spacing w:after="0" w:line="240" w:lineRule="auto"/>
        <w:ind w:left="0" w:firstLine="709"/>
        <w:jc w:val="both"/>
      </w:pPr>
      <w:r>
        <w:t xml:space="preserve"> Užpildyta tiekėjo deklaracija (pirkimo sąlygų 12 priedas).</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48005F6F"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EE44B0" w:rsidRPr="001D41A8">
        <w:t xml:space="preserve">, </w:t>
      </w:r>
      <w:r w:rsidR="00EE44B0" w:rsidRPr="001D41A8">
        <w:rPr>
          <w:rFonts w:eastAsia="Arial"/>
        </w:rPr>
        <w:t xml:space="preserve">susirašinėjimas tarp tiekėjo ir </w:t>
      </w:r>
      <w:r w:rsidR="00EE44B0" w:rsidRPr="001D41A8">
        <w:t xml:space="preserve">perkančiosios organizacijos </w:t>
      </w:r>
      <w:r w:rsidR="00EE44B0" w:rsidRPr="001D41A8">
        <w:rPr>
          <w:rFonts w:eastAsia="Arial"/>
        </w:rPr>
        <w:t>vykdomas</w:t>
      </w:r>
      <w:r w:rsidR="0048587E" w:rsidRPr="001D41A8">
        <w:t xml:space="preserve"> lietuvių kalba</w:t>
      </w:r>
      <w:r w:rsidR="00D17972" w:rsidRPr="001D41A8">
        <w:rPr>
          <w:color w:val="7030A0"/>
        </w:rPr>
        <w:t>.</w:t>
      </w:r>
      <w:r w:rsidR="0048587E" w:rsidRPr="001D41A8">
        <w:rPr>
          <w:color w:val="7030A0"/>
        </w:rPr>
        <w:t xml:space="preserve"> </w:t>
      </w:r>
      <w:r w:rsidR="00FE3494" w:rsidRPr="001D41A8">
        <w:t>Dokumentai, įrodantys pasiūlymo atitikimą Pirkimo sąlygose nurodytiems reikalavimams, turi būti teikiami lietuvių arba anglų kalba.</w:t>
      </w:r>
      <w:r w:rsidR="00FE3494"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A6607" w:rsidRPr="001D41A8">
        <w:rPr>
          <w:rFonts w:eastAsia="Arial"/>
        </w:rPr>
        <w:t xml:space="preserve"> arba perkančiajai organizacijai paprašius, tiekėjas turės pateikti</w:t>
      </w:r>
      <w:r w:rsidR="003F1D78" w:rsidRPr="001D41A8">
        <w:rPr>
          <w:rFonts w:eastAsia="Arial"/>
        </w:rPr>
        <w:t xml:space="preserve"> tiksl</w:t>
      </w:r>
      <w:r w:rsidR="001A6607" w:rsidRPr="001D41A8">
        <w:rPr>
          <w:rFonts w:eastAsia="Arial"/>
        </w:rPr>
        <w:t>ų</w:t>
      </w:r>
      <w:r w:rsidR="003F1D78" w:rsidRPr="001D41A8">
        <w:rPr>
          <w:rFonts w:eastAsia="Arial"/>
        </w:rPr>
        <w:t xml:space="preserve"> vertim</w:t>
      </w:r>
      <w:r w:rsidR="001A6607" w:rsidRPr="001D41A8">
        <w:rPr>
          <w:rFonts w:eastAsia="Arial"/>
        </w:rPr>
        <w:t>ą</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3"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3"/>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lastRenderedPageBreak/>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151FF866"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Prekių pirkimo-pardavimo sutarties bendrosios sąlygos</w:t>
      </w:r>
      <w:r w:rsidR="00D86901" w:rsidRPr="00FD4C13">
        <w:t>“</w:t>
      </w:r>
      <w:r w:rsidR="00F27D7C">
        <w:t xml:space="preserve"> ir 11.2 priede „Sutarties projekto Prekių pirkimo-pardavimo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C19A639" w14:textId="0674F59B" w:rsidR="00B24CC8" w:rsidRPr="00B24CC8" w:rsidRDefault="00B24CC8" w:rsidP="00B24CC8">
      <w:pPr>
        <w:shd w:val="clear" w:color="auto" w:fill="FFFFFF"/>
        <w:spacing w:after="0" w:line="240" w:lineRule="auto"/>
        <w:ind w:firstLine="567"/>
        <w:jc w:val="both"/>
        <w:rPr>
          <w:rFonts w:eastAsia="Calibri" w:cstheme="minorHAnsi"/>
        </w:rPr>
      </w:pPr>
      <w:r>
        <w:rPr>
          <w:rFonts w:eastAsia="Calibri" w:cstheme="minorHAnsi"/>
        </w:rPr>
        <w:t xml:space="preserve">11.1. </w:t>
      </w:r>
      <w:r w:rsidRPr="00B24CC8">
        <w:rPr>
          <w:rFonts w:eastAsia="Calibri" w:cstheme="minorHAnsi"/>
        </w:rPr>
        <w:t xml:space="preserve">Pagalbinė medžiaga tiekėjams kaip sėkmingai sudalyvauti viešajame pirkime bei pateikti tinkamą ir priimtiną pasiūlymą </w:t>
      </w:r>
      <w:hyperlink r:id="rId14" w:history="1">
        <w:r w:rsidRPr="00B24CC8">
          <w:rPr>
            <w:rStyle w:val="Hyperlink"/>
            <w:rFonts w:eastAsia="Calibri" w:cstheme="minorHAnsi"/>
            <w:color w:val="4472C4" w:themeColor="accent1"/>
          </w:rPr>
          <w:t>http://vpt.lrv.lt/lt/naujienos/kaip-sekmingai-dalyvauti-viesuosiuose-pirkimuose-2020-metais</w:t>
        </w:r>
      </w:hyperlink>
      <w:r>
        <w:rPr>
          <w:rFonts w:eastAsia="Calibri" w:cstheme="minorHAnsi"/>
        </w:rPr>
        <w:t xml:space="preserve"> </w:t>
      </w:r>
    </w:p>
    <w:p w14:paraId="3F0AACDA" w14:textId="46523EAE"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38AA" w14:textId="77777777" w:rsidR="00DB0296" w:rsidRDefault="00DB0296" w:rsidP="00D05666">
      <w:r>
        <w:separator/>
      </w:r>
    </w:p>
  </w:endnote>
  <w:endnote w:type="continuationSeparator" w:id="0">
    <w:p w14:paraId="36C12C05" w14:textId="77777777" w:rsidR="00DB0296" w:rsidRDefault="00DB0296" w:rsidP="00D05666">
      <w:r>
        <w:continuationSeparator/>
      </w:r>
    </w:p>
  </w:endnote>
  <w:endnote w:type="continuationNotice" w:id="1">
    <w:p w14:paraId="620B4A2D" w14:textId="77777777" w:rsidR="00DB0296" w:rsidRDefault="00DB0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F895" w14:textId="77777777" w:rsidR="00DB0296" w:rsidRDefault="00DB0296" w:rsidP="00D05666">
      <w:r>
        <w:separator/>
      </w:r>
    </w:p>
  </w:footnote>
  <w:footnote w:type="continuationSeparator" w:id="0">
    <w:p w14:paraId="3BAF0BF9" w14:textId="77777777" w:rsidR="00DB0296" w:rsidRDefault="00DB0296" w:rsidP="00D05666">
      <w:r>
        <w:continuationSeparator/>
      </w:r>
    </w:p>
  </w:footnote>
  <w:footnote w:type="continuationNotice" w:id="1">
    <w:p w14:paraId="3B07FB30" w14:textId="77777777" w:rsidR="00DB0296" w:rsidRDefault="00DB02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F58"/>
    <w:rsid w:val="000D13D6"/>
    <w:rsid w:val="000D18E9"/>
    <w:rsid w:val="000D26D8"/>
    <w:rsid w:val="000D412D"/>
    <w:rsid w:val="000D4406"/>
    <w:rsid w:val="000D4B9C"/>
    <w:rsid w:val="000D4E2B"/>
    <w:rsid w:val="000D5C58"/>
    <w:rsid w:val="000D638A"/>
    <w:rsid w:val="000D71C2"/>
    <w:rsid w:val="000D7494"/>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51F4"/>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1B68"/>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2623"/>
    <w:rsid w:val="001D37D8"/>
    <w:rsid w:val="001D3C02"/>
    <w:rsid w:val="001D41A8"/>
    <w:rsid w:val="001D4C90"/>
    <w:rsid w:val="001D5752"/>
    <w:rsid w:val="001D612E"/>
    <w:rsid w:val="001D65F8"/>
    <w:rsid w:val="001D6B16"/>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188F"/>
    <w:rsid w:val="00411B94"/>
    <w:rsid w:val="00411BD7"/>
    <w:rsid w:val="0041208A"/>
    <w:rsid w:val="00413D2E"/>
    <w:rsid w:val="00413FA7"/>
    <w:rsid w:val="004147BD"/>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0BC"/>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008"/>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A60"/>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8E8"/>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F18"/>
    <w:rsid w:val="005C5BD5"/>
    <w:rsid w:val="005C63D8"/>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87F70"/>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E7F7A"/>
    <w:rsid w:val="006F1116"/>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A3C"/>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374"/>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17B"/>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85C"/>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1586"/>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2A1D"/>
    <w:rsid w:val="009E347C"/>
    <w:rsid w:val="009E3E43"/>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32A3"/>
    <w:rsid w:val="00AC32B0"/>
    <w:rsid w:val="00AC4934"/>
    <w:rsid w:val="00AC58DB"/>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1FB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5FDA"/>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2D83"/>
    <w:rsid w:val="00D53BF4"/>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3945"/>
    <w:rsid w:val="00D840DA"/>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296"/>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043"/>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4C29"/>
    <w:rsid w:val="00E75068"/>
    <w:rsid w:val="00E75613"/>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2D5"/>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45C7"/>
    <w:rsid w:val="00F1570A"/>
    <w:rsid w:val="00F166A2"/>
    <w:rsid w:val="00F167EE"/>
    <w:rsid w:val="00F170D1"/>
    <w:rsid w:val="00F17A1F"/>
    <w:rsid w:val="00F20241"/>
    <w:rsid w:val="00F207CB"/>
    <w:rsid w:val="00F211FE"/>
    <w:rsid w:val="00F217F8"/>
    <w:rsid w:val="00F21BAE"/>
    <w:rsid w:val="00F224B1"/>
    <w:rsid w:val="00F2293A"/>
    <w:rsid w:val="00F229DE"/>
    <w:rsid w:val="00F2342F"/>
    <w:rsid w:val="00F235F7"/>
    <w:rsid w:val="00F2421D"/>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C13"/>
    <w:rsid w:val="00FD51C2"/>
    <w:rsid w:val="00FD6EE2"/>
    <w:rsid w:val="00FD6FC4"/>
    <w:rsid w:val="00FD762D"/>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lt/naujienos/kaip-sekmingai-dalyvauti-viesuosiuose-pirkimuose-2020-metai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2453C"/>
    <w:rsid w:val="00064374"/>
    <w:rsid w:val="00076583"/>
    <w:rsid w:val="000B5F11"/>
    <w:rsid w:val="000D5568"/>
    <w:rsid w:val="00121A76"/>
    <w:rsid w:val="00140399"/>
    <w:rsid w:val="001632DA"/>
    <w:rsid w:val="001C6A92"/>
    <w:rsid w:val="001D18BE"/>
    <w:rsid w:val="00200D26"/>
    <w:rsid w:val="002255E2"/>
    <w:rsid w:val="002265A4"/>
    <w:rsid w:val="002D0E5F"/>
    <w:rsid w:val="00301D04"/>
    <w:rsid w:val="0030277A"/>
    <w:rsid w:val="00330EC5"/>
    <w:rsid w:val="003414B0"/>
    <w:rsid w:val="003637BA"/>
    <w:rsid w:val="00367DDD"/>
    <w:rsid w:val="00375482"/>
    <w:rsid w:val="003A4D27"/>
    <w:rsid w:val="003B4ADD"/>
    <w:rsid w:val="003D5954"/>
    <w:rsid w:val="003E1009"/>
    <w:rsid w:val="0040581C"/>
    <w:rsid w:val="004614EC"/>
    <w:rsid w:val="004F3C14"/>
    <w:rsid w:val="00500154"/>
    <w:rsid w:val="00534A60"/>
    <w:rsid w:val="00540040"/>
    <w:rsid w:val="00550AAA"/>
    <w:rsid w:val="00567A42"/>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7D99"/>
    <w:rsid w:val="00C55D2B"/>
    <w:rsid w:val="00C652B4"/>
    <w:rsid w:val="00CF42C4"/>
    <w:rsid w:val="00CF79BC"/>
    <w:rsid w:val="00D339F7"/>
    <w:rsid w:val="00D51297"/>
    <w:rsid w:val="00D93490"/>
    <w:rsid w:val="00DD790A"/>
    <w:rsid w:val="00E3610A"/>
    <w:rsid w:val="00E459F0"/>
    <w:rsid w:val="00E62043"/>
    <w:rsid w:val="00E73B7F"/>
    <w:rsid w:val="00EA3A53"/>
    <w:rsid w:val="00EE0598"/>
    <w:rsid w:val="00EE068A"/>
    <w:rsid w:val="00F12E4C"/>
    <w:rsid w:val="00F3161C"/>
    <w:rsid w:val="00F42947"/>
    <w:rsid w:val="00F8073A"/>
    <w:rsid w:val="00F94926"/>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2268</Words>
  <Characters>12934</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151</cp:revision>
  <cp:lastPrinted>2024-01-26T13:40:00Z</cp:lastPrinted>
  <dcterms:created xsi:type="dcterms:W3CDTF">2024-04-15T09:57:00Z</dcterms:created>
  <dcterms:modified xsi:type="dcterms:W3CDTF">2025-02-11T11:46:00Z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