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393DC9" w:rsidRDefault="00656C02" w:rsidP="00AE5856">
      <w:pPr>
        <w:jc w:val="center"/>
        <w:rPr>
          <w:b/>
          <w:sz w:val="22"/>
          <w:szCs w:val="22"/>
        </w:rPr>
      </w:pPr>
    </w:p>
    <w:p w14:paraId="6112F8F6" w14:textId="1FA1E1DE" w:rsidR="00393DC9" w:rsidRDefault="000636B5" w:rsidP="00AE5856">
      <w:pPr>
        <w:jc w:val="center"/>
        <w:rPr>
          <w:rFonts w:cstheme="minorHAnsi"/>
          <w:b/>
          <w:bCs/>
          <w:sz w:val="28"/>
          <w:szCs w:val="28"/>
        </w:rPr>
      </w:pPr>
      <w:r>
        <w:rPr>
          <w:b/>
          <w:color w:val="000000" w:themeColor="text1"/>
          <w:sz w:val="28"/>
          <w:szCs w:val="28"/>
        </w:rPr>
        <w:t>LABORATORIN</w:t>
      </w:r>
      <w:r w:rsidR="008D56F6">
        <w:rPr>
          <w:b/>
          <w:color w:val="000000" w:themeColor="text1"/>
          <w:sz w:val="28"/>
          <w:szCs w:val="28"/>
        </w:rPr>
        <w:t>Ė PLANETARINĖ MAIŠYKLĖ/ DEAERATORIUS</w:t>
      </w:r>
      <w:r w:rsidR="00463F1F">
        <w:rPr>
          <w:b/>
          <w:color w:val="000000" w:themeColor="text1"/>
          <w:sz w:val="28"/>
          <w:szCs w:val="28"/>
        </w:rPr>
        <w:t xml:space="preserve"> </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5F3DF3AF" w:rsidR="00362069" w:rsidRPr="00AC56CE" w:rsidRDefault="005B74B9" w:rsidP="00F44DAD">
            <w:pPr>
              <w:rPr>
                <w:color w:val="000000" w:themeColor="text1"/>
              </w:rPr>
            </w:pPr>
            <w:r>
              <w:rPr>
                <w:rFonts w:cstheme="minorHAnsi"/>
                <w:bCs/>
                <w:sz w:val="22"/>
                <w:szCs w:val="22"/>
              </w:rPr>
              <w:t>Laboratorin</w:t>
            </w:r>
            <w:r w:rsidR="008D56F6">
              <w:rPr>
                <w:rFonts w:cstheme="minorHAnsi"/>
                <w:bCs/>
                <w:sz w:val="22"/>
                <w:szCs w:val="22"/>
              </w:rPr>
              <w:t>ė</w:t>
            </w:r>
            <w:r w:rsidR="00454B65">
              <w:rPr>
                <w:rFonts w:cstheme="minorHAnsi"/>
                <w:bCs/>
                <w:sz w:val="22"/>
                <w:szCs w:val="22"/>
              </w:rPr>
              <w:t xml:space="preserve"> planetarinė maišyklė/ </w:t>
            </w:r>
            <w:proofErr w:type="spellStart"/>
            <w:r w:rsidR="00454B65">
              <w:rPr>
                <w:rFonts w:cstheme="minorHAnsi"/>
                <w:bCs/>
                <w:sz w:val="22"/>
                <w:szCs w:val="22"/>
              </w:rPr>
              <w:t>deaeratorius</w:t>
            </w:r>
            <w:proofErr w:type="spellEnd"/>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10E6" w14:textId="77777777" w:rsidR="000A40C2" w:rsidRDefault="000A40C2" w:rsidP="00D5620E">
      <w:r>
        <w:separator/>
      </w:r>
    </w:p>
  </w:endnote>
  <w:endnote w:type="continuationSeparator" w:id="0">
    <w:p w14:paraId="0FEB2747" w14:textId="77777777" w:rsidR="000A40C2" w:rsidRDefault="000A40C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680C" w14:textId="77777777" w:rsidR="000A40C2" w:rsidRDefault="000A40C2" w:rsidP="00D5620E">
      <w:r>
        <w:separator/>
      </w:r>
    </w:p>
  </w:footnote>
  <w:footnote w:type="continuationSeparator" w:id="0">
    <w:p w14:paraId="589AAF73" w14:textId="77777777" w:rsidR="000A40C2" w:rsidRDefault="000A40C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2082"/>
    <w:rsid w:val="00245418"/>
    <w:rsid w:val="00247D60"/>
    <w:rsid w:val="00257011"/>
    <w:rsid w:val="00257044"/>
    <w:rsid w:val="00261BF3"/>
    <w:rsid w:val="00265992"/>
    <w:rsid w:val="00265DB2"/>
    <w:rsid w:val="00273BC4"/>
    <w:rsid w:val="00277FD6"/>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11DE"/>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13A01"/>
    <w:rsid w:val="00D14688"/>
    <w:rsid w:val="00D22886"/>
    <w:rsid w:val="00D2594D"/>
    <w:rsid w:val="00D27B42"/>
    <w:rsid w:val="00D375BA"/>
    <w:rsid w:val="00D376D7"/>
    <w:rsid w:val="00D4117B"/>
    <w:rsid w:val="00D471C4"/>
    <w:rsid w:val="00D555CF"/>
    <w:rsid w:val="00D5620E"/>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1203</Words>
  <Characters>6862</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51</cp:revision>
  <dcterms:created xsi:type="dcterms:W3CDTF">2023-06-13T10:15:00Z</dcterms:created>
  <dcterms:modified xsi:type="dcterms:W3CDTF">2025-02-07T13:38:00Z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