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1A3" w:rsidRPr="000A21A3" w:rsidRDefault="000A21A3" w:rsidP="000A21A3">
      <w:pPr>
        <w:widowControl w:val="0"/>
        <w:tabs>
          <w:tab w:val="left" w:pos="0"/>
          <w:tab w:val="left" w:pos="993"/>
        </w:tabs>
        <w:contextualSpacing/>
        <w:jc w:val="center"/>
        <w:rPr>
          <w:szCs w:val="24"/>
        </w:rPr>
      </w:pPr>
      <w:r w:rsidRPr="000A21A3">
        <w:rPr>
          <w:b/>
          <w:szCs w:val="24"/>
        </w:rPr>
        <w:t>REGISTRŲ IR INFORMACINIŲ SISTEMŲ TECHNINĖS IR PROGRAMINĖS ĮRANGOS PRIEŽIŪROS PASLAUGŲ PIRKIMO</w:t>
      </w:r>
      <w:r w:rsidRPr="000A21A3">
        <w:rPr>
          <w:szCs w:val="24"/>
        </w:rPr>
        <w:t xml:space="preserve"> </w:t>
      </w:r>
      <w:r w:rsidRPr="000A21A3">
        <w:rPr>
          <w:b/>
          <w:szCs w:val="24"/>
        </w:rPr>
        <w:t>(PPR-1058)</w:t>
      </w:r>
    </w:p>
    <w:p w:rsidR="000A21A3" w:rsidRDefault="000A21A3" w:rsidP="000A21A3">
      <w:pPr>
        <w:widowControl w:val="0"/>
        <w:tabs>
          <w:tab w:val="left" w:pos="0"/>
          <w:tab w:val="left" w:pos="993"/>
        </w:tabs>
        <w:contextualSpacing/>
        <w:jc w:val="center"/>
        <w:rPr>
          <w:b/>
          <w:szCs w:val="24"/>
        </w:rPr>
      </w:pPr>
      <w:bookmarkStart w:id="0" w:name="_GoBack"/>
      <w:r>
        <w:rPr>
          <w:b/>
          <w:szCs w:val="24"/>
        </w:rPr>
        <w:t>TECHNINĖ SPECIFIKACIJA</w:t>
      </w:r>
    </w:p>
    <w:bookmarkEnd w:id="0"/>
    <w:p w:rsidR="000A21A3" w:rsidRPr="00684788" w:rsidRDefault="000A21A3" w:rsidP="000A21A3">
      <w:pPr>
        <w:pStyle w:val="Heading1"/>
        <w:ind w:firstLine="432"/>
        <w:jc w:val="both"/>
        <w:rPr>
          <w:rFonts w:ascii="Times New Roman" w:hAnsi="Times New Roman" w:cs="Times New Roman"/>
          <w:b/>
          <w:bCs/>
          <w:color w:val="auto"/>
          <w:sz w:val="24"/>
          <w:szCs w:val="24"/>
        </w:rPr>
      </w:pPr>
      <w:r w:rsidRPr="00684788">
        <w:rPr>
          <w:rFonts w:ascii="Times New Roman" w:hAnsi="Times New Roman" w:cs="Times New Roman"/>
          <w:color w:val="auto"/>
          <w:sz w:val="24"/>
          <w:szCs w:val="24"/>
          <w:u w:val="single"/>
        </w:rPr>
        <w:t>Pirkimo objektui taikomi Lietuvos Respublikos viešųjų pirkimų įstatymo 37 str. 8 dalies ir 9 dalies reikalavimai susiję su nacionaliniu saugumu</w:t>
      </w:r>
      <w:r w:rsidRPr="00684788">
        <w:rPr>
          <w:rFonts w:ascii="Times New Roman" w:hAnsi="Times New Roman" w:cs="Times New Roman"/>
          <w:color w:val="auto"/>
          <w:sz w:val="24"/>
          <w:szCs w:val="24"/>
        </w:rPr>
        <w:t>:</w:t>
      </w:r>
    </w:p>
    <w:p w:rsidR="000A21A3" w:rsidRPr="00684788" w:rsidRDefault="000A21A3" w:rsidP="000A21A3">
      <w:pPr>
        <w:pStyle w:val="Heading1"/>
        <w:ind w:firstLine="720"/>
        <w:jc w:val="both"/>
        <w:rPr>
          <w:rFonts w:ascii="Times New Roman" w:hAnsi="Times New Roman" w:cs="Times New Roman"/>
          <w:b/>
          <w:bCs/>
          <w:color w:val="auto"/>
          <w:sz w:val="24"/>
          <w:szCs w:val="24"/>
        </w:rPr>
      </w:pPr>
      <w:r w:rsidRPr="00684788">
        <w:rPr>
          <w:rFonts w:ascii="Times New Roman" w:hAnsi="Times New Roman" w:cs="Times New Roman"/>
          <w:color w:val="auto"/>
          <w:sz w:val="24"/>
          <w:szCs w:val="24"/>
        </w:rPr>
        <w:t xml:space="preserve">1) </w:t>
      </w:r>
      <w:r w:rsidRPr="00684788">
        <w:rPr>
          <w:rFonts w:ascii="Times New Roman" w:hAnsi="Times New Roman" w:cs="Times New Roman"/>
          <w:color w:val="auto"/>
          <w:sz w:val="24"/>
          <w:szCs w:val="24"/>
          <w:u w:val="single"/>
        </w:rPr>
        <w:t>pirkimo objektui taikomi Lietuvos Respublikos viešųjų pirkimų įstatymo 37 str. 8 dalies reikalavimai susiję su nacionaliniu saugumu</w:t>
      </w:r>
      <w:r w:rsidRPr="00684788">
        <w:rPr>
          <w:rFonts w:ascii="Times New Roman" w:hAnsi="Times New Roman" w:cs="Times New Roman"/>
          <w:color w:val="auto"/>
          <w:sz w:val="24"/>
          <w:szCs w:val="24"/>
        </w:rPr>
        <w:t>. Perkančioji organizacija, veikianti srityse, kurios laikomos nacionaliniam saugumui užtikrinti strategiškai svarbių ūkio sektorių dalimi, ar valdanti ypatingos svarbos informacinę infrastruktūrą, reikalauja, kad tiekėjo siūlomos paslaugos nekeltų grėsmės nacionaliniam saugumui, kai sandorio pagrindu susidarytų aplinkybės, nurodytos Nacionaliniam saugumui užtikrinti svarbių objektų apsaugos įstatymo 13 straipsnio 4 dalies 1 punkte.</w:t>
      </w:r>
      <w:r w:rsidRPr="00684788" w:rsidDel="00A660A0">
        <w:rPr>
          <w:rFonts w:ascii="Times New Roman" w:hAnsi="Times New Roman" w:cs="Times New Roman"/>
          <w:color w:val="auto"/>
          <w:sz w:val="24"/>
          <w:szCs w:val="24"/>
        </w:rPr>
        <w:t xml:space="preserve"> </w:t>
      </w:r>
      <w:r w:rsidRPr="00684788">
        <w:rPr>
          <w:rFonts w:ascii="Times New Roman" w:hAnsi="Times New Roman" w:cs="Times New Roman"/>
          <w:color w:val="auto"/>
          <w:sz w:val="24"/>
          <w:szCs w:val="24"/>
        </w:rPr>
        <w:t>Laikoma, kad tiekėjo siūlomos paslaugos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rsidR="000A21A3" w:rsidRPr="00684788" w:rsidRDefault="000A21A3" w:rsidP="000A21A3">
      <w:pPr>
        <w:pStyle w:val="Heading1"/>
        <w:spacing w:before="0" w:after="0"/>
        <w:ind w:firstLine="720"/>
        <w:jc w:val="both"/>
        <w:rPr>
          <w:rFonts w:ascii="Times New Roman" w:hAnsi="Times New Roman" w:cs="Times New Roman"/>
          <w:b/>
          <w:bCs/>
          <w:color w:val="auto"/>
          <w:sz w:val="24"/>
          <w:szCs w:val="24"/>
        </w:rPr>
      </w:pPr>
      <w:r w:rsidRPr="00684788">
        <w:rPr>
          <w:rFonts w:ascii="Times New Roman" w:hAnsi="Times New Roman" w:cs="Times New Roman"/>
          <w:color w:val="auto"/>
          <w:sz w:val="24"/>
          <w:szCs w:val="24"/>
        </w:rPr>
        <w:t xml:space="preserve">2) </w:t>
      </w:r>
      <w:r w:rsidRPr="00684788">
        <w:rPr>
          <w:rFonts w:ascii="Times New Roman" w:hAnsi="Times New Roman" w:cs="Times New Roman"/>
          <w:color w:val="auto"/>
          <w:sz w:val="24"/>
          <w:szCs w:val="24"/>
          <w:u w:val="single"/>
        </w:rPr>
        <w:t>pirkimo objektui taikomi Lietuvos Respublikos viešųjų pirkimų įstatymo 37 str. 9 dalies reikalavimai susiję su nacionaliniu saugumu</w:t>
      </w:r>
      <w:r w:rsidRPr="00684788">
        <w:rPr>
          <w:rFonts w:ascii="Times New Roman" w:hAnsi="Times New Roman" w:cs="Times New Roman"/>
          <w:color w:val="auto"/>
          <w:sz w:val="24"/>
          <w:szCs w:val="24"/>
        </w:rPr>
        <w:t>*. Tiekėjas privalo įrodyti, kad siūlomos paslaugos nekelia grėsmės nacionaliniam saugumui – paslaugų teikimas nevykdomas iš VPĮ 92 straipsnio 14 dalyje numatytame sąraše nurodytų valstybių ar teritorijų.</w:t>
      </w:r>
    </w:p>
    <w:p w:rsidR="000A21A3" w:rsidRPr="00684788" w:rsidRDefault="000A21A3" w:rsidP="000A21A3">
      <w:pPr>
        <w:pStyle w:val="Heading1"/>
        <w:spacing w:before="0" w:after="0"/>
        <w:ind w:firstLine="431"/>
        <w:jc w:val="both"/>
        <w:rPr>
          <w:rFonts w:ascii="Times New Roman" w:hAnsi="Times New Roman" w:cs="Times New Roman"/>
          <w:color w:val="auto"/>
          <w:sz w:val="24"/>
          <w:szCs w:val="24"/>
        </w:rPr>
      </w:pPr>
      <w:r w:rsidRPr="00684788">
        <w:rPr>
          <w:rFonts w:ascii="Times New Roman" w:hAnsi="Times New Roman" w:cs="Times New Roman"/>
          <w:color w:val="auto"/>
          <w:sz w:val="24"/>
          <w:szCs w:val="24"/>
        </w:rPr>
        <w:t>Perkančioji organizacija pasiūlymo atitikčiai LR viešųjų pirkimų įstatymo 37 straipsnio 9 dalies reikalavimams patvirtinti iš tiekėjo reikalauja KARTU SU PASIŪLYMU PATEIKTI užpildytą pirkimo dokumentą „Nacionalinio saugumo reikalavimų atitikties deklaracija“ (8 IA PD ATITIKTIES DEKLARACIJA), o iš ekonomiškai naudingiausią pasiūlymą pateikusio tiekėjo reikalaus pateikti (</w:t>
      </w:r>
      <w:r w:rsidRPr="00684788">
        <w:rPr>
          <w:rFonts w:ascii="Times New Roman" w:hAnsi="Times New Roman" w:cs="Times New Roman"/>
          <w:color w:val="auto"/>
          <w:sz w:val="24"/>
          <w:szCs w:val="24"/>
          <w:u w:val="single"/>
        </w:rPr>
        <w:t>kartu su pasiūlymu šių dokumentų tiekėjas pateikti neturi</w:t>
      </w:r>
      <w:r w:rsidRPr="00684788">
        <w:rPr>
          <w:rFonts w:ascii="Times New Roman" w:hAnsi="Times New Roman" w:cs="Times New Roman"/>
          <w:color w:val="auto"/>
          <w:sz w:val="24"/>
          <w:szCs w:val="24"/>
        </w:rPr>
        <w:t>)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p w:rsidR="000A21A3" w:rsidRPr="00684788" w:rsidRDefault="000A21A3" w:rsidP="000A21A3">
      <w:pPr>
        <w:pStyle w:val="Heading1"/>
        <w:spacing w:after="0"/>
        <w:ind w:left="431"/>
        <w:jc w:val="both"/>
        <w:rPr>
          <w:rFonts w:ascii="Times New Roman" w:hAnsi="Times New Roman" w:cs="Times New Roman"/>
          <w:color w:val="auto"/>
          <w:sz w:val="24"/>
          <w:szCs w:val="24"/>
        </w:rPr>
      </w:pPr>
      <w:r w:rsidRPr="00684788">
        <w:rPr>
          <w:rFonts w:ascii="Times New Roman" w:hAnsi="Times New Roman" w:cs="Times New Roman"/>
          <w:color w:val="auto"/>
          <w:sz w:val="24"/>
          <w:szCs w:val="24"/>
        </w:rPr>
        <w:t>Pastabos:</w:t>
      </w:r>
    </w:p>
    <w:p w:rsidR="000A21A3" w:rsidRPr="00684788" w:rsidRDefault="000A21A3" w:rsidP="000A21A3">
      <w:pPr>
        <w:pStyle w:val="Heading1"/>
        <w:spacing w:before="0" w:after="0"/>
        <w:ind w:left="34" w:firstLine="397"/>
        <w:jc w:val="both"/>
        <w:rPr>
          <w:rFonts w:ascii="Times New Roman" w:hAnsi="Times New Roman" w:cs="Times New Roman"/>
          <w:b/>
          <w:bCs/>
          <w:color w:val="auto"/>
          <w:sz w:val="24"/>
          <w:szCs w:val="24"/>
        </w:rPr>
      </w:pPr>
      <w:r w:rsidRPr="00684788">
        <w:rPr>
          <w:rFonts w:ascii="Times New Roman" w:hAnsi="Times New Roman" w:cs="Times New Roman"/>
          <w:color w:val="auto"/>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rsidR="000A21A3" w:rsidRPr="006D032E" w:rsidRDefault="000A21A3" w:rsidP="000A21A3">
      <w:pPr>
        <w:widowControl w:val="0"/>
        <w:tabs>
          <w:tab w:val="left" w:pos="0"/>
          <w:tab w:val="left" w:pos="993"/>
        </w:tabs>
        <w:ind w:firstLine="284"/>
        <w:contextualSpacing/>
        <w:jc w:val="both"/>
        <w:rPr>
          <w:szCs w:val="24"/>
        </w:rPr>
      </w:pPr>
      <w:r w:rsidRPr="006D032E">
        <w:rPr>
          <w:szCs w:val="24"/>
        </w:rPr>
        <w:t xml:space="preserve">**dokumentai, kuriuose nenurodytas jų galiojimo terminas, turi būti išduoti ar atspausdinti iš informacinės </w:t>
      </w:r>
      <w:r w:rsidRPr="008E18D6">
        <w:rPr>
          <w:szCs w:val="24"/>
        </w:rPr>
        <w:t>sistemos ne anksčiau kaip likus 3 mėnesiams iki tos dienos, kurią perkančiosios organizacijos prašymu tiekėjas turi pateikti dokumentus.</w:t>
      </w:r>
    </w:p>
    <w:p w:rsidR="000A21A3" w:rsidRPr="00A87893" w:rsidRDefault="000A21A3" w:rsidP="000A21A3">
      <w:pPr>
        <w:pStyle w:val="Skyriauspavadinimas"/>
        <w:numPr>
          <w:ilvl w:val="0"/>
          <w:numId w:val="0"/>
        </w:numPr>
        <w:ind w:left="426"/>
        <w:rPr>
          <w:rFonts w:ascii="Times New Roman" w:hAnsi="Times New Roman"/>
          <w:sz w:val="22"/>
          <w:szCs w:val="22"/>
          <w:lang w:val="lt-LT"/>
        </w:rPr>
      </w:pPr>
    </w:p>
    <w:p w:rsidR="000A21A3" w:rsidRPr="00A87893" w:rsidRDefault="000A21A3" w:rsidP="000A21A3">
      <w:pPr>
        <w:pStyle w:val="Skyriauspavadinimas"/>
        <w:numPr>
          <w:ilvl w:val="0"/>
          <w:numId w:val="0"/>
        </w:numPr>
        <w:ind w:left="1146"/>
        <w:jc w:val="left"/>
        <w:rPr>
          <w:rFonts w:ascii="Times New Roman" w:hAnsi="Times New Roman"/>
          <w:sz w:val="22"/>
          <w:szCs w:val="22"/>
          <w:lang w:val="lt-LT"/>
        </w:rPr>
      </w:pPr>
    </w:p>
    <w:p w:rsidR="000A21A3" w:rsidRPr="00A87893" w:rsidRDefault="000A21A3" w:rsidP="000A21A3">
      <w:pPr>
        <w:pStyle w:val="Skyriauspavadinimas"/>
        <w:numPr>
          <w:ilvl w:val="0"/>
          <w:numId w:val="0"/>
        </w:numPr>
        <w:ind w:firstLine="426"/>
        <w:jc w:val="both"/>
        <w:rPr>
          <w:rFonts w:ascii="Times New Roman" w:hAnsi="Times New Roman"/>
          <w:sz w:val="22"/>
          <w:szCs w:val="22"/>
          <w:lang w:val="lt-LT"/>
        </w:rPr>
      </w:pPr>
    </w:p>
    <w:p w:rsidR="000A21A3" w:rsidRPr="000A21A3" w:rsidRDefault="000A21A3" w:rsidP="000A21A3">
      <w:pPr>
        <w:ind w:firstLine="450"/>
        <w:jc w:val="both"/>
        <w:rPr>
          <w:szCs w:val="24"/>
        </w:rPr>
      </w:pPr>
      <w:r w:rsidRPr="00BF5CFC">
        <w:rPr>
          <w:szCs w:val="24"/>
        </w:rPr>
        <w:t xml:space="preserve">Informatikos ir ryšių departamentas prie Lietuvos Respublikos vidaus reikalų ministerijos (toliau – IRD, perkančioji organizacija) yra Lietuvos Respublikos vidaus reikalų ministerijos valdomų registrų ir informacinių sistemų tvarkytojas ir užtikrina techninės ir programinės įrangos nepertraukiamą veikimą bei saugą. </w:t>
      </w:r>
      <w:r w:rsidRPr="00FA17DE">
        <w:rPr>
          <w:bCs/>
          <w:iCs/>
          <w:szCs w:val="24"/>
          <w:lang w:eastAsia="lt-LT"/>
        </w:rPr>
        <w:t xml:space="preserve">Šiose pirkimo sąlygose pirkimo objektui apibūdinti galimai </w:t>
      </w:r>
      <w:r w:rsidRPr="00FA17DE">
        <w:rPr>
          <w:bCs/>
          <w:iCs/>
          <w:szCs w:val="24"/>
          <w:lang w:eastAsia="lt-LT"/>
        </w:rPr>
        <w:lastRenderedPageBreak/>
        <w:t>nurodyti konkretūs techniniai parametrai, technologijos, procesai, gamintojai ar prekės 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rsidR="000A21A3" w:rsidRPr="00FA17DE" w:rsidRDefault="000A21A3" w:rsidP="000A21A3">
      <w:pPr>
        <w:pStyle w:val="ListParagraph"/>
        <w:tabs>
          <w:tab w:val="left" w:pos="567"/>
        </w:tabs>
        <w:autoSpaceDE w:val="0"/>
        <w:autoSpaceDN w:val="0"/>
        <w:adjustRightInd w:val="0"/>
        <w:ind w:left="0" w:right="-143" w:firstLine="426"/>
        <w:jc w:val="both"/>
        <w:rPr>
          <w:bCs/>
          <w:iCs/>
          <w:szCs w:val="24"/>
          <w:lang w:eastAsia="lt-LT"/>
        </w:rPr>
      </w:pPr>
      <w:r w:rsidRPr="00FA17DE">
        <w:rPr>
          <w:bCs/>
          <w:iCs/>
          <w:szCs w:val="24"/>
          <w:lang w:eastAsia="lt-LT"/>
        </w:rPr>
        <w:t xml:space="preserve">Pirkimo objektui taikomas </w:t>
      </w:r>
      <w:bookmarkStart w:id="1" w:name="_Hlk161662298"/>
      <w:r w:rsidRPr="00FA17DE">
        <w:rPr>
          <w:bCs/>
          <w:iCs/>
          <w:szCs w:val="24"/>
          <w:lang w:eastAsia="lt-LT"/>
        </w:rPr>
        <w:t>Aplinkos apsaugos kriterijų taikymo, vykdant žaliuosius pirkimus, tvarkos aprašo</w:t>
      </w:r>
      <w:bookmarkEnd w:id="1"/>
      <w:r w:rsidRPr="00FA17DE">
        <w:rPr>
          <w:bCs/>
          <w:iCs/>
          <w:szCs w:val="24"/>
          <w:lang w:eastAsia="lt-LT"/>
        </w:rPr>
        <w:t xml:space="preserve">, patvirtinto Lietuvos Respublikos aplinkos ministro 2011 m. birželio 28 d. įsakymu Nr. D1-508 „Dėl Aplinkos apsaugos kriterijų taikymo, vykdant žaliuosius pirkimus, tvarkos aprašo patvirtinimo“, 4.4.3 papunktis. </w:t>
      </w:r>
    </w:p>
    <w:p w:rsidR="000A21A3" w:rsidRDefault="000A21A3" w:rsidP="000A21A3">
      <w:pPr>
        <w:widowControl w:val="0"/>
        <w:tabs>
          <w:tab w:val="left" w:pos="0"/>
          <w:tab w:val="left" w:pos="993"/>
        </w:tabs>
        <w:ind w:firstLine="284"/>
        <w:contextualSpacing/>
        <w:jc w:val="both"/>
        <w:rPr>
          <w:szCs w:val="24"/>
        </w:rPr>
      </w:pPr>
    </w:p>
    <w:p w:rsidR="000A21A3" w:rsidRPr="002C5675" w:rsidRDefault="000A21A3" w:rsidP="000A21A3">
      <w:pPr>
        <w:widowControl w:val="0"/>
        <w:tabs>
          <w:tab w:val="left" w:pos="0"/>
          <w:tab w:val="left" w:pos="993"/>
        </w:tabs>
        <w:ind w:firstLine="284"/>
        <w:contextualSpacing/>
        <w:jc w:val="both"/>
        <w:rPr>
          <w:b/>
          <w:szCs w:val="24"/>
        </w:rPr>
      </w:pPr>
    </w:p>
    <w:p w:rsidR="000A21A3" w:rsidRDefault="000A21A3" w:rsidP="000A21A3">
      <w:pPr>
        <w:ind w:firstLine="567"/>
        <w:jc w:val="both"/>
        <w:rPr>
          <w:b/>
          <w:caps/>
          <w:szCs w:val="24"/>
        </w:rPr>
      </w:pPr>
      <w:r>
        <w:rPr>
          <w:b/>
          <w:caps/>
          <w:szCs w:val="24"/>
        </w:rPr>
        <w:t>1. Registrų ir informacinių sistemų techninę ir sisteminę programinę įrangą (RISTSPĮ) sudarančių  komponentŲ sąrašas</w:t>
      </w:r>
    </w:p>
    <w:p w:rsidR="000A21A3" w:rsidRDefault="000A21A3" w:rsidP="000A21A3">
      <w:pPr>
        <w:jc w:val="both"/>
        <w:rPr>
          <w:b/>
          <w:caps/>
          <w:szCs w:val="24"/>
        </w:rPr>
      </w:pPr>
    </w:p>
    <w:p w:rsidR="000A21A3" w:rsidRDefault="000A21A3" w:rsidP="000A21A3">
      <w:pPr>
        <w:ind w:firstLine="567"/>
        <w:jc w:val="both"/>
        <w:rPr>
          <w:szCs w:val="24"/>
        </w:rPr>
      </w:pPr>
      <w:r>
        <w:rPr>
          <w:szCs w:val="24"/>
        </w:rPr>
        <w:t>1.1. Centrinė duomenų bazė (CDB), veikianti „</w:t>
      </w:r>
      <w:proofErr w:type="spellStart"/>
      <w:r>
        <w:rPr>
          <w:szCs w:val="24"/>
        </w:rPr>
        <w:t>Oracle</w:t>
      </w:r>
      <w:proofErr w:type="spellEnd"/>
      <w:r>
        <w:rPr>
          <w:szCs w:val="24"/>
        </w:rPr>
        <w:t xml:space="preserve"> </w:t>
      </w:r>
      <w:proofErr w:type="spellStart"/>
      <w:r>
        <w:rPr>
          <w:szCs w:val="24"/>
        </w:rPr>
        <w:t>Database</w:t>
      </w:r>
      <w:proofErr w:type="spellEnd"/>
      <w:r>
        <w:rPr>
          <w:szCs w:val="24"/>
        </w:rPr>
        <w:t xml:space="preserve"> 10g“ ir „</w:t>
      </w:r>
      <w:proofErr w:type="spellStart"/>
      <w:r>
        <w:rPr>
          <w:szCs w:val="24"/>
        </w:rPr>
        <w:t>Oracle</w:t>
      </w:r>
      <w:proofErr w:type="spellEnd"/>
      <w:r>
        <w:rPr>
          <w:szCs w:val="24"/>
        </w:rPr>
        <w:t xml:space="preserve"> </w:t>
      </w:r>
      <w:proofErr w:type="spellStart"/>
      <w:r>
        <w:rPr>
          <w:szCs w:val="24"/>
        </w:rPr>
        <w:t>Database</w:t>
      </w:r>
      <w:proofErr w:type="spellEnd"/>
      <w:r>
        <w:rPr>
          <w:szCs w:val="24"/>
        </w:rPr>
        <w:t xml:space="preserve"> 12“, taip pat  „</w:t>
      </w:r>
      <w:proofErr w:type="spellStart"/>
      <w:r>
        <w:rPr>
          <w:szCs w:val="24"/>
        </w:rPr>
        <w:t>Real</w:t>
      </w:r>
      <w:proofErr w:type="spellEnd"/>
      <w:r>
        <w:rPr>
          <w:szCs w:val="24"/>
        </w:rPr>
        <w:t xml:space="preserve"> </w:t>
      </w:r>
      <w:proofErr w:type="spellStart"/>
      <w:r>
        <w:rPr>
          <w:szCs w:val="24"/>
        </w:rPr>
        <w:t>Application</w:t>
      </w:r>
      <w:proofErr w:type="spellEnd"/>
      <w:r>
        <w:rPr>
          <w:szCs w:val="24"/>
        </w:rPr>
        <w:t xml:space="preserve"> </w:t>
      </w:r>
      <w:proofErr w:type="spellStart"/>
      <w:r>
        <w:rPr>
          <w:szCs w:val="24"/>
        </w:rPr>
        <w:t>Cluster</w:t>
      </w:r>
      <w:proofErr w:type="spellEnd"/>
      <w:r>
        <w:rPr>
          <w:szCs w:val="24"/>
        </w:rPr>
        <w:t>“ pagrindu, turinti sąsajas su kitomis vidinėmis ir išorinėmis informacinėmis sistemomis.</w:t>
      </w:r>
    </w:p>
    <w:p w:rsidR="000A21A3" w:rsidRDefault="000A21A3" w:rsidP="000A21A3">
      <w:pPr>
        <w:ind w:firstLine="567"/>
        <w:jc w:val="both"/>
        <w:rPr>
          <w:szCs w:val="24"/>
        </w:rPr>
      </w:pPr>
      <w:r>
        <w:rPr>
          <w:szCs w:val="24"/>
        </w:rPr>
        <w:t xml:space="preserve">1.2. </w:t>
      </w:r>
      <w:proofErr w:type="spellStart"/>
      <w:r>
        <w:rPr>
          <w:szCs w:val="24"/>
        </w:rPr>
        <w:t>Produkcinės</w:t>
      </w:r>
      <w:proofErr w:type="spellEnd"/>
      <w:r>
        <w:rPr>
          <w:szCs w:val="24"/>
        </w:rPr>
        <w:t xml:space="preserve"> ir testavimo duomenų bazės, veikiančios „</w:t>
      </w:r>
      <w:proofErr w:type="spellStart"/>
      <w:r>
        <w:rPr>
          <w:szCs w:val="24"/>
        </w:rPr>
        <w:t>Oracle</w:t>
      </w:r>
      <w:proofErr w:type="spellEnd"/>
      <w:r>
        <w:rPr>
          <w:szCs w:val="24"/>
        </w:rPr>
        <w:t xml:space="preserve"> </w:t>
      </w:r>
      <w:proofErr w:type="spellStart"/>
      <w:r>
        <w:rPr>
          <w:szCs w:val="24"/>
        </w:rPr>
        <w:t>Database</w:t>
      </w:r>
      <w:proofErr w:type="spellEnd"/>
      <w:r>
        <w:rPr>
          <w:szCs w:val="24"/>
        </w:rPr>
        <w:t xml:space="preserve"> 10g“,  „</w:t>
      </w:r>
      <w:proofErr w:type="spellStart"/>
      <w:r>
        <w:rPr>
          <w:szCs w:val="24"/>
        </w:rPr>
        <w:t>Oracle</w:t>
      </w:r>
      <w:proofErr w:type="spellEnd"/>
      <w:r>
        <w:rPr>
          <w:szCs w:val="24"/>
        </w:rPr>
        <w:t xml:space="preserve"> </w:t>
      </w:r>
      <w:proofErr w:type="spellStart"/>
      <w:r>
        <w:rPr>
          <w:szCs w:val="24"/>
        </w:rPr>
        <w:t>Database</w:t>
      </w:r>
      <w:proofErr w:type="spellEnd"/>
      <w:r>
        <w:rPr>
          <w:szCs w:val="24"/>
        </w:rPr>
        <w:t xml:space="preserve"> 12c“ ir </w:t>
      </w:r>
      <w:r w:rsidRPr="00F9624A">
        <w:rPr>
          <w:szCs w:val="24"/>
        </w:rPr>
        <w:t>„</w:t>
      </w:r>
      <w:proofErr w:type="spellStart"/>
      <w:r w:rsidRPr="00F9624A">
        <w:rPr>
          <w:szCs w:val="24"/>
        </w:rPr>
        <w:t>Oracle</w:t>
      </w:r>
      <w:proofErr w:type="spellEnd"/>
      <w:r w:rsidRPr="00F9624A">
        <w:rPr>
          <w:szCs w:val="24"/>
        </w:rPr>
        <w:t xml:space="preserve"> </w:t>
      </w:r>
      <w:proofErr w:type="spellStart"/>
      <w:r w:rsidRPr="00F9624A">
        <w:rPr>
          <w:szCs w:val="24"/>
        </w:rPr>
        <w:t>Database</w:t>
      </w:r>
      <w:proofErr w:type="spellEnd"/>
      <w:r w:rsidRPr="00F9624A">
        <w:rPr>
          <w:szCs w:val="24"/>
        </w:rPr>
        <w:t xml:space="preserve"> 19c“</w:t>
      </w:r>
      <w:r>
        <w:rPr>
          <w:szCs w:val="24"/>
        </w:rPr>
        <w:t xml:space="preserve"> pagrindu, Microsoft SQL </w:t>
      </w:r>
      <w:proofErr w:type="spellStart"/>
      <w:r>
        <w:rPr>
          <w:szCs w:val="24"/>
        </w:rPr>
        <w:t>server</w:t>
      </w:r>
      <w:proofErr w:type="spellEnd"/>
      <w:r>
        <w:rPr>
          <w:szCs w:val="24"/>
        </w:rPr>
        <w:t xml:space="preserve"> pagrindu.</w:t>
      </w:r>
    </w:p>
    <w:p w:rsidR="000A21A3" w:rsidRDefault="000A21A3" w:rsidP="000A21A3">
      <w:pPr>
        <w:ind w:firstLine="567"/>
        <w:jc w:val="both"/>
        <w:rPr>
          <w:szCs w:val="24"/>
        </w:rPr>
      </w:pPr>
      <w:r>
        <w:rPr>
          <w:szCs w:val="24"/>
        </w:rPr>
        <w:t>1.3. Taikomųjų programų valdymo sistemos, veikiančios „</w:t>
      </w:r>
      <w:proofErr w:type="spellStart"/>
      <w:r>
        <w:rPr>
          <w:szCs w:val="24"/>
        </w:rPr>
        <w:t>Oracle</w:t>
      </w:r>
      <w:proofErr w:type="spellEnd"/>
      <w:r>
        <w:rPr>
          <w:szCs w:val="24"/>
        </w:rPr>
        <w:t xml:space="preserve"> </w:t>
      </w:r>
      <w:proofErr w:type="spellStart"/>
      <w:r>
        <w:rPr>
          <w:szCs w:val="24"/>
        </w:rPr>
        <w:t>Application</w:t>
      </w:r>
      <w:proofErr w:type="spellEnd"/>
      <w:r>
        <w:rPr>
          <w:szCs w:val="24"/>
        </w:rPr>
        <w:t xml:space="preserve"> Server 10g, </w:t>
      </w:r>
      <w:proofErr w:type="spellStart"/>
      <w:r>
        <w:rPr>
          <w:szCs w:val="24"/>
        </w:rPr>
        <w:t>Oracle</w:t>
      </w:r>
      <w:proofErr w:type="spellEnd"/>
      <w:r>
        <w:rPr>
          <w:szCs w:val="24"/>
        </w:rPr>
        <w:t xml:space="preserve"> </w:t>
      </w:r>
      <w:proofErr w:type="spellStart"/>
      <w:r>
        <w:rPr>
          <w:szCs w:val="24"/>
        </w:rPr>
        <w:t>Weblogic</w:t>
      </w:r>
      <w:proofErr w:type="spellEnd"/>
      <w:r>
        <w:rPr>
          <w:szCs w:val="24"/>
        </w:rPr>
        <w:t xml:space="preserve">  12 v. </w:t>
      </w:r>
      <w:proofErr w:type="spellStart"/>
      <w:r>
        <w:rPr>
          <w:szCs w:val="24"/>
        </w:rPr>
        <w:t>Tomcat</w:t>
      </w:r>
      <w:proofErr w:type="spellEnd"/>
      <w:r>
        <w:rPr>
          <w:szCs w:val="24"/>
        </w:rPr>
        <w:t xml:space="preserve"> ir Java pagrindu.</w:t>
      </w:r>
    </w:p>
    <w:p w:rsidR="000A21A3" w:rsidRDefault="000A21A3" w:rsidP="000A21A3">
      <w:pPr>
        <w:ind w:firstLine="567"/>
        <w:jc w:val="both"/>
        <w:rPr>
          <w:szCs w:val="24"/>
        </w:rPr>
      </w:pPr>
      <w:r>
        <w:rPr>
          <w:szCs w:val="24"/>
        </w:rPr>
        <w:t>1.4. Taikomųjų programų valdymo sistemos, veikiančios „</w:t>
      </w:r>
      <w:proofErr w:type="spellStart"/>
      <w:r>
        <w:rPr>
          <w:szCs w:val="24"/>
        </w:rPr>
        <w:t>Oracle</w:t>
      </w:r>
      <w:proofErr w:type="spellEnd"/>
      <w:r>
        <w:rPr>
          <w:szCs w:val="24"/>
        </w:rPr>
        <w:t xml:space="preserve"> </w:t>
      </w:r>
      <w:proofErr w:type="spellStart"/>
      <w:r>
        <w:rPr>
          <w:szCs w:val="24"/>
        </w:rPr>
        <w:t>Enterprise</w:t>
      </w:r>
      <w:proofErr w:type="spellEnd"/>
      <w:r>
        <w:rPr>
          <w:szCs w:val="24"/>
        </w:rPr>
        <w:t xml:space="preserve"> </w:t>
      </w:r>
      <w:proofErr w:type="spellStart"/>
      <w:r>
        <w:rPr>
          <w:szCs w:val="24"/>
        </w:rPr>
        <w:t>Service</w:t>
      </w:r>
      <w:proofErr w:type="spellEnd"/>
      <w:r>
        <w:rPr>
          <w:szCs w:val="24"/>
        </w:rPr>
        <w:t xml:space="preserve">  Bus.1.5. Didelio našumo skaičiavimo telkinys, veikiantis Windows Server 2012/2019 </w:t>
      </w:r>
      <w:proofErr w:type="spellStart"/>
      <w:r>
        <w:rPr>
          <w:szCs w:val="24"/>
        </w:rPr>
        <w:t>Datacenter</w:t>
      </w:r>
      <w:proofErr w:type="spellEnd"/>
      <w:r>
        <w:rPr>
          <w:szCs w:val="24"/>
        </w:rPr>
        <w:t xml:space="preserve">, </w:t>
      </w:r>
      <w:proofErr w:type="spellStart"/>
      <w:r>
        <w:rPr>
          <w:szCs w:val="24"/>
        </w:rPr>
        <w:t>VMware</w:t>
      </w:r>
      <w:proofErr w:type="spellEnd"/>
      <w:r>
        <w:rPr>
          <w:szCs w:val="24"/>
        </w:rPr>
        <w:t xml:space="preserve"> pagrindu.</w:t>
      </w:r>
    </w:p>
    <w:p w:rsidR="000A21A3" w:rsidRDefault="000A21A3" w:rsidP="000A21A3">
      <w:pPr>
        <w:ind w:firstLine="567"/>
        <w:jc w:val="both"/>
        <w:rPr>
          <w:szCs w:val="24"/>
        </w:rPr>
      </w:pPr>
      <w:r>
        <w:rPr>
          <w:szCs w:val="24"/>
        </w:rPr>
        <w:t>1.5. Integracinė platforma, veikianti „</w:t>
      </w:r>
      <w:proofErr w:type="spellStart"/>
      <w:r>
        <w:rPr>
          <w:szCs w:val="24"/>
        </w:rPr>
        <w:t>WebMethods</w:t>
      </w:r>
      <w:proofErr w:type="spellEnd"/>
      <w:r>
        <w:rPr>
          <w:szCs w:val="24"/>
        </w:rPr>
        <w:t>“ ir „</w:t>
      </w:r>
      <w:proofErr w:type="spellStart"/>
      <w:r>
        <w:rPr>
          <w:szCs w:val="24"/>
        </w:rPr>
        <w:t>Oracle</w:t>
      </w:r>
      <w:proofErr w:type="spellEnd"/>
      <w:r>
        <w:rPr>
          <w:szCs w:val="24"/>
        </w:rPr>
        <w:t xml:space="preserve"> </w:t>
      </w:r>
      <w:proofErr w:type="spellStart"/>
      <w:r>
        <w:rPr>
          <w:szCs w:val="24"/>
        </w:rPr>
        <w:t>Servis</w:t>
      </w:r>
      <w:proofErr w:type="spellEnd"/>
      <w:r>
        <w:rPr>
          <w:szCs w:val="24"/>
        </w:rPr>
        <w:t xml:space="preserve"> Bus“ pagrindu.</w:t>
      </w:r>
    </w:p>
    <w:p w:rsidR="000A21A3" w:rsidRDefault="000A21A3" w:rsidP="000A21A3">
      <w:pPr>
        <w:ind w:firstLine="567"/>
        <w:jc w:val="both"/>
        <w:rPr>
          <w:szCs w:val="24"/>
        </w:rPr>
      </w:pPr>
      <w:r>
        <w:rPr>
          <w:szCs w:val="24"/>
        </w:rPr>
        <w:t xml:space="preserve">1.6. Rezervinio duomenų kopijavimo sistema, veikianti „IBM </w:t>
      </w:r>
      <w:proofErr w:type="spellStart"/>
      <w:r>
        <w:rPr>
          <w:szCs w:val="24"/>
        </w:rPr>
        <w:t>Tivoli</w:t>
      </w:r>
      <w:proofErr w:type="spellEnd"/>
      <w:r>
        <w:rPr>
          <w:szCs w:val="24"/>
        </w:rPr>
        <w:t xml:space="preserve"> </w:t>
      </w:r>
      <w:proofErr w:type="spellStart"/>
      <w:r>
        <w:rPr>
          <w:szCs w:val="24"/>
        </w:rPr>
        <w:t>Storage</w:t>
      </w:r>
      <w:proofErr w:type="spellEnd"/>
      <w:r>
        <w:rPr>
          <w:szCs w:val="24"/>
        </w:rPr>
        <w:t xml:space="preserve"> Manager“, HPE </w:t>
      </w:r>
      <w:proofErr w:type="spellStart"/>
      <w:r>
        <w:rPr>
          <w:szCs w:val="24"/>
        </w:rPr>
        <w:t>StoreOnce</w:t>
      </w:r>
      <w:proofErr w:type="spellEnd"/>
      <w:r>
        <w:rPr>
          <w:szCs w:val="24"/>
        </w:rPr>
        <w:t xml:space="preserve"> 5100 System ir „</w:t>
      </w:r>
      <w:proofErr w:type="spellStart"/>
      <w:r>
        <w:rPr>
          <w:szCs w:val="24"/>
        </w:rPr>
        <w:t>Veeam</w:t>
      </w:r>
      <w:proofErr w:type="spellEnd"/>
      <w:r>
        <w:rPr>
          <w:szCs w:val="24"/>
        </w:rPr>
        <w:t xml:space="preserve"> </w:t>
      </w:r>
      <w:proofErr w:type="spellStart"/>
      <w:r>
        <w:rPr>
          <w:szCs w:val="24"/>
        </w:rPr>
        <w:t>Backup</w:t>
      </w:r>
      <w:proofErr w:type="spellEnd"/>
      <w:r>
        <w:rPr>
          <w:szCs w:val="24"/>
        </w:rPr>
        <w:t xml:space="preserve"> &amp; </w:t>
      </w:r>
      <w:proofErr w:type="spellStart"/>
      <w:r>
        <w:rPr>
          <w:szCs w:val="24"/>
        </w:rPr>
        <w:t>Replication</w:t>
      </w:r>
      <w:proofErr w:type="spellEnd"/>
      <w:r>
        <w:rPr>
          <w:szCs w:val="24"/>
        </w:rPr>
        <w:t>” pagrindu.</w:t>
      </w:r>
    </w:p>
    <w:p w:rsidR="000A21A3" w:rsidRDefault="000A21A3" w:rsidP="000A21A3">
      <w:pPr>
        <w:ind w:firstLine="567"/>
        <w:jc w:val="both"/>
        <w:rPr>
          <w:szCs w:val="24"/>
        </w:rPr>
      </w:pPr>
      <w:r>
        <w:rPr>
          <w:szCs w:val="24"/>
        </w:rPr>
        <w:t>1.7.  Elektroninio pašto sistema, veikianti „Microsoft Exchange 2019“, „Windows Server“  ir “Linux” pagrindu.</w:t>
      </w:r>
    </w:p>
    <w:p w:rsidR="000A21A3" w:rsidRDefault="000A21A3" w:rsidP="000A21A3">
      <w:pPr>
        <w:ind w:firstLine="567"/>
        <w:jc w:val="both"/>
        <w:rPr>
          <w:szCs w:val="24"/>
        </w:rPr>
      </w:pPr>
      <w:r>
        <w:rPr>
          <w:szCs w:val="24"/>
        </w:rPr>
        <w:t xml:space="preserve">1.8. Centralizuoto valdymo įranga, veikianti „IBM </w:t>
      </w:r>
      <w:proofErr w:type="spellStart"/>
      <w:r>
        <w:rPr>
          <w:szCs w:val="24"/>
        </w:rPr>
        <w:t>Tivoli</w:t>
      </w:r>
      <w:proofErr w:type="spellEnd"/>
      <w:r>
        <w:rPr>
          <w:szCs w:val="24"/>
        </w:rPr>
        <w:t>“ ir  „</w:t>
      </w:r>
      <w:proofErr w:type="spellStart"/>
      <w:r>
        <w:rPr>
          <w:szCs w:val="24"/>
        </w:rPr>
        <w:t>Active</w:t>
      </w:r>
      <w:proofErr w:type="spellEnd"/>
      <w:r>
        <w:rPr>
          <w:szCs w:val="24"/>
        </w:rPr>
        <w:t xml:space="preserve"> </w:t>
      </w:r>
      <w:proofErr w:type="spellStart"/>
      <w:r>
        <w:rPr>
          <w:szCs w:val="24"/>
        </w:rPr>
        <w:t>Directory</w:t>
      </w:r>
      <w:proofErr w:type="spellEnd"/>
      <w:r>
        <w:rPr>
          <w:szCs w:val="24"/>
        </w:rPr>
        <w:t>“   pagrindu.</w:t>
      </w:r>
    </w:p>
    <w:p w:rsidR="000A21A3" w:rsidRDefault="000A21A3" w:rsidP="000A21A3">
      <w:pPr>
        <w:ind w:firstLine="567"/>
        <w:jc w:val="both"/>
        <w:rPr>
          <w:szCs w:val="24"/>
        </w:rPr>
      </w:pPr>
      <w:r>
        <w:rPr>
          <w:szCs w:val="24"/>
        </w:rPr>
        <w:t>1.9. Internetinės svetainės, veikiančios „Windows Server“ ir “Linux” pagrindu.</w:t>
      </w:r>
    </w:p>
    <w:p w:rsidR="000A21A3" w:rsidRDefault="000A21A3" w:rsidP="000A21A3">
      <w:pPr>
        <w:ind w:firstLine="567"/>
        <w:jc w:val="both"/>
        <w:rPr>
          <w:szCs w:val="24"/>
        </w:rPr>
      </w:pPr>
      <w:r>
        <w:rPr>
          <w:szCs w:val="24"/>
        </w:rPr>
        <w:t xml:space="preserve">1.10. Atviro kodo programinės įrangos sistemos (SVN, </w:t>
      </w:r>
      <w:proofErr w:type="spellStart"/>
      <w:r>
        <w:rPr>
          <w:szCs w:val="24"/>
        </w:rPr>
        <w:t>Redmine</w:t>
      </w:r>
      <w:proofErr w:type="spellEnd"/>
      <w:r>
        <w:rPr>
          <w:szCs w:val="24"/>
        </w:rPr>
        <w:t xml:space="preserve">, </w:t>
      </w:r>
      <w:proofErr w:type="spellStart"/>
      <w:r>
        <w:rPr>
          <w:szCs w:val="24"/>
        </w:rPr>
        <w:t>Nextcloud</w:t>
      </w:r>
      <w:proofErr w:type="spellEnd"/>
      <w:r>
        <w:rPr>
          <w:szCs w:val="24"/>
        </w:rPr>
        <w:t xml:space="preserve">, </w:t>
      </w:r>
      <w:proofErr w:type="spellStart"/>
      <w:r>
        <w:rPr>
          <w:szCs w:val="24"/>
        </w:rPr>
        <w:t>Nagios</w:t>
      </w:r>
      <w:proofErr w:type="spellEnd"/>
      <w:r>
        <w:rPr>
          <w:szCs w:val="24"/>
        </w:rPr>
        <w:t xml:space="preserve">, </w:t>
      </w:r>
      <w:proofErr w:type="spellStart"/>
      <w:r>
        <w:rPr>
          <w:szCs w:val="24"/>
        </w:rPr>
        <w:t>Postfix</w:t>
      </w:r>
      <w:proofErr w:type="spellEnd"/>
      <w:r>
        <w:rPr>
          <w:szCs w:val="24"/>
        </w:rPr>
        <w:t xml:space="preserve">, </w:t>
      </w:r>
      <w:proofErr w:type="spellStart"/>
      <w:r>
        <w:rPr>
          <w:szCs w:val="24"/>
        </w:rPr>
        <w:t>RoundCube</w:t>
      </w:r>
      <w:proofErr w:type="spellEnd"/>
      <w:r>
        <w:rPr>
          <w:szCs w:val="24"/>
        </w:rPr>
        <w:t xml:space="preserve">, </w:t>
      </w:r>
      <w:proofErr w:type="spellStart"/>
      <w:r>
        <w:rPr>
          <w:szCs w:val="24"/>
        </w:rPr>
        <w:t>Dovecot</w:t>
      </w:r>
      <w:proofErr w:type="spellEnd"/>
      <w:r>
        <w:rPr>
          <w:szCs w:val="24"/>
        </w:rPr>
        <w:t xml:space="preserve">, </w:t>
      </w:r>
      <w:proofErr w:type="spellStart"/>
      <w:r>
        <w:rPr>
          <w:szCs w:val="24"/>
        </w:rPr>
        <w:t>PolicyD</w:t>
      </w:r>
      <w:proofErr w:type="spellEnd"/>
      <w:r>
        <w:rPr>
          <w:szCs w:val="24"/>
        </w:rPr>
        <w:t xml:space="preserve">, </w:t>
      </w:r>
      <w:proofErr w:type="spellStart"/>
      <w:r>
        <w:rPr>
          <w:szCs w:val="24"/>
        </w:rPr>
        <w:t>AWStats</w:t>
      </w:r>
      <w:proofErr w:type="spellEnd"/>
      <w:r>
        <w:rPr>
          <w:szCs w:val="24"/>
        </w:rPr>
        <w:t xml:space="preserve"> ir kt.).</w:t>
      </w:r>
    </w:p>
    <w:p w:rsidR="000A21A3" w:rsidRDefault="000A21A3" w:rsidP="000A21A3">
      <w:pPr>
        <w:ind w:firstLine="567"/>
        <w:jc w:val="both"/>
        <w:rPr>
          <w:szCs w:val="24"/>
        </w:rPr>
      </w:pPr>
      <w:r>
        <w:rPr>
          <w:szCs w:val="24"/>
        </w:rPr>
        <w:t xml:space="preserve">1.11. Tarnybinių stočių </w:t>
      </w:r>
      <w:proofErr w:type="spellStart"/>
      <w:r>
        <w:rPr>
          <w:szCs w:val="24"/>
        </w:rPr>
        <w:t>virtualizavimo</w:t>
      </w:r>
      <w:proofErr w:type="spellEnd"/>
      <w:r>
        <w:rPr>
          <w:szCs w:val="24"/>
        </w:rPr>
        <w:t xml:space="preserve"> sprendimai, </w:t>
      </w:r>
      <w:proofErr w:type="spellStart"/>
      <w:r>
        <w:rPr>
          <w:bCs/>
          <w:iCs/>
          <w:szCs w:val="24"/>
          <w:lang w:eastAsia="zh-CN"/>
        </w:rPr>
        <w:t>VMware</w:t>
      </w:r>
      <w:proofErr w:type="spellEnd"/>
      <w:r>
        <w:rPr>
          <w:bCs/>
          <w:iCs/>
          <w:szCs w:val="24"/>
          <w:lang w:eastAsia="zh-CN"/>
        </w:rPr>
        <w:t xml:space="preserve"> </w:t>
      </w:r>
      <w:proofErr w:type="spellStart"/>
      <w:r>
        <w:rPr>
          <w:bCs/>
          <w:iCs/>
          <w:szCs w:val="24"/>
          <w:lang w:eastAsia="zh-CN"/>
        </w:rPr>
        <w:t>vSphere</w:t>
      </w:r>
      <w:proofErr w:type="spellEnd"/>
      <w:r>
        <w:rPr>
          <w:bCs/>
          <w:iCs/>
          <w:szCs w:val="24"/>
          <w:lang w:eastAsia="zh-CN"/>
        </w:rPr>
        <w:t>.</w:t>
      </w:r>
      <w:r>
        <w:rPr>
          <w:b/>
          <w:bCs/>
          <w:i/>
          <w:iCs/>
          <w:szCs w:val="24"/>
          <w:lang w:eastAsia="zh-CN"/>
        </w:rPr>
        <w:t xml:space="preserve"> </w:t>
      </w:r>
    </w:p>
    <w:p w:rsidR="000A21A3" w:rsidRDefault="000A21A3" w:rsidP="000A21A3">
      <w:pPr>
        <w:ind w:firstLine="567"/>
        <w:jc w:val="both"/>
        <w:rPr>
          <w:szCs w:val="24"/>
        </w:rPr>
      </w:pPr>
      <w:r>
        <w:rPr>
          <w:szCs w:val="24"/>
        </w:rPr>
        <w:t>1.12. Tarnybinės stotys, kuriose įdiegtos aukščiau išvardintos sistemos.</w:t>
      </w:r>
    </w:p>
    <w:p w:rsidR="000A21A3" w:rsidRDefault="000A21A3" w:rsidP="000A21A3">
      <w:pPr>
        <w:ind w:firstLine="567"/>
        <w:jc w:val="both"/>
        <w:rPr>
          <w:szCs w:val="24"/>
        </w:rPr>
      </w:pPr>
      <w:r>
        <w:rPr>
          <w:szCs w:val="24"/>
        </w:rPr>
        <w:t xml:space="preserve">1.13. Tarnybinių stočių SAN tinklo ir duomenų saugyklų </w:t>
      </w:r>
      <w:proofErr w:type="spellStart"/>
      <w:r>
        <w:rPr>
          <w:szCs w:val="24"/>
        </w:rPr>
        <w:t>virtualizacijos</w:t>
      </w:r>
      <w:proofErr w:type="spellEnd"/>
      <w:r>
        <w:rPr>
          <w:szCs w:val="24"/>
        </w:rPr>
        <w:t xml:space="preserve"> įrenginiai.</w:t>
      </w:r>
    </w:p>
    <w:p w:rsidR="000A21A3" w:rsidRDefault="000A21A3" w:rsidP="000A21A3">
      <w:pPr>
        <w:ind w:firstLine="567"/>
        <w:jc w:val="both"/>
        <w:rPr>
          <w:szCs w:val="24"/>
        </w:rPr>
      </w:pPr>
      <w:r>
        <w:rPr>
          <w:szCs w:val="24"/>
        </w:rPr>
        <w:t>1.14. Magnetinių juostų biblioteka ir duomenų saugyklos, naudojamos rezerviniam kopijavimui.</w:t>
      </w:r>
    </w:p>
    <w:p w:rsidR="000A21A3" w:rsidRDefault="000A21A3" w:rsidP="000A21A3">
      <w:pPr>
        <w:ind w:firstLine="567"/>
        <w:jc w:val="both"/>
        <w:rPr>
          <w:szCs w:val="24"/>
        </w:rPr>
      </w:pPr>
      <w:r>
        <w:rPr>
          <w:szCs w:val="24"/>
        </w:rPr>
        <w:t>1.15. Tarnybinių stočių duomenų perdavimo SAN ir LAN tinklai bei aktyvinė duomenų perdavimo įranga.</w:t>
      </w:r>
    </w:p>
    <w:p w:rsidR="000A21A3" w:rsidRDefault="000A21A3" w:rsidP="000A21A3">
      <w:pPr>
        <w:ind w:firstLine="567"/>
        <w:jc w:val="both"/>
        <w:rPr>
          <w:szCs w:val="24"/>
        </w:rPr>
      </w:pPr>
    </w:p>
    <w:p w:rsidR="000A21A3" w:rsidRDefault="000A21A3" w:rsidP="000A21A3">
      <w:pPr>
        <w:keepNext/>
        <w:ind w:firstLine="567"/>
        <w:jc w:val="both"/>
        <w:rPr>
          <w:b/>
          <w:caps/>
          <w:szCs w:val="24"/>
        </w:rPr>
      </w:pPr>
      <w:r>
        <w:rPr>
          <w:b/>
          <w:caps/>
          <w:szCs w:val="24"/>
        </w:rPr>
        <w:t>2. RISTSPĮ techninės įrangos ir operacinių sistemų sąrašas</w:t>
      </w:r>
    </w:p>
    <w:p w:rsidR="000A21A3" w:rsidRDefault="000A21A3" w:rsidP="000A21A3">
      <w:pPr>
        <w:keepNext/>
        <w:ind w:firstLine="567"/>
        <w:jc w:val="both"/>
        <w:rPr>
          <w:b/>
          <w:caps/>
          <w:szCs w:val="24"/>
        </w:rPr>
      </w:pPr>
    </w:p>
    <w:p w:rsidR="000A21A3" w:rsidRPr="002B41FC" w:rsidRDefault="000A21A3" w:rsidP="000A21A3">
      <w:pPr>
        <w:numPr>
          <w:ilvl w:val="1"/>
          <w:numId w:val="1"/>
        </w:numPr>
        <w:tabs>
          <w:tab w:val="left" w:pos="1134"/>
        </w:tabs>
        <w:suppressAutoHyphens/>
        <w:spacing w:line="276" w:lineRule="auto"/>
        <w:ind w:left="0" w:firstLine="567"/>
        <w:jc w:val="both"/>
        <w:rPr>
          <w:szCs w:val="24"/>
        </w:rPr>
      </w:pPr>
      <w:r w:rsidRPr="002B41FC">
        <w:rPr>
          <w:szCs w:val="24"/>
        </w:rPr>
        <w:t xml:space="preserve">Tarnybinės stotys IBM x3500 M4, IBM x3850, operacinė sistema </w:t>
      </w:r>
      <w:proofErr w:type="spellStart"/>
      <w:r w:rsidRPr="002B41FC">
        <w:rPr>
          <w:szCs w:val="24"/>
        </w:rPr>
        <w:t>Redhat</w:t>
      </w:r>
      <w:proofErr w:type="spellEnd"/>
      <w:r w:rsidRPr="002B41FC">
        <w:rPr>
          <w:szCs w:val="24"/>
        </w:rPr>
        <w:t xml:space="preserve"> Linux.</w:t>
      </w:r>
    </w:p>
    <w:p w:rsidR="000A21A3" w:rsidRDefault="000A21A3" w:rsidP="000A21A3">
      <w:pPr>
        <w:numPr>
          <w:ilvl w:val="1"/>
          <w:numId w:val="1"/>
        </w:numPr>
        <w:tabs>
          <w:tab w:val="left" w:pos="1134"/>
        </w:tabs>
        <w:suppressAutoHyphens/>
        <w:spacing w:line="276" w:lineRule="auto"/>
        <w:ind w:left="0" w:firstLine="567"/>
        <w:jc w:val="both"/>
        <w:rPr>
          <w:szCs w:val="24"/>
        </w:rPr>
      </w:pPr>
      <w:r w:rsidRPr="00F9624A">
        <w:rPr>
          <w:szCs w:val="24"/>
        </w:rPr>
        <w:t xml:space="preserve">Tarnybinės stotys IBM x336, IBM </w:t>
      </w:r>
      <w:proofErr w:type="spellStart"/>
      <w:r w:rsidRPr="00F9624A">
        <w:rPr>
          <w:szCs w:val="24"/>
        </w:rPr>
        <w:t>Hardware</w:t>
      </w:r>
      <w:proofErr w:type="spellEnd"/>
      <w:r w:rsidRPr="00F9624A">
        <w:rPr>
          <w:szCs w:val="24"/>
        </w:rPr>
        <w:t xml:space="preserve"> </w:t>
      </w:r>
      <w:proofErr w:type="spellStart"/>
      <w:r w:rsidRPr="00F9624A">
        <w:rPr>
          <w:szCs w:val="24"/>
        </w:rPr>
        <w:t>Management</w:t>
      </w:r>
      <w:proofErr w:type="spellEnd"/>
      <w:r w:rsidRPr="00F9624A">
        <w:rPr>
          <w:szCs w:val="24"/>
        </w:rPr>
        <w:t xml:space="preserve"> </w:t>
      </w:r>
      <w:proofErr w:type="spellStart"/>
      <w:r w:rsidRPr="00F9624A">
        <w:rPr>
          <w:szCs w:val="24"/>
        </w:rPr>
        <w:t>Console</w:t>
      </w:r>
      <w:proofErr w:type="spellEnd"/>
      <w:r w:rsidRPr="00F9624A">
        <w:rPr>
          <w:szCs w:val="24"/>
        </w:rPr>
        <w:t xml:space="preserve"> (HMC).</w:t>
      </w:r>
    </w:p>
    <w:p w:rsidR="000A21A3" w:rsidRPr="00953DEB" w:rsidRDefault="000A21A3" w:rsidP="000A21A3">
      <w:pPr>
        <w:numPr>
          <w:ilvl w:val="1"/>
          <w:numId w:val="1"/>
        </w:numPr>
        <w:tabs>
          <w:tab w:val="left" w:pos="1134"/>
        </w:tabs>
        <w:suppressAutoHyphens/>
        <w:spacing w:line="276" w:lineRule="auto"/>
        <w:ind w:left="0" w:firstLine="567"/>
        <w:jc w:val="both"/>
        <w:rPr>
          <w:szCs w:val="24"/>
        </w:rPr>
      </w:pPr>
      <w:r w:rsidRPr="00953DEB">
        <w:rPr>
          <w:szCs w:val="24"/>
        </w:rPr>
        <w:t xml:space="preserve">Tarnybinė stotis IBM x3650 M4, IBM </w:t>
      </w:r>
      <w:proofErr w:type="spellStart"/>
      <w:r w:rsidRPr="00953DEB">
        <w:rPr>
          <w:szCs w:val="24"/>
        </w:rPr>
        <w:t>Infosphere</w:t>
      </w:r>
      <w:proofErr w:type="spellEnd"/>
      <w:r w:rsidRPr="00953DEB">
        <w:rPr>
          <w:szCs w:val="24"/>
        </w:rPr>
        <w:t xml:space="preserve"> </w:t>
      </w:r>
      <w:proofErr w:type="spellStart"/>
      <w:r w:rsidRPr="00953DEB">
        <w:rPr>
          <w:szCs w:val="24"/>
        </w:rPr>
        <w:t>Guardium</w:t>
      </w:r>
      <w:proofErr w:type="spellEnd"/>
      <w:r w:rsidRPr="00953DEB">
        <w:rPr>
          <w:szCs w:val="24"/>
        </w:rPr>
        <w:t xml:space="preserve"> </w:t>
      </w:r>
      <w:proofErr w:type="spellStart"/>
      <w:r w:rsidRPr="00953DEB">
        <w:rPr>
          <w:szCs w:val="24"/>
        </w:rPr>
        <w:t>Database</w:t>
      </w:r>
      <w:proofErr w:type="spellEnd"/>
      <w:r w:rsidRPr="00953DEB">
        <w:rPr>
          <w:szCs w:val="24"/>
        </w:rPr>
        <w:t xml:space="preserve"> </w:t>
      </w:r>
      <w:proofErr w:type="spellStart"/>
      <w:r w:rsidRPr="00953DEB">
        <w:rPr>
          <w:szCs w:val="24"/>
        </w:rPr>
        <w:t>Activity</w:t>
      </w:r>
      <w:proofErr w:type="spellEnd"/>
      <w:r w:rsidRPr="00953DEB">
        <w:rPr>
          <w:szCs w:val="24"/>
        </w:rPr>
        <w:t xml:space="preserve"> </w:t>
      </w:r>
      <w:proofErr w:type="spellStart"/>
      <w:r w:rsidRPr="00953DEB">
        <w:rPr>
          <w:szCs w:val="24"/>
        </w:rPr>
        <w:t>Monitoring</w:t>
      </w:r>
      <w:proofErr w:type="spellEnd"/>
      <w:r w:rsidRPr="00953DEB">
        <w:rPr>
          <w:szCs w:val="24"/>
        </w:rPr>
        <w:t xml:space="preserve"> </w:t>
      </w:r>
      <w:proofErr w:type="spellStart"/>
      <w:r w:rsidRPr="00953DEB">
        <w:rPr>
          <w:szCs w:val="24"/>
        </w:rPr>
        <w:t>Suite</w:t>
      </w:r>
      <w:proofErr w:type="spellEnd"/>
      <w:r w:rsidRPr="00953DEB">
        <w:rPr>
          <w:szCs w:val="24"/>
        </w:rPr>
        <w:t>.</w:t>
      </w:r>
    </w:p>
    <w:p w:rsidR="000A21A3" w:rsidRDefault="000A21A3" w:rsidP="000A21A3">
      <w:pPr>
        <w:numPr>
          <w:ilvl w:val="1"/>
          <w:numId w:val="1"/>
        </w:numPr>
        <w:tabs>
          <w:tab w:val="left" w:pos="1134"/>
        </w:tabs>
        <w:suppressAutoHyphens/>
        <w:spacing w:line="276" w:lineRule="auto"/>
        <w:ind w:left="0" w:firstLine="567"/>
        <w:jc w:val="both"/>
        <w:rPr>
          <w:szCs w:val="24"/>
        </w:rPr>
      </w:pPr>
      <w:proofErr w:type="spellStart"/>
      <w:r>
        <w:rPr>
          <w:szCs w:val="24"/>
        </w:rPr>
        <w:t>VMware</w:t>
      </w:r>
      <w:proofErr w:type="spellEnd"/>
      <w:r>
        <w:rPr>
          <w:szCs w:val="24"/>
        </w:rPr>
        <w:t xml:space="preserve"> infrastruktūros serverių talpyklos HPE </w:t>
      </w:r>
      <w:proofErr w:type="spellStart"/>
      <w:r>
        <w:rPr>
          <w:szCs w:val="24"/>
        </w:rPr>
        <w:t>Synergy</w:t>
      </w:r>
      <w:proofErr w:type="spellEnd"/>
      <w:r>
        <w:rPr>
          <w:szCs w:val="24"/>
        </w:rPr>
        <w:t xml:space="preserve"> 12000 </w:t>
      </w:r>
      <w:proofErr w:type="spellStart"/>
      <w:r>
        <w:rPr>
          <w:szCs w:val="24"/>
        </w:rPr>
        <w:t>Frame</w:t>
      </w:r>
      <w:proofErr w:type="spellEnd"/>
      <w:r>
        <w:rPr>
          <w:szCs w:val="24"/>
        </w:rPr>
        <w:t xml:space="preserve">, tarnybinės stotys HPE </w:t>
      </w:r>
      <w:proofErr w:type="spellStart"/>
      <w:r>
        <w:rPr>
          <w:szCs w:val="24"/>
        </w:rPr>
        <w:t>Synergy</w:t>
      </w:r>
      <w:proofErr w:type="spellEnd"/>
      <w:r>
        <w:rPr>
          <w:szCs w:val="24"/>
        </w:rPr>
        <w:t xml:space="preserve"> 480 Gen10, HPE </w:t>
      </w:r>
      <w:proofErr w:type="spellStart"/>
      <w:r>
        <w:rPr>
          <w:szCs w:val="24"/>
        </w:rPr>
        <w:t>Synergy</w:t>
      </w:r>
      <w:proofErr w:type="spellEnd"/>
      <w:r>
        <w:rPr>
          <w:szCs w:val="24"/>
        </w:rPr>
        <w:t xml:space="preserve"> 660 Gen10.</w:t>
      </w:r>
    </w:p>
    <w:p w:rsidR="000A21A3" w:rsidRDefault="000A21A3" w:rsidP="000A21A3">
      <w:pPr>
        <w:numPr>
          <w:ilvl w:val="1"/>
          <w:numId w:val="1"/>
        </w:numPr>
        <w:tabs>
          <w:tab w:val="left" w:pos="1134"/>
        </w:tabs>
        <w:suppressAutoHyphens/>
        <w:spacing w:line="276" w:lineRule="auto"/>
        <w:ind w:left="0" w:firstLine="567"/>
        <w:jc w:val="both"/>
        <w:rPr>
          <w:szCs w:val="24"/>
        </w:rPr>
      </w:pPr>
      <w:r>
        <w:rPr>
          <w:szCs w:val="24"/>
        </w:rPr>
        <w:lastRenderedPageBreak/>
        <w:t>Virtualūs serveriai (</w:t>
      </w:r>
      <w:proofErr w:type="spellStart"/>
      <w:r>
        <w:rPr>
          <w:szCs w:val="24"/>
        </w:rPr>
        <w:t>produkciniai</w:t>
      </w:r>
      <w:proofErr w:type="spellEnd"/>
      <w:r>
        <w:rPr>
          <w:szCs w:val="24"/>
        </w:rPr>
        <w:t xml:space="preserve"> ir </w:t>
      </w:r>
      <w:proofErr w:type="spellStart"/>
      <w:r>
        <w:rPr>
          <w:szCs w:val="24"/>
        </w:rPr>
        <w:t>testiniai</w:t>
      </w:r>
      <w:proofErr w:type="spellEnd"/>
      <w:r>
        <w:rPr>
          <w:szCs w:val="24"/>
        </w:rPr>
        <w:t xml:space="preserve">), veikiantys </w:t>
      </w:r>
      <w:proofErr w:type="spellStart"/>
      <w:r>
        <w:rPr>
          <w:szCs w:val="24"/>
        </w:rPr>
        <w:t>VMware</w:t>
      </w:r>
      <w:proofErr w:type="spellEnd"/>
      <w:r>
        <w:rPr>
          <w:szCs w:val="24"/>
        </w:rPr>
        <w:t xml:space="preserve"> platformoje, operacinės sistemos Microsoft Windows Server (2008, 2012, 2016, 2019), Linux (</w:t>
      </w:r>
      <w:proofErr w:type="spellStart"/>
      <w:r>
        <w:rPr>
          <w:szCs w:val="24"/>
        </w:rPr>
        <w:t>CentOS</w:t>
      </w:r>
      <w:proofErr w:type="spellEnd"/>
      <w:r>
        <w:rPr>
          <w:szCs w:val="24"/>
        </w:rPr>
        <w:t xml:space="preserve">, </w:t>
      </w:r>
      <w:proofErr w:type="spellStart"/>
      <w:r>
        <w:rPr>
          <w:szCs w:val="24"/>
        </w:rPr>
        <w:t>Debian</w:t>
      </w:r>
      <w:proofErr w:type="spellEnd"/>
      <w:r>
        <w:rPr>
          <w:szCs w:val="24"/>
        </w:rPr>
        <w:t xml:space="preserve">, </w:t>
      </w:r>
      <w:proofErr w:type="spellStart"/>
      <w:r>
        <w:rPr>
          <w:szCs w:val="24"/>
        </w:rPr>
        <w:t>Oracle</w:t>
      </w:r>
      <w:proofErr w:type="spellEnd"/>
      <w:r>
        <w:rPr>
          <w:szCs w:val="24"/>
        </w:rPr>
        <w:t xml:space="preserve">, </w:t>
      </w:r>
      <w:proofErr w:type="spellStart"/>
      <w:r>
        <w:rPr>
          <w:szCs w:val="24"/>
        </w:rPr>
        <w:t>Redhat</w:t>
      </w:r>
      <w:proofErr w:type="spellEnd"/>
      <w:r>
        <w:rPr>
          <w:szCs w:val="24"/>
        </w:rPr>
        <w:t xml:space="preserve">, </w:t>
      </w:r>
      <w:proofErr w:type="spellStart"/>
      <w:r>
        <w:rPr>
          <w:szCs w:val="24"/>
        </w:rPr>
        <w:t>Ubuntu</w:t>
      </w:r>
      <w:proofErr w:type="spellEnd"/>
      <w:r>
        <w:rPr>
          <w:szCs w:val="24"/>
        </w:rPr>
        <w:t>) ir kt.</w:t>
      </w:r>
    </w:p>
    <w:p w:rsidR="000A21A3" w:rsidRDefault="000A21A3" w:rsidP="000A21A3">
      <w:pPr>
        <w:numPr>
          <w:ilvl w:val="1"/>
          <w:numId w:val="1"/>
        </w:numPr>
        <w:tabs>
          <w:tab w:val="left" w:pos="1134"/>
        </w:tabs>
        <w:suppressAutoHyphens/>
        <w:spacing w:line="276" w:lineRule="auto"/>
        <w:ind w:left="0" w:firstLine="567"/>
        <w:jc w:val="both"/>
        <w:rPr>
          <w:szCs w:val="24"/>
        </w:rPr>
      </w:pPr>
      <w:r>
        <w:rPr>
          <w:szCs w:val="24"/>
        </w:rPr>
        <w:t xml:space="preserve">Duomenų saugyklos HPE 3PAR </w:t>
      </w:r>
      <w:proofErr w:type="spellStart"/>
      <w:r>
        <w:rPr>
          <w:szCs w:val="24"/>
        </w:rPr>
        <w:t>StoreServ</w:t>
      </w:r>
      <w:proofErr w:type="spellEnd"/>
      <w:r>
        <w:rPr>
          <w:szCs w:val="24"/>
        </w:rPr>
        <w:t xml:space="preserve"> 8400, IBM </w:t>
      </w:r>
      <w:proofErr w:type="spellStart"/>
      <w:r>
        <w:rPr>
          <w:szCs w:val="24"/>
        </w:rPr>
        <w:t>FlashSystem</w:t>
      </w:r>
      <w:proofErr w:type="spellEnd"/>
      <w:r>
        <w:rPr>
          <w:szCs w:val="24"/>
        </w:rPr>
        <w:t xml:space="preserve"> 5100, IBM Flash System 5035.</w:t>
      </w:r>
    </w:p>
    <w:p w:rsidR="000A21A3" w:rsidRDefault="000A21A3" w:rsidP="000A21A3">
      <w:pPr>
        <w:numPr>
          <w:ilvl w:val="1"/>
          <w:numId w:val="1"/>
        </w:numPr>
        <w:tabs>
          <w:tab w:val="left" w:pos="1134"/>
        </w:tabs>
        <w:suppressAutoHyphens/>
        <w:spacing w:line="276" w:lineRule="auto"/>
        <w:ind w:left="0" w:firstLine="567"/>
        <w:jc w:val="both"/>
        <w:rPr>
          <w:szCs w:val="24"/>
        </w:rPr>
      </w:pPr>
      <w:r>
        <w:rPr>
          <w:szCs w:val="24"/>
        </w:rPr>
        <w:t>Rezervinio kopijavimo (</w:t>
      </w:r>
      <w:proofErr w:type="spellStart"/>
      <w:r w:rsidRPr="003115F2">
        <w:rPr>
          <w:i/>
          <w:szCs w:val="24"/>
        </w:rPr>
        <w:t>backup</w:t>
      </w:r>
      <w:proofErr w:type="spellEnd"/>
      <w:r>
        <w:rPr>
          <w:szCs w:val="24"/>
        </w:rPr>
        <w:t xml:space="preserve">) įranga: duomenų saugyklos HPE </w:t>
      </w:r>
      <w:proofErr w:type="spellStart"/>
      <w:r>
        <w:rPr>
          <w:szCs w:val="24"/>
        </w:rPr>
        <w:t>StoreOnce</w:t>
      </w:r>
      <w:proofErr w:type="spellEnd"/>
      <w:r>
        <w:rPr>
          <w:szCs w:val="24"/>
        </w:rPr>
        <w:t xml:space="preserve"> 5100, juostų biblioteka IBM TS4300.</w:t>
      </w:r>
    </w:p>
    <w:p w:rsidR="000A21A3" w:rsidRDefault="000A21A3" w:rsidP="000A21A3">
      <w:pPr>
        <w:numPr>
          <w:ilvl w:val="1"/>
          <w:numId w:val="1"/>
        </w:numPr>
        <w:tabs>
          <w:tab w:val="left" w:pos="1134"/>
        </w:tabs>
        <w:suppressAutoHyphens/>
        <w:spacing w:line="276" w:lineRule="auto"/>
        <w:ind w:left="0" w:firstLine="567"/>
        <w:jc w:val="both"/>
        <w:rPr>
          <w:szCs w:val="24"/>
        </w:rPr>
      </w:pPr>
      <w:r w:rsidRPr="006E6455">
        <w:rPr>
          <w:szCs w:val="24"/>
        </w:rPr>
        <w:t xml:space="preserve">„Smėlio dėžė“ </w:t>
      </w:r>
      <w:proofErr w:type="spellStart"/>
      <w:r w:rsidRPr="006E6455">
        <w:rPr>
          <w:szCs w:val="24"/>
        </w:rPr>
        <w:t>Fortinet</w:t>
      </w:r>
      <w:proofErr w:type="spellEnd"/>
      <w:r w:rsidRPr="006E6455">
        <w:rPr>
          <w:szCs w:val="24"/>
        </w:rPr>
        <w:t xml:space="preserve"> </w:t>
      </w:r>
      <w:proofErr w:type="spellStart"/>
      <w:r w:rsidRPr="006E6455">
        <w:rPr>
          <w:szCs w:val="24"/>
        </w:rPr>
        <w:t>Fortisandbox</w:t>
      </w:r>
      <w:proofErr w:type="spellEnd"/>
      <w:r w:rsidRPr="006E6455">
        <w:rPr>
          <w:szCs w:val="24"/>
        </w:rPr>
        <w:t xml:space="preserve"> 1000D.</w:t>
      </w:r>
    </w:p>
    <w:p w:rsidR="000A21A3" w:rsidRDefault="000A21A3" w:rsidP="000A21A3">
      <w:pPr>
        <w:numPr>
          <w:ilvl w:val="1"/>
          <w:numId w:val="1"/>
        </w:numPr>
        <w:tabs>
          <w:tab w:val="left" w:pos="1134"/>
        </w:tabs>
        <w:suppressAutoHyphens/>
        <w:spacing w:line="276" w:lineRule="auto"/>
        <w:ind w:left="0" w:firstLine="567"/>
        <w:jc w:val="both"/>
        <w:rPr>
          <w:szCs w:val="24"/>
        </w:rPr>
      </w:pPr>
      <w:r w:rsidRPr="006E6455">
        <w:rPr>
          <w:szCs w:val="24"/>
        </w:rPr>
        <w:t xml:space="preserve">El. pašto apsaugos </w:t>
      </w:r>
      <w:r>
        <w:rPr>
          <w:szCs w:val="24"/>
        </w:rPr>
        <w:t xml:space="preserve">įranga </w:t>
      </w:r>
      <w:proofErr w:type="spellStart"/>
      <w:r>
        <w:rPr>
          <w:szCs w:val="24"/>
        </w:rPr>
        <w:t>Fortinet</w:t>
      </w:r>
      <w:proofErr w:type="spellEnd"/>
      <w:r>
        <w:rPr>
          <w:szCs w:val="24"/>
        </w:rPr>
        <w:t xml:space="preserve"> </w:t>
      </w:r>
      <w:proofErr w:type="spellStart"/>
      <w:r>
        <w:rPr>
          <w:szCs w:val="24"/>
        </w:rPr>
        <w:t>Fortimail</w:t>
      </w:r>
      <w:proofErr w:type="spellEnd"/>
      <w:r>
        <w:rPr>
          <w:szCs w:val="24"/>
        </w:rPr>
        <w:t xml:space="preserve"> 400F.</w:t>
      </w:r>
    </w:p>
    <w:p w:rsidR="000A21A3" w:rsidRDefault="000A21A3" w:rsidP="000A21A3">
      <w:pPr>
        <w:numPr>
          <w:ilvl w:val="1"/>
          <w:numId w:val="1"/>
        </w:numPr>
        <w:tabs>
          <w:tab w:val="left" w:pos="1134"/>
        </w:tabs>
        <w:suppressAutoHyphens/>
        <w:spacing w:line="276" w:lineRule="auto"/>
        <w:ind w:left="0" w:firstLine="567"/>
        <w:jc w:val="both"/>
        <w:rPr>
          <w:szCs w:val="24"/>
        </w:rPr>
      </w:pPr>
      <w:r w:rsidRPr="006E6455">
        <w:rPr>
          <w:szCs w:val="24"/>
        </w:rPr>
        <w:t>Aplikacijų ugni</w:t>
      </w:r>
      <w:r>
        <w:rPr>
          <w:szCs w:val="24"/>
        </w:rPr>
        <w:t xml:space="preserve">asienės F5 BIG-IP i4000 </w:t>
      </w:r>
      <w:proofErr w:type="spellStart"/>
      <w:r>
        <w:rPr>
          <w:szCs w:val="24"/>
        </w:rPr>
        <w:t>Series</w:t>
      </w:r>
      <w:proofErr w:type="spellEnd"/>
      <w:r>
        <w:rPr>
          <w:szCs w:val="24"/>
        </w:rPr>
        <w:t>.</w:t>
      </w:r>
    </w:p>
    <w:p w:rsidR="000A21A3" w:rsidRDefault="000A21A3" w:rsidP="000A21A3">
      <w:pPr>
        <w:numPr>
          <w:ilvl w:val="1"/>
          <w:numId w:val="1"/>
        </w:numPr>
        <w:tabs>
          <w:tab w:val="left" w:pos="1134"/>
        </w:tabs>
        <w:suppressAutoHyphens/>
        <w:spacing w:line="276" w:lineRule="auto"/>
        <w:ind w:left="0" w:firstLine="567"/>
        <w:jc w:val="both"/>
        <w:rPr>
          <w:szCs w:val="24"/>
        </w:rPr>
      </w:pPr>
      <w:r w:rsidRPr="006E6455">
        <w:rPr>
          <w:szCs w:val="24"/>
        </w:rPr>
        <w:t xml:space="preserve">Ugniasienės </w:t>
      </w:r>
      <w:proofErr w:type="spellStart"/>
      <w:r w:rsidRPr="006E6455">
        <w:rPr>
          <w:szCs w:val="24"/>
        </w:rPr>
        <w:t>Fortinet</w:t>
      </w:r>
      <w:proofErr w:type="spellEnd"/>
      <w:r w:rsidRPr="006E6455">
        <w:rPr>
          <w:szCs w:val="24"/>
        </w:rPr>
        <w:t xml:space="preserve"> </w:t>
      </w:r>
      <w:proofErr w:type="spellStart"/>
      <w:r w:rsidRPr="006E6455">
        <w:rPr>
          <w:szCs w:val="24"/>
        </w:rPr>
        <w:t>Fo</w:t>
      </w:r>
      <w:r>
        <w:rPr>
          <w:szCs w:val="24"/>
        </w:rPr>
        <w:t>rtiGate</w:t>
      </w:r>
      <w:proofErr w:type="spellEnd"/>
      <w:r>
        <w:rPr>
          <w:szCs w:val="24"/>
        </w:rPr>
        <w:t xml:space="preserve"> 1101E, </w:t>
      </w:r>
      <w:proofErr w:type="spellStart"/>
      <w:r>
        <w:rPr>
          <w:szCs w:val="24"/>
        </w:rPr>
        <w:t>FortiGate</w:t>
      </w:r>
      <w:proofErr w:type="spellEnd"/>
      <w:r>
        <w:rPr>
          <w:szCs w:val="24"/>
        </w:rPr>
        <w:t xml:space="preserve"> 1801F.</w:t>
      </w:r>
    </w:p>
    <w:p w:rsidR="000A21A3" w:rsidRDefault="000A21A3" w:rsidP="000A21A3">
      <w:pPr>
        <w:numPr>
          <w:ilvl w:val="1"/>
          <w:numId w:val="1"/>
        </w:numPr>
        <w:tabs>
          <w:tab w:val="left" w:pos="1134"/>
        </w:tabs>
        <w:suppressAutoHyphens/>
        <w:spacing w:line="276" w:lineRule="auto"/>
        <w:ind w:left="0" w:firstLine="567"/>
        <w:jc w:val="both"/>
        <w:rPr>
          <w:szCs w:val="24"/>
        </w:rPr>
      </w:pPr>
      <w:r w:rsidRPr="006E6455">
        <w:rPr>
          <w:szCs w:val="24"/>
        </w:rPr>
        <w:t>Tinklo infrastuktūr</w:t>
      </w:r>
      <w:r>
        <w:rPr>
          <w:szCs w:val="24"/>
        </w:rPr>
        <w:t xml:space="preserve">a: </w:t>
      </w:r>
      <w:r w:rsidRPr="006E6455">
        <w:rPr>
          <w:szCs w:val="24"/>
        </w:rPr>
        <w:t xml:space="preserve">LAN komutatoriai, </w:t>
      </w:r>
      <w:proofErr w:type="spellStart"/>
      <w:r w:rsidRPr="006E6455">
        <w:rPr>
          <w:szCs w:val="24"/>
        </w:rPr>
        <w:t>Cisco</w:t>
      </w:r>
      <w:proofErr w:type="spellEnd"/>
      <w:r w:rsidRPr="006E6455">
        <w:rPr>
          <w:szCs w:val="24"/>
        </w:rPr>
        <w:t xml:space="preserve"> </w:t>
      </w:r>
      <w:proofErr w:type="spellStart"/>
      <w:r w:rsidRPr="006E6455">
        <w:rPr>
          <w:szCs w:val="24"/>
        </w:rPr>
        <w:t>Catalyst</w:t>
      </w:r>
      <w:proofErr w:type="spellEnd"/>
      <w:r w:rsidRPr="006E6455">
        <w:rPr>
          <w:szCs w:val="24"/>
        </w:rPr>
        <w:t xml:space="preserve"> (2960G, 3560G, 3650), </w:t>
      </w:r>
      <w:proofErr w:type="spellStart"/>
      <w:r w:rsidRPr="006E6455">
        <w:rPr>
          <w:szCs w:val="24"/>
        </w:rPr>
        <w:t>Cisco</w:t>
      </w:r>
      <w:proofErr w:type="spellEnd"/>
      <w:r w:rsidRPr="006E6455">
        <w:rPr>
          <w:szCs w:val="24"/>
        </w:rPr>
        <w:t xml:space="preserve"> </w:t>
      </w:r>
      <w:proofErr w:type="spellStart"/>
      <w:r w:rsidRPr="006E6455">
        <w:rPr>
          <w:szCs w:val="24"/>
        </w:rPr>
        <w:t>Nexus</w:t>
      </w:r>
      <w:proofErr w:type="spellEnd"/>
      <w:r w:rsidRPr="006E6455">
        <w:rPr>
          <w:szCs w:val="24"/>
        </w:rPr>
        <w:t xml:space="preserve"> </w:t>
      </w:r>
      <w:r>
        <w:rPr>
          <w:szCs w:val="24"/>
        </w:rPr>
        <w:t xml:space="preserve">(31108PCV), </w:t>
      </w:r>
      <w:proofErr w:type="spellStart"/>
      <w:r>
        <w:rPr>
          <w:szCs w:val="24"/>
        </w:rPr>
        <w:t>Cisco</w:t>
      </w:r>
      <w:proofErr w:type="spellEnd"/>
      <w:r>
        <w:rPr>
          <w:szCs w:val="24"/>
        </w:rPr>
        <w:t xml:space="preserve"> (9300, 9500).</w:t>
      </w:r>
    </w:p>
    <w:p w:rsidR="000A21A3" w:rsidRDefault="000A21A3" w:rsidP="000A21A3">
      <w:pPr>
        <w:numPr>
          <w:ilvl w:val="1"/>
          <w:numId w:val="1"/>
        </w:numPr>
        <w:tabs>
          <w:tab w:val="left" w:pos="1134"/>
        </w:tabs>
        <w:suppressAutoHyphens/>
        <w:spacing w:line="276" w:lineRule="auto"/>
        <w:ind w:left="0" w:firstLine="567"/>
        <w:jc w:val="both"/>
        <w:rPr>
          <w:szCs w:val="24"/>
        </w:rPr>
      </w:pPr>
      <w:r w:rsidRPr="006E6455">
        <w:rPr>
          <w:szCs w:val="24"/>
        </w:rPr>
        <w:t>Tinklo infrastruktūr</w:t>
      </w:r>
      <w:r>
        <w:rPr>
          <w:szCs w:val="24"/>
        </w:rPr>
        <w:t xml:space="preserve">a: </w:t>
      </w:r>
      <w:r w:rsidRPr="006E6455">
        <w:rPr>
          <w:szCs w:val="24"/>
        </w:rPr>
        <w:t>SAN komu</w:t>
      </w:r>
      <w:r>
        <w:rPr>
          <w:szCs w:val="24"/>
        </w:rPr>
        <w:t xml:space="preserve">tatoriai IBM 2498-F48, </w:t>
      </w:r>
      <w:proofErr w:type="spellStart"/>
      <w:r>
        <w:rPr>
          <w:szCs w:val="24"/>
        </w:rPr>
        <w:t>Brocade</w:t>
      </w:r>
      <w:proofErr w:type="spellEnd"/>
      <w:r>
        <w:rPr>
          <w:szCs w:val="24"/>
        </w:rPr>
        <w:t>.</w:t>
      </w:r>
    </w:p>
    <w:p w:rsidR="000A21A3" w:rsidRPr="006E6455" w:rsidRDefault="000A21A3" w:rsidP="000A21A3">
      <w:pPr>
        <w:numPr>
          <w:ilvl w:val="1"/>
          <w:numId w:val="1"/>
        </w:numPr>
        <w:tabs>
          <w:tab w:val="left" w:pos="1134"/>
        </w:tabs>
        <w:suppressAutoHyphens/>
        <w:spacing w:line="276" w:lineRule="auto"/>
        <w:ind w:left="0" w:firstLine="567"/>
        <w:jc w:val="both"/>
        <w:rPr>
          <w:szCs w:val="24"/>
        </w:rPr>
      </w:pPr>
      <w:r w:rsidRPr="006E6455">
        <w:rPr>
          <w:szCs w:val="24"/>
        </w:rPr>
        <w:t>SMS maršrutizatoriai TELTONIKA TRB140.</w:t>
      </w:r>
    </w:p>
    <w:p w:rsidR="000A21A3" w:rsidRDefault="000A21A3" w:rsidP="000A21A3">
      <w:pPr>
        <w:ind w:firstLine="567"/>
        <w:jc w:val="both"/>
        <w:rPr>
          <w:b/>
          <w:bCs/>
          <w:szCs w:val="24"/>
        </w:rPr>
      </w:pPr>
    </w:p>
    <w:p w:rsidR="000A21A3" w:rsidRDefault="000A21A3" w:rsidP="000A21A3">
      <w:pPr>
        <w:pStyle w:val="ListParagraph"/>
        <w:numPr>
          <w:ilvl w:val="0"/>
          <w:numId w:val="2"/>
        </w:numPr>
        <w:tabs>
          <w:tab w:val="left" w:pos="851"/>
        </w:tabs>
        <w:suppressAutoHyphens/>
        <w:spacing w:line="276" w:lineRule="auto"/>
        <w:ind w:left="0" w:firstLine="567"/>
        <w:jc w:val="both"/>
        <w:rPr>
          <w:b/>
          <w:szCs w:val="24"/>
        </w:rPr>
      </w:pPr>
      <w:r>
        <w:rPr>
          <w:b/>
          <w:szCs w:val="24"/>
        </w:rPr>
        <w:t>REGISTRŲ IR INFORMACINIŲ SISTEMŲ TECHNINĖS IR SISTEMINĖS PROGRAMINĖS ĮRANGOS</w:t>
      </w:r>
      <w:r>
        <w:rPr>
          <w:b/>
          <w:color w:val="000000"/>
          <w:szCs w:val="24"/>
        </w:rPr>
        <w:t xml:space="preserve"> PRIEŽIŪROS</w:t>
      </w:r>
      <w:r>
        <w:rPr>
          <w:b/>
          <w:szCs w:val="24"/>
        </w:rPr>
        <w:t xml:space="preserve"> APIMTIES REIKALAVIMAI</w:t>
      </w:r>
    </w:p>
    <w:p w:rsidR="000A21A3" w:rsidRDefault="000A21A3" w:rsidP="000A21A3">
      <w:pPr>
        <w:tabs>
          <w:tab w:val="left" w:pos="851"/>
        </w:tabs>
        <w:ind w:firstLine="567"/>
        <w:jc w:val="both"/>
        <w:rPr>
          <w:b/>
          <w:color w:val="000000" w:themeColor="text1"/>
          <w:szCs w:val="24"/>
          <w:lang w:eastAsia="lt-LT"/>
        </w:rPr>
      </w:pPr>
    </w:p>
    <w:p w:rsidR="000A21A3" w:rsidRPr="0029687A" w:rsidRDefault="000A21A3" w:rsidP="000A21A3">
      <w:pPr>
        <w:pStyle w:val="ListParagraph"/>
        <w:numPr>
          <w:ilvl w:val="1"/>
          <w:numId w:val="4"/>
        </w:numPr>
        <w:tabs>
          <w:tab w:val="left" w:pos="851"/>
        </w:tabs>
        <w:spacing w:after="120"/>
        <w:contextualSpacing w:val="0"/>
        <w:jc w:val="both"/>
        <w:rPr>
          <w:b/>
          <w:color w:val="000000" w:themeColor="text1"/>
          <w:lang w:eastAsia="lt-LT"/>
        </w:rPr>
      </w:pPr>
      <w:r w:rsidRPr="00F9344C">
        <w:rPr>
          <w:b/>
        </w:rPr>
        <w:t xml:space="preserve">RISTSPĮ </w:t>
      </w:r>
      <w:r>
        <w:rPr>
          <w:b/>
        </w:rPr>
        <w:t xml:space="preserve">kritinių </w:t>
      </w:r>
      <w:r w:rsidRPr="00F9344C">
        <w:rPr>
          <w:b/>
        </w:rPr>
        <w:t>sutrikimų šalinimas</w:t>
      </w:r>
    </w:p>
    <w:p w:rsidR="000A21A3" w:rsidRPr="0029687A" w:rsidRDefault="000A21A3" w:rsidP="000A21A3">
      <w:pPr>
        <w:pStyle w:val="ListParagraph"/>
        <w:tabs>
          <w:tab w:val="left" w:pos="851"/>
        </w:tabs>
        <w:spacing w:after="120"/>
        <w:ind w:left="360"/>
        <w:contextualSpacing w:val="0"/>
        <w:rPr>
          <w:bCs/>
          <w:color w:val="000000" w:themeColor="text1"/>
          <w:lang w:eastAsia="lt-LT"/>
        </w:rPr>
      </w:pPr>
      <w:r>
        <w:rPr>
          <w:bCs/>
        </w:rPr>
        <w:t>3.1.1. Kritinio s</w:t>
      </w:r>
      <w:r w:rsidRPr="0029687A">
        <w:rPr>
          <w:bCs/>
        </w:rPr>
        <w:t>utrikim</w:t>
      </w:r>
      <w:r>
        <w:rPr>
          <w:bCs/>
        </w:rPr>
        <w:t>o</w:t>
      </w:r>
      <w:r w:rsidRPr="0029687A">
        <w:rPr>
          <w:bCs/>
        </w:rPr>
        <w:t xml:space="preserve"> šalinimo </w:t>
      </w:r>
      <w:r>
        <w:rPr>
          <w:bCs/>
        </w:rPr>
        <w:t>darbai apima:</w:t>
      </w:r>
    </w:p>
    <w:p w:rsidR="000A21A3" w:rsidRPr="00105870"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Pr>
          <w:color w:val="000000" w:themeColor="text1"/>
        </w:rPr>
        <w:t xml:space="preserve">kritinio </w:t>
      </w:r>
      <w:r w:rsidRPr="00105870">
        <w:rPr>
          <w:color w:val="000000" w:themeColor="text1"/>
        </w:rPr>
        <w:t>sutrikim</w:t>
      </w:r>
      <w:r>
        <w:rPr>
          <w:color w:val="000000" w:themeColor="text1"/>
        </w:rPr>
        <w:t xml:space="preserve">o </w:t>
      </w:r>
      <w:r w:rsidRPr="00105870">
        <w:rPr>
          <w:color w:val="000000" w:themeColor="text1"/>
        </w:rPr>
        <w:t>priežasčių diagnostik</w:t>
      </w:r>
      <w:r>
        <w:rPr>
          <w:color w:val="000000" w:themeColor="text1"/>
        </w:rPr>
        <w:t>a</w:t>
      </w:r>
      <w:r w:rsidRPr="00105870">
        <w:rPr>
          <w:color w:val="000000" w:themeColor="text1"/>
        </w:rPr>
        <w:t>;</w:t>
      </w:r>
    </w:p>
    <w:p w:rsidR="000A21A3"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Pr>
          <w:color w:val="000000" w:themeColor="text1"/>
        </w:rPr>
        <w:t>sutrikimo šalinimo būdo parinkimas ir suderinimas su užsakovo įgaliotais specialistais;</w:t>
      </w:r>
    </w:p>
    <w:p w:rsidR="000A21A3"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sidRPr="00105870">
        <w:rPr>
          <w:color w:val="000000" w:themeColor="text1"/>
        </w:rPr>
        <w:t>piln</w:t>
      </w:r>
      <w:r>
        <w:rPr>
          <w:color w:val="000000" w:themeColor="text1"/>
        </w:rPr>
        <w:t>as</w:t>
      </w:r>
      <w:r w:rsidRPr="00105870">
        <w:rPr>
          <w:color w:val="000000" w:themeColor="text1"/>
        </w:rPr>
        <w:t xml:space="preserve"> </w:t>
      </w:r>
      <w:r>
        <w:rPr>
          <w:color w:val="000000" w:themeColor="text1"/>
        </w:rPr>
        <w:t xml:space="preserve">sutrikusio </w:t>
      </w:r>
      <w:r w:rsidRPr="009D1BFC">
        <w:rPr>
          <w:color w:val="000000" w:themeColor="text1"/>
        </w:rPr>
        <w:t>RISTSP</w:t>
      </w:r>
      <w:r w:rsidRPr="009D1BFC">
        <w:rPr>
          <w:rFonts w:hint="eastAsia"/>
          <w:color w:val="000000" w:themeColor="text1"/>
        </w:rPr>
        <w:t>Į</w:t>
      </w:r>
      <w:r w:rsidRPr="009D1BFC">
        <w:rPr>
          <w:color w:val="000000" w:themeColor="text1"/>
        </w:rPr>
        <w:t xml:space="preserve"> </w:t>
      </w:r>
      <w:r>
        <w:rPr>
          <w:color w:val="000000" w:themeColor="text1"/>
        </w:rPr>
        <w:t xml:space="preserve">komponento </w:t>
      </w:r>
      <w:r w:rsidRPr="00105870">
        <w:rPr>
          <w:color w:val="000000" w:themeColor="text1"/>
        </w:rPr>
        <w:t>veikimo atstatym</w:t>
      </w:r>
      <w:r>
        <w:rPr>
          <w:color w:val="000000" w:themeColor="text1"/>
        </w:rPr>
        <w:t>as</w:t>
      </w:r>
      <w:r w:rsidRPr="00105870">
        <w:rPr>
          <w:color w:val="000000" w:themeColor="text1"/>
        </w:rPr>
        <w:t>;</w:t>
      </w:r>
    </w:p>
    <w:p w:rsidR="000A21A3" w:rsidRPr="00105870"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Pr>
          <w:color w:val="000000" w:themeColor="text1"/>
        </w:rPr>
        <w:t>prarastų ar sugadintų duomenų atstatymas, jeigu yra toks poreikis ir techninė galimybė;</w:t>
      </w:r>
    </w:p>
    <w:p w:rsidR="000A21A3" w:rsidRDefault="000A21A3" w:rsidP="000A21A3">
      <w:pPr>
        <w:numPr>
          <w:ilvl w:val="0"/>
          <w:numId w:val="5"/>
        </w:numPr>
        <w:spacing w:after="120"/>
        <w:ind w:left="851" w:hanging="338"/>
        <w:jc w:val="both"/>
        <w:rPr>
          <w:szCs w:val="24"/>
        </w:rPr>
      </w:pPr>
      <w:r>
        <w:rPr>
          <w:szCs w:val="24"/>
        </w:rPr>
        <w:t>prevencinių priemonių įgyvendinimas, kad sutrikimas nepasikartotų</w:t>
      </w:r>
      <w:r w:rsidRPr="00505107">
        <w:rPr>
          <w:szCs w:val="24"/>
        </w:rPr>
        <w:t>.</w:t>
      </w:r>
    </w:p>
    <w:p w:rsidR="000A21A3" w:rsidRDefault="000A21A3" w:rsidP="000A21A3">
      <w:pPr>
        <w:spacing w:after="120"/>
        <w:ind w:firstLine="709"/>
        <w:jc w:val="both"/>
      </w:pPr>
      <w:r>
        <w:t>3.1.2. Kritinių s</w:t>
      </w:r>
      <w:r w:rsidRPr="0029687A">
        <w:t>utrikimų šalinimo paslaugos turi būti teikiamos 24 valandas per parą, 7 dienas per savaitę.</w:t>
      </w:r>
    </w:p>
    <w:p w:rsidR="000A21A3" w:rsidRPr="0029687A" w:rsidRDefault="000A21A3" w:rsidP="000A21A3">
      <w:pPr>
        <w:spacing w:after="120"/>
        <w:ind w:firstLine="709"/>
        <w:jc w:val="both"/>
      </w:pPr>
    </w:p>
    <w:p w:rsidR="000A21A3" w:rsidRDefault="000A21A3" w:rsidP="000A21A3">
      <w:pPr>
        <w:pStyle w:val="ListParagraph"/>
        <w:numPr>
          <w:ilvl w:val="1"/>
          <w:numId w:val="4"/>
        </w:numPr>
        <w:tabs>
          <w:tab w:val="left" w:pos="851"/>
        </w:tabs>
        <w:spacing w:after="120"/>
        <w:contextualSpacing w:val="0"/>
        <w:jc w:val="both"/>
        <w:rPr>
          <w:b/>
          <w:color w:val="000000" w:themeColor="text1"/>
          <w:lang w:eastAsia="lt-LT"/>
        </w:rPr>
      </w:pPr>
      <w:r w:rsidRPr="00A22C6F">
        <w:rPr>
          <w:b/>
        </w:rPr>
        <w:t>RISTSPĮ</w:t>
      </w:r>
      <w:r w:rsidRPr="00A22C6F">
        <w:rPr>
          <w:b/>
          <w:color w:val="000000" w:themeColor="text1"/>
          <w:lang w:eastAsia="lt-LT"/>
        </w:rPr>
        <w:t xml:space="preserve"> įrangos</w:t>
      </w:r>
      <w:r>
        <w:rPr>
          <w:b/>
          <w:color w:val="000000" w:themeColor="text1"/>
          <w:lang w:eastAsia="lt-LT"/>
        </w:rPr>
        <w:t xml:space="preserve"> </w:t>
      </w:r>
      <w:r w:rsidRPr="001D12FC">
        <w:rPr>
          <w:b/>
          <w:color w:val="000000" w:themeColor="text1"/>
          <w:lang w:eastAsia="lt-LT"/>
        </w:rPr>
        <w:t>nekritini</w:t>
      </w:r>
      <w:r w:rsidRPr="001D12FC">
        <w:rPr>
          <w:rFonts w:hint="eastAsia"/>
          <w:b/>
          <w:color w:val="000000" w:themeColor="text1"/>
          <w:lang w:eastAsia="lt-LT"/>
        </w:rPr>
        <w:t>ų</w:t>
      </w:r>
      <w:r w:rsidRPr="001D12FC">
        <w:rPr>
          <w:b/>
          <w:color w:val="000000" w:themeColor="text1"/>
          <w:lang w:eastAsia="lt-LT"/>
        </w:rPr>
        <w:t xml:space="preserve"> sutrikim</w:t>
      </w:r>
      <w:r w:rsidRPr="001D12FC">
        <w:rPr>
          <w:rFonts w:hint="eastAsia"/>
          <w:b/>
          <w:color w:val="000000" w:themeColor="text1"/>
          <w:lang w:eastAsia="lt-LT"/>
        </w:rPr>
        <w:t>ų</w:t>
      </w:r>
      <w:r w:rsidRPr="001D12FC">
        <w:rPr>
          <w:b/>
          <w:color w:val="000000" w:themeColor="text1"/>
          <w:lang w:eastAsia="lt-LT"/>
        </w:rPr>
        <w:t xml:space="preserve"> šalinimas, profilaktin</w:t>
      </w:r>
      <w:r w:rsidRPr="001D12FC">
        <w:rPr>
          <w:rFonts w:hint="eastAsia"/>
          <w:b/>
          <w:color w:val="000000" w:themeColor="text1"/>
          <w:lang w:eastAsia="lt-LT"/>
        </w:rPr>
        <w:t>ė</w:t>
      </w:r>
      <w:r w:rsidRPr="001D12FC">
        <w:rPr>
          <w:b/>
          <w:color w:val="000000" w:themeColor="text1"/>
          <w:lang w:eastAsia="lt-LT"/>
        </w:rPr>
        <w:t xml:space="preserve"> prieži</w:t>
      </w:r>
      <w:r w:rsidRPr="001D12FC">
        <w:rPr>
          <w:rFonts w:hint="eastAsia"/>
          <w:b/>
          <w:color w:val="000000" w:themeColor="text1"/>
          <w:lang w:eastAsia="lt-LT"/>
        </w:rPr>
        <w:t>ū</w:t>
      </w:r>
      <w:r w:rsidRPr="001D12FC">
        <w:rPr>
          <w:b/>
          <w:color w:val="000000" w:themeColor="text1"/>
          <w:lang w:eastAsia="lt-LT"/>
        </w:rPr>
        <w:t>ra, veikimo optimizavimas, funkcionalumo vystymas</w:t>
      </w:r>
    </w:p>
    <w:p w:rsidR="000A21A3" w:rsidRDefault="000A21A3" w:rsidP="000A21A3">
      <w:pPr>
        <w:spacing w:after="120"/>
        <w:ind w:firstLine="567"/>
        <w:jc w:val="both"/>
      </w:pPr>
      <w:r>
        <w:t>3.2.1 N</w:t>
      </w:r>
      <w:r w:rsidRPr="0004479F">
        <w:t>ekritini</w:t>
      </w:r>
      <w:r w:rsidRPr="0004479F">
        <w:rPr>
          <w:rFonts w:hint="eastAsia"/>
        </w:rPr>
        <w:t>ų</w:t>
      </w:r>
      <w:r w:rsidRPr="0004479F">
        <w:t xml:space="preserve"> sutrikim</w:t>
      </w:r>
      <w:r w:rsidRPr="0004479F">
        <w:rPr>
          <w:rFonts w:hint="eastAsia"/>
        </w:rPr>
        <w:t>ų</w:t>
      </w:r>
      <w:r w:rsidRPr="0004479F">
        <w:t xml:space="preserve"> šalinim</w:t>
      </w:r>
      <w:r>
        <w:t>o</w:t>
      </w:r>
      <w:r w:rsidRPr="0004479F">
        <w:t>, profilaktin</w:t>
      </w:r>
      <w:r w:rsidRPr="0004479F">
        <w:rPr>
          <w:rFonts w:hint="eastAsia"/>
        </w:rPr>
        <w:t>ė</w:t>
      </w:r>
      <w:r>
        <w:t>s</w:t>
      </w:r>
      <w:r w:rsidRPr="0004479F">
        <w:t xml:space="preserve"> prieži</w:t>
      </w:r>
      <w:r w:rsidRPr="0004479F">
        <w:rPr>
          <w:rFonts w:hint="eastAsia"/>
        </w:rPr>
        <w:t>ū</w:t>
      </w:r>
      <w:r w:rsidRPr="0004479F">
        <w:t>r</w:t>
      </w:r>
      <w:r>
        <w:t>os</w:t>
      </w:r>
      <w:r w:rsidRPr="0004479F">
        <w:t>, veikimo optimizavim</w:t>
      </w:r>
      <w:r>
        <w:t>o</w:t>
      </w:r>
      <w:r w:rsidRPr="0004479F">
        <w:t>, funkcionalumo vystym</w:t>
      </w:r>
      <w:r>
        <w:t>o darbai apima:</w:t>
      </w:r>
    </w:p>
    <w:p w:rsidR="000A21A3" w:rsidRPr="00105870"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Pr>
          <w:color w:val="000000" w:themeColor="text1"/>
        </w:rPr>
        <w:t xml:space="preserve">nekritinių </w:t>
      </w:r>
      <w:r w:rsidRPr="00105870">
        <w:rPr>
          <w:color w:val="000000" w:themeColor="text1"/>
        </w:rPr>
        <w:t>sutrikim</w:t>
      </w:r>
      <w:r>
        <w:rPr>
          <w:color w:val="000000" w:themeColor="text1"/>
        </w:rPr>
        <w:t xml:space="preserve">ų </w:t>
      </w:r>
      <w:r w:rsidRPr="00105870">
        <w:rPr>
          <w:color w:val="000000" w:themeColor="text1"/>
        </w:rPr>
        <w:t>priežasčių diagnostik</w:t>
      </w:r>
      <w:r>
        <w:rPr>
          <w:color w:val="000000" w:themeColor="text1"/>
        </w:rPr>
        <w:t xml:space="preserve">a ir </w:t>
      </w:r>
      <w:r w:rsidRPr="0004479F">
        <w:rPr>
          <w:color w:val="000000" w:themeColor="text1"/>
        </w:rPr>
        <w:t>RISTSP</w:t>
      </w:r>
      <w:r w:rsidRPr="0004479F">
        <w:rPr>
          <w:rFonts w:hint="eastAsia"/>
          <w:color w:val="000000" w:themeColor="text1"/>
        </w:rPr>
        <w:t>Į</w:t>
      </w:r>
      <w:r w:rsidRPr="0004479F">
        <w:rPr>
          <w:color w:val="000000" w:themeColor="text1"/>
        </w:rPr>
        <w:t xml:space="preserve"> </w:t>
      </w:r>
      <w:r w:rsidRPr="0004479F">
        <w:rPr>
          <w:rFonts w:hint="eastAsia"/>
          <w:color w:val="000000" w:themeColor="text1"/>
        </w:rPr>
        <w:t>į</w:t>
      </w:r>
      <w:r w:rsidRPr="0004479F">
        <w:rPr>
          <w:color w:val="000000" w:themeColor="text1"/>
        </w:rPr>
        <w:t xml:space="preserve">rangos </w:t>
      </w:r>
      <w:r>
        <w:rPr>
          <w:color w:val="000000" w:themeColor="text1"/>
        </w:rPr>
        <w:t>įprasto veikimo atkūrimas</w:t>
      </w:r>
      <w:r w:rsidRPr="00105870">
        <w:rPr>
          <w:color w:val="000000" w:themeColor="text1"/>
        </w:rPr>
        <w:t>;</w:t>
      </w:r>
    </w:p>
    <w:p w:rsidR="000A21A3"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sidRPr="00105870">
        <w:rPr>
          <w:color w:val="000000" w:themeColor="text1"/>
        </w:rPr>
        <w:t xml:space="preserve">programinės įrangos klaidų </w:t>
      </w:r>
      <w:r>
        <w:rPr>
          <w:color w:val="000000" w:themeColor="text1"/>
        </w:rPr>
        <w:t xml:space="preserve">ir saugumo spragų </w:t>
      </w:r>
      <w:r w:rsidRPr="00105870">
        <w:rPr>
          <w:color w:val="000000" w:themeColor="text1"/>
        </w:rPr>
        <w:t>diagnozavim</w:t>
      </w:r>
      <w:r>
        <w:rPr>
          <w:color w:val="000000" w:themeColor="text1"/>
        </w:rPr>
        <w:t>as</w:t>
      </w:r>
      <w:r w:rsidRPr="00105870">
        <w:rPr>
          <w:color w:val="000000" w:themeColor="text1"/>
        </w:rPr>
        <w:t>, pataisymų</w:t>
      </w:r>
      <w:r>
        <w:rPr>
          <w:color w:val="000000" w:themeColor="text1"/>
        </w:rPr>
        <w:t xml:space="preserve"> parengimas, </w:t>
      </w:r>
      <w:r w:rsidRPr="00105870">
        <w:rPr>
          <w:color w:val="000000" w:themeColor="text1"/>
        </w:rPr>
        <w:t>testavim</w:t>
      </w:r>
      <w:r>
        <w:rPr>
          <w:color w:val="000000" w:themeColor="text1"/>
        </w:rPr>
        <w:t>as</w:t>
      </w:r>
      <w:r w:rsidRPr="00105870">
        <w:rPr>
          <w:color w:val="000000" w:themeColor="text1"/>
        </w:rPr>
        <w:t xml:space="preserve"> ir diegim</w:t>
      </w:r>
      <w:r>
        <w:rPr>
          <w:color w:val="000000" w:themeColor="text1"/>
        </w:rPr>
        <w:t>as</w:t>
      </w:r>
      <w:r w:rsidRPr="00105870">
        <w:rPr>
          <w:color w:val="000000" w:themeColor="text1"/>
        </w:rPr>
        <w:t>;</w:t>
      </w:r>
    </w:p>
    <w:p w:rsidR="000A21A3" w:rsidRDefault="000A21A3" w:rsidP="000A21A3">
      <w:pPr>
        <w:pStyle w:val="ListParagraph"/>
        <w:numPr>
          <w:ilvl w:val="1"/>
          <w:numId w:val="3"/>
        </w:numPr>
        <w:tabs>
          <w:tab w:val="left" w:pos="851"/>
        </w:tabs>
        <w:spacing w:after="120"/>
        <w:ind w:left="851" w:hanging="338"/>
        <w:contextualSpacing w:val="0"/>
        <w:jc w:val="both"/>
        <w:rPr>
          <w:color w:val="000000" w:themeColor="text1"/>
        </w:rPr>
      </w:pPr>
      <w:r>
        <w:t>RISTSPĮ</w:t>
      </w:r>
      <w:r>
        <w:rPr>
          <w:color w:val="000000" w:themeColor="text1"/>
        </w:rPr>
        <w:t xml:space="preserve"> </w:t>
      </w:r>
      <w:r w:rsidRPr="00105870">
        <w:rPr>
          <w:color w:val="000000" w:themeColor="text1"/>
        </w:rPr>
        <w:t>sutrikimų prevencijos rekomendacij</w:t>
      </w:r>
      <w:r>
        <w:rPr>
          <w:color w:val="000000" w:themeColor="text1"/>
        </w:rPr>
        <w:t>ų teikimas</w:t>
      </w:r>
      <w:r w:rsidRPr="00105870">
        <w:rPr>
          <w:color w:val="000000" w:themeColor="text1"/>
        </w:rPr>
        <w:t xml:space="preserve"> ir j</w:t>
      </w:r>
      <w:r>
        <w:rPr>
          <w:color w:val="000000" w:themeColor="text1"/>
        </w:rPr>
        <w:t>ų įgyvendinimas</w:t>
      </w:r>
      <w:r w:rsidRPr="00105870">
        <w:rPr>
          <w:color w:val="000000" w:themeColor="text1"/>
        </w:rPr>
        <w:t>;</w:t>
      </w:r>
    </w:p>
    <w:p w:rsidR="000A21A3" w:rsidRPr="00105870" w:rsidRDefault="000A21A3" w:rsidP="000A21A3">
      <w:pPr>
        <w:pStyle w:val="ListParagraph"/>
        <w:numPr>
          <w:ilvl w:val="1"/>
          <w:numId w:val="3"/>
        </w:numPr>
        <w:tabs>
          <w:tab w:val="left" w:pos="851"/>
        </w:tabs>
        <w:spacing w:after="120"/>
        <w:ind w:left="851" w:hanging="338"/>
        <w:contextualSpacing w:val="0"/>
        <w:jc w:val="both"/>
        <w:rPr>
          <w:color w:val="000000" w:themeColor="text1"/>
        </w:rPr>
      </w:pPr>
      <w:r>
        <w:t>RISTSPĮ</w:t>
      </w:r>
      <w:r>
        <w:rPr>
          <w:color w:val="000000" w:themeColor="text1"/>
        </w:rPr>
        <w:t xml:space="preserve"> saugumo pagerinimo </w:t>
      </w:r>
      <w:r w:rsidRPr="00105870">
        <w:rPr>
          <w:color w:val="000000" w:themeColor="text1"/>
        </w:rPr>
        <w:t>rekomendacij</w:t>
      </w:r>
      <w:r>
        <w:rPr>
          <w:color w:val="000000" w:themeColor="text1"/>
        </w:rPr>
        <w:t>ų teikimas</w:t>
      </w:r>
      <w:r w:rsidRPr="00105870">
        <w:rPr>
          <w:color w:val="000000" w:themeColor="text1"/>
        </w:rPr>
        <w:t xml:space="preserve"> ir j</w:t>
      </w:r>
      <w:r>
        <w:rPr>
          <w:color w:val="000000" w:themeColor="text1"/>
        </w:rPr>
        <w:t>ų įgyvendinimas</w:t>
      </w:r>
      <w:r w:rsidRPr="00105870">
        <w:rPr>
          <w:color w:val="000000" w:themeColor="text1"/>
        </w:rPr>
        <w:t>;</w:t>
      </w:r>
    </w:p>
    <w:p w:rsidR="000A21A3" w:rsidRDefault="000A21A3" w:rsidP="000A21A3">
      <w:pPr>
        <w:pStyle w:val="ListParagraph"/>
        <w:numPr>
          <w:ilvl w:val="1"/>
          <w:numId w:val="3"/>
        </w:numPr>
        <w:tabs>
          <w:tab w:val="left" w:pos="851"/>
        </w:tabs>
        <w:spacing w:after="120"/>
        <w:ind w:left="851" w:hanging="338"/>
        <w:contextualSpacing w:val="0"/>
        <w:jc w:val="both"/>
        <w:rPr>
          <w:color w:val="000000" w:themeColor="text1"/>
        </w:rPr>
      </w:pPr>
      <w:r>
        <w:t>RISTSPĮ</w:t>
      </w:r>
      <w:r>
        <w:rPr>
          <w:color w:val="000000" w:themeColor="text1"/>
        </w:rPr>
        <w:t xml:space="preserve"> klaidų </w:t>
      </w:r>
      <w:r w:rsidRPr="00105870">
        <w:rPr>
          <w:color w:val="000000" w:themeColor="text1"/>
        </w:rPr>
        <w:t>žurnal</w:t>
      </w:r>
      <w:r>
        <w:rPr>
          <w:color w:val="000000" w:themeColor="text1"/>
        </w:rPr>
        <w:t xml:space="preserve">ų analizė </w:t>
      </w:r>
      <w:r w:rsidRPr="00105870">
        <w:rPr>
          <w:color w:val="000000" w:themeColor="text1"/>
        </w:rPr>
        <w:t>ir rekomendacij</w:t>
      </w:r>
      <w:r>
        <w:rPr>
          <w:color w:val="000000" w:themeColor="text1"/>
        </w:rPr>
        <w:t>ų</w:t>
      </w:r>
      <w:r w:rsidRPr="00105870">
        <w:rPr>
          <w:color w:val="000000" w:themeColor="text1"/>
        </w:rPr>
        <w:t>, kaip išvengti galimų sutrikimų</w:t>
      </w:r>
      <w:r>
        <w:rPr>
          <w:color w:val="000000" w:themeColor="text1"/>
        </w:rPr>
        <w:t>, teikimas</w:t>
      </w:r>
      <w:r w:rsidRPr="00105870">
        <w:rPr>
          <w:color w:val="000000" w:themeColor="text1"/>
        </w:rPr>
        <w:t>;</w:t>
      </w:r>
    </w:p>
    <w:p w:rsidR="000A21A3" w:rsidRPr="0004479F"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sidRPr="00105870">
        <w:t xml:space="preserve">galimų sutrikimų </w:t>
      </w:r>
      <w:r>
        <w:t>dėl</w:t>
      </w:r>
      <w:r w:rsidRPr="00105870">
        <w:t xml:space="preserve"> </w:t>
      </w:r>
      <w:r>
        <w:t xml:space="preserve">techninių </w:t>
      </w:r>
      <w:r w:rsidRPr="00105870">
        <w:t>resursų trūkumo prognozė</w:t>
      </w:r>
      <w:r>
        <w:t>;</w:t>
      </w:r>
    </w:p>
    <w:p w:rsidR="000A21A3" w:rsidRPr="0004479F"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sidRPr="00105870">
        <w:lastRenderedPageBreak/>
        <w:t>naudojamų techninių ir programinės įrangos resursų optimizavimas</w:t>
      </w:r>
      <w:r>
        <w:t xml:space="preserve"> RISTSPĮ</w:t>
      </w:r>
      <w:r>
        <w:rPr>
          <w:color w:val="000000" w:themeColor="text1"/>
        </w:rPr>
        <w:t xml:space="preserve"> </w:t>
      </w:r>
      <w:r>
        <w:t>našumui ir saugumui užtikrinti;</w:t>
      </w:r>
    </w:p>
    <w:p w:rsidR="000A21A3" w:rsidRPr="0004479F" w:rsidRDefault="000A21A3" w:rsidP="000A21A3">
      <w:pPr>
        <w:pStyle w:val="ListParagraph"/>
        <w:numPr>
          <w:ilvl w:val="1"/>
          <w:numId w:val="3"/>
        </w:numPr>
        <w:tabs>
          <w:tab w:val="left" w:pos="851"/>
        </w:tabs>
        <w:spacing w:after="120"/>
        <w:ind w:left="851" w:hanging="338"/>
        <w:contextualSpacing w:val="0"/>
        <w:jc w:val="both"/>
        <w:rPr>
          <w:color w:val="000000" w:themeColor="text1"/>
        </w:rPr>
      </w:pPr>
      <w:r>
        <w:rPr>
          <w:color w:val="000000" w:themeColor="text1"/>
        </w:rPr>
        <w:t xml:space="preserve">sisteminės </w:t>
      </w:r>
      <w:r w:rsidRPr="0004479F">
        <w:rPr>
          <w:color w:val="000000" w:themeColor="text1"/>
        </w:rPr>
        <w:t>programin</w:t>
      </w:r>
      <w:r w:rsidRPr="0004479F">
        <w:rPr>
          <w:rFonts w:hint="eastAsia"/>
          <w:color w:val="000000" w:themeColor="text1"/>
        </w:rPr>
        <w:t>ė</w:t>
      </w:r>
      <w:r w:rsidRPr="0004479F">
        <w:rPr>
          <w:color w:val="000000" w:themeColor="text1"/>
        </w:rPr>
        <w:t xml:space="preserve">s </w:t>
      </w:r>
      <w:r w:rsidRPr="0004479F">
        <w:rPr>
          <w:rFonts w:hint="eastAsia"/>
          <w:color w:val="000000" w:themeColor="text1"/>
        </w:rPr>
        <w:t>į</w:t>
      </w:r>
      <w:r w:rsidRPr="0004479F">
        <w:rPr>
          <w:color w:val="000000" w:themeColor="text1"/>
        </w:rPr>
        <w:t>rangos atnaujinim</w:t>
      </w:r>
      <w:r w:rsidRPr="0004479F">
        <w:rPr>
          <w:rFonts w:hint="eastAsia"/>
          <w:color w:val="000000" w:themeColor="text1"/>
        </w:rPr>
        <w:t>ų</w:t>
      </w:r>
      <w:r w:rsidRPr="0004479F">
        <w:rPr>
          <w:color w:val="000000" w:themeColor="text1"/>
        </w:rPr>
        <w:t xml:space="preserve"> ir pataisym</w:t>
      </w:r>
      <w:r w:rsidRPr="0004479F">
        <w:rPr>
          <w:rFonts w:hint="eastAsia"/>
          <w:color w:val="000000" w:themeColor="text1"/>
        </w:rPr>
        <w:t>ų</w:t>
      </w:r>
      <w:r w:rsidRPr="0004479F">
        <w:rPr>
          <w:color w:val="000000" w:themeColor="text1"/>
        </w:rPr>
        <w:t xml:space="preserve"> diegimas</w:t>
      </w:r>
      <w:r>
        <w:rPr>
          <w:color w:val="000000" w:themeColor="text1"/>
        </w:rPr>
        <w:t>;</w:t>
      </w:r>
    </w:p>
    <w:p w:rsidR="000A21A3" w:rsidRPr="008439C0" w:rsidRDefault="000A21A3" w:rsidP="000A21A3">
      <w:pPr>
        <w:numPr>
          <w:ilvl w:val="0"/>
          <w:numId w:val="5"/>
        </w:numPr>
        <w:spacing w:after="120"/>
        <w:ind w:left="851" w:hanging="338"/>
        <w:jc w:val="both"/>
        <w:rPr>
          <w:szCs w:val="24"/>
        </w:rPr>
      </w:pPr>
      <w:r>
        <w:rPr>
          <w:bCs/>
          <w:color w:val="000000" w:themeColor="text1"/>
          <w:lang w:eastAsia="lt-LT"/>
        </w:rPr>
        <w:t xml:space="preserve">papildomo </w:t>
      </w:r>
      <w:r w:rsidRPr="008439C0">
        <w:rPr>
          <w:szCs w:val="24"/>
        </w:rPr>
        <w:t>funkcionalumo detalios specifikacijos rengimas ir derinimas;</w:t>
      </w:r>
    </w:p>
    <w:p w:rsidR="000A21A3" w:rsidRPr="008439C0" w:rsidRDefault="000A21A3" w:rsidP="000A21A3">
      <w:pPr>
        <w:numPr>
          <w:ilvl w:val="0"/>
          <w:numId w:val="5"/>
        </w:numPr>
        <w:spacing w:after="120"/>
        <w:ind w:left="851" w:hanging="338"/>
        <w:jc w:val="both"/>
        <w:rPr>
          <w:szCs w:val="24"/>
        </w:rPr>
      </w:pPr>
      <w:r w:rsidRPr="008439C0">
        <w:rPr>
          <w:szCs w:val="24"/>
        </w:rPr>
        <w:t xml:space="preserve">papildomo funkcionalumo analizės, projektavo, kūrimo, testavimo </w:t>
      </w:r>
      <w:r>
        <w:rPr>
          <w:szCs w:val="24"/>
        </w:rPr>
        <w:t xml:space="preserve">ir diegimo </w:t>
      </w:r>
      <w:r w:rsidRPr="008439C0">
        <w:rPr>
          <w:szCs w:val="24"/>
        </w:rPr>
        <w:t>darb</w:t>
      </w:r>
      <w:r>
        <w:rPr>
          <w:szCs w:val="24"/>
        </w:rPr>
        <w:t>ai;</w:t>
      </w:r>
    </w:p>
    <w:p w:rsidR="000A21A3" w:rsidRDefault="000A21A3" w:rsidP="000A21A3">
      <w:pPr>
        <w:numPr>
          <w:ilvl w:val="0"/>
          <w:numId w:val="5"/>
        </w:numPr>
        <w:spacing w:after="120"/>
        <w:ind w:left="851" w:hanging="338"/>
        <w:jc w:val="both"/>
      </w:pPr>
      <w:r w:rsidRPr="0004479F">
        <w:rPr>
          <w:color w:val="000000" w:themeColor="text1"/>
        </w:rPr>
        <w:t>technin</w:t>
      </w:r>
      <w:r w:rsidRPr="0004479F">
        <w:rPr>
          <w:rFonts w:hint="eastAsia"/>
          <w:color w:val="000000" w:themeColor="text1"/>
        </w:rPr>
        <w:t>ė</w:t>
      </w:r>
      <w:r w:rsidRPr="0004479F">
        <w:rPr>
          <w:color w:val="000000" w:themeColor="text1"/>
        </w:rPr>
        <w:t>s dokumentacijos aktualizavimas</w:t>
      </w:r>
      <w:r>
        <w:rPr>
          <w:color w:val="000000" w:themeColor="text1"/>
        </w:rPr>
        <w:t>;</w:t>
      </w:r>
    </w:p>
    <w:p w:rsidR="000A21A3" w:rsidRDefault="000A21A3" w:rsidP="000A21A3">
      <w:pPr>
        <w:numPr>
          <w:ilvl w:val="0"/>
          <w:numId w:val="5"/>
        </w:numPr>
        <w:spacing w:after="120"/>
        <w:ind w:left="851" w:hanging="338"/>
        <w:jc w:val="both"/>
        <w:rPr>
          <w:szCs w:val="24"/>
        </w:rPr>
      </w:pPr>
      <w:r w:rsidRPr="00505107">
        <w:rPr>
          <w:szCs w:val="24"/>
        </w:rPr>
        <w:t xml:space="preserve">administratorių konsultavimas </w:t>
      </w:r>
      <w:r>
        <w:t>RISTSPĮ</w:t>
      </w:r>
      <w:r w:rsidRPr="00505107">
        <w:rPr>
          <w:szCs w:val="24"/>
        </w:rPr>
        <w:t xml:space="preserve"> eksploatacijos klausimais.</w:t>
      </w:r>
    </w:p>
    <w:p w:rsidR="000A21A3" w:rsidRPr="003D30D0" w:rsidRDefault="000A21A3" w:rsidP="000A21A3">
      <w:pPr>
        <w:spacing w:after="120"/>
        <w:ind w:left="513"/>
        <w:jc w:val="both"/>
      </w:pPr>
    </w:p>
    <w:p w:rsidR="000A21A3" w:rsidRDefault="000A21A3" w:rsidP="000A21A3">
      <w:pPr>
        <w:spacing w:after="120"/>
        <w:ind w:firstLine="567"/>
        <w:jc w:val="both"/>
        <w:rPr>
          <w:rFonts w:eastAsiaTheme="minorHAnsi"/>
          <w:szCs w:val="24"/>
          <w:lang w:eastAsia="lt-LT"/>
        </w:rPr>
      </w:pPr>
      <w:r w:rsidRPr="008439C0">
        <w:t>3.2.</w:t>
      </w:r>
      <w:r>
        <w:t>2</w:t>
      </w:r>
      <w:r w:rsidRPr="008439C0">
        <w:t xml:space="preserve"> </w:t>
      </w:r>
      <w:r>
        <w:t>Užduoties derinimas ir įgyvendinimas vykdomas darbo valandomis pagal perkančiosios organizacijos ir tiekėjo suderintą grafiką</w:t>
      </w:r>
      <w:r>
        <w:rPr>
          <w:rFonts w:eastAsiaTheme="minorHAnsi"/>
          <w:szCs w:val="24"/>
          <w:lang w:eastAsia="lt-LT"/>
        </w:rPr>
        <w:t>.</w:t>
      </w:r>
    </w:p>
    <w:p w:rsidR="000A21A3" w:rsidRDefault="000A21A3" w:rsidP="000A21A3">
      <w:pPr>
        <w:pStyle w:val="ListParagraph"/>
        <w:tabs>
          <w:tab w:val="left" w:pos="1134"/>
        </w:tabs>
        <w:spacing w:after="120"/>
        <w:ind w:firstLine="426"/>
        <w:contextualSpacing w:val="0"/>
        <w:rPr>
          <w:b/>
        </w:rPr>
      </w:pPr>
    </w:p>
    <w:p w:rsidR="000A21A3" w:rsidRPr="00ED3D6E" w:rsidRDefault="000A21A3" w:rsidP="000A21A3">
      <w:pPr>
        <w:pStyle w:val="ListParagraph"/>
        <w:numPr>
          <w:ilvl w:val="0"/>
          <w:numId w:val="4"/>
        </w:numPr>
        <w:tabs>
          <w:tab w:val="left" w:pos="851"/>
        </w:tabs>
        <w:spacing w:after="120"/>
        <w:contextualSpacing w:val="0"/>
        <w:rPr>
          <w:b/>
        </w:rPr>
      </w:pPr>
      <w:r w:rsidRPr="00ED3D6E">
        <w:rPr>
          <w:b/>
        </w:rPr>
        <w:t>REGISTR</w:t>
      </w:r>
      <w:r w:rsidRPr="00ED3D6E">
        <w:rPr>
          <w:rFonts w:hint="eastAsia"/>
          <w:b/>
        </w:rPr>
        <w:t>Ų</w:t>
      </w:r>
      <w:r w:rsidRPr="00ED3D6E">
        <w:rPr>
          <w:b/>
        </w:rPr>
        <w:t xml:space="preserve"> IR INFORMACINI</w:t>
      </w:r>
      <w:r w:rsidRPr="00ED3D6E">
        <w:rPr>
          <w:rFonts w:hint="eastAsia"/>
          <w:b/>
        </w:rPr>
        <w:t>Ų</w:t>
      </w:r>
      <w:r w:rsidRPr="00ED3D6E">
        <w:rPr>
          <w:b/>
        </w:rPr>
        <w:t xml:space="preserve"> SISTEM</w:t>
      </w:r>
      <w:r w:rsidRPr="00ED3D6E">
        <w:rPr>
          <w:rFonts w:hint="eastAsia"/>
          <w:b/>
        </w:rPr>
        <w:t>Ų</w:t>
      </w:r>
      <w:r w:rsidRPr="00ED3D6E">
        <w:rPr>
          <w:b/>
        </w:rPr>
        <w:t xml:space="preserve"> TECHNIN</w:t>
      </w:r>
      <w:r w:rsidRPr="00ED3D6E">
        <w:rPr>
          <w:rFonts w:hint="eastAsia"/>
          <w:b/>
        </w:rPr>
        <w:t>Ė</w:t>
      </w:r>
      <w:r w:rsidRPr="00ED3D6E">
        <w:rPr>
          <w:b/>
        </w:rPr>
        <w:t>S IR SISTEMIN</w:t>
      </w:r>
      <w:r w:rsidRPr="00ED3D6E">
        <w:rPr>
          <w:rFonts w:hint="eastAsia"/>
          <w:b/>
        </w:rPr>
        <w:t>Ė</w:t>
      </w:r>
      <w:r w:rsidRPr="00ED3D6E">
        <w:rPr>
          <w:b/>
        </w:rPr>
        <w:t>S PROGRAMIN</w:t>
      </w:r>
      <w:r w:rsidRPr="00ED3D6E">
        <w:rPr>
          <w:rFonts w:hint="eastAsia"/>
          <w:b/>
        </w:rPr>
        <w:t>Ė</w:t>
      </w:r>
      <w:r w:rsidRPr="00ED3D6E">
        <w:rPr>
          <w:b/>
        </w:rPr>
        <w:t xml:space="preserve">S </w:t>
      </w:r>
      <w:r w:rsidRPr="00ED3D6E">
        <w:rPr>
          <w:rFonts w:hint="eastAsia"/>
          <w:b/>
        </w:rPr>
        <w:t>Į</w:t>
      </w:r>
      <w:r w:rsidRPr="00ED3D6E">
        <w:rPr>
          <w:b/>
        </w:rPr>
        <w:t>RANGOS</w:t>
      </w:r>
      <w:r w:rsidRPr="00ED3D6E">
        <w:rPr>
          <w:b/>
          <w:color w:val="000000"/>
        </w:rPr>
        <w:t xml:space="preserve"> PRIEŽIŪROS</w:t>
      </w:r>
      <w:r>
        <w:rPr>
          <w:b/>
        </w:rPr>
        <w:t xml:space="preserve"> DARBŲ PROCEDŪRA</w:t>
      </w:r>
    </w:p>
    <w:p w:rsidR="000A21A3" w:rsidRPr="003D30D0" w:rsidRDefault="000A21A3" w:rsidP="000A21A3">
      <w:pPr>
        <w:pStyle w:val="ListParagraph"/>
        <w:tabs>
          <w:tab w:val="left" w:pos="1134"/>
        </w:tabs>
        <w:spacing w:after="120"/>
        <w:ind w:firstLine="426"/>
        <w:contextualSpacing w:val="0"/>
        <w:rPr>
          <w:b/>
        </w:rPr>
      </w:pPr>
    </w:p>
    <w:p w:rsidR="000A21A3" w:rsidRDefault="000A21A3" w:rsidP="000A21A3">
      <w:pPr>
        <w:spacing w:after="120"/>
        <w:ind w:firstLine="567"/>
        <w:jc w:val="both"/>
        <w:rPr>
          <w:szCs w:val="24"/>
        </w:rPr>
      </w:pPr>
      <w:r>
        <w:rPr>
          <w:szCs w:val="24"/>
        </w:rPr>
        <w:t xml:space="preserve">4.1. </w:t>
      </w:r>
      <w:r>
        <w:t>RISTSPĮ</w:t>
      </w:r>
      <w:r>
        <w:rPr>
          <w:szCs w:val="24"/>
        </w:rPr>
        <w:t xml:space="preserve"> techninės</w:t>
      </w:r>
      <w:r w:rsidRPr="0008451E">
        <w:rPr>
          <w:szCs w:val="24"/>
        </w:rPr>
        <w:t xml:space="preserve"> priežiūros</w:t>
      </w:r>
      <w:r>
        <w:rPr>
          <w:szCs w:val="24"/>
        </w:rPr>
        <w:t xml:space="preserve"> </w:t>
      </w:r>
      <w:r w:rsidRPr="0008451E">
        <w:rPr>
          <w:szCs w:val="24"/>
        </w:rPr>
        <w:t>paslaugos teikiamos pagal perkančiosios organizacijos poreikį per visą sutarties galiojimo laikotarpį</w:t>
      </w:r>
      <w:r>
        <w:rPr>
          <w:szCs w:val="24"/>
        </w:rPr>
        <w:t>.</w:t>
      </w:r>
    </w:p>
    <w:p w:rsidR="000A21A3" w:rsidRPr="00BC06A8" w:rsidRDefault="000A21A3" w:rsidP="000A21A3">
      <w:pPr>
        <w:spacing w:after="120"/>
        <w:ind w:firstLine="567"/>
        <w:jc w:val="both"/>
        <w:rPr>
          <w:bCs/>
        </w:rPr>
      </w:pPr>
      <w:r w:rsidRPr="00BC06A8">
        <w:rPr>
          <w:bCs/>
        </w:rPr>
        <w:t>4.2. Vykdant IT infrastrukt</w:t>
      </w:r>
      <w:r w:rsidRPr="00BC06A8">
        <w:rPr>
          <w:rFonts w:hint="eastAsia"/>
          <w:bCs/>
        </w:rPr>
        <w:t>ū</w:t>
      </w:r>
      <w:r w:rsidRPr="00BC06A8">
        <w:rPr>
          <w:bCs/>
        </w:rPr>
        <w:t>ros technin</w:t>
      </w:r>
      <w:r w:rsidRPr="00BC06A8">
        <w:rPr>
          <w:rFonts w:hint="eastAsia"/>
          <w:bCs/>
        </w:rPr>
        <w:t>ę</w:t>
      </w:r>
      <w:r w:rsidRPr="00BC06A8">
        <w:rPr>
          <w:bCs/>
        </w:rPr>
        <w:t xml:space="preserve"> prieži</w:t>
      </w:r>
      <w:r w:rsidRPr="00BC06A8">
        <w:rPr>
          <w:rFonts w:hint="eastAsia"/>
          <w:bCs/>
        </w:rPr>
        <w:t>ū</w:t>
      </w:r>
      <w:r w:rsidRPr="00BC06A8">
        <w:rPr>
          <w:bCs/>
        </w:rPr>
        <w:t>r</w:t>
      </w:r>
      <w:r w:rsidRPr="00BC06A8">
        <w:rPr>
          <w:rFonts w:hint="eastAsia"/>
          <w:bCs/>
        </w:rPr>
        <w:t>ą</w:t>
      </w:r>
      <w:r w:rsidRPr="00BC06A8">
        <w:rPr>
          <w:bCs/>
        </w:rPr>
        <w:t xml:space="preserve"> Paslaug</w:t>
      </w:r>
      <w:r w:rsidRPr="00BC06A8">
        <w:rPr>
          <w:rFonts w:hint="eastAsia"/>
          <w:bCs/>
        </w:rPr>
        <w:t>ų</w:t>
      </w:r>
      <w:r w:rsidRPr="00BC06A8">
        <w:rPr>
          <w:bCs/>
        </w:rPr>
        <w:t xml:space="preserve"> teik</w:t>
      </w:r>
      <w:r w:rsidRPr="00BC06A8">
        <w:rPr>
          <w:rFonts w:hint="eastAsia"/>
          <w:bCs/>
        </w:rPr>
        <w:t>ė</w:t>
      </w:r>
      <w:r w:rsidRPr="00BC06A8">
        <w:rPr>
          <w:bCs/>
        </w:rPr>
        <w:t>jo ekspertai su perkan</w:t>
      </w:r>
      <w:r w:rsidRPr="00BC06A8">
        <w:rPr>
          <w:rFonts w:hint="eastAsia"/>
          <w:bCs/>
        </w:rPr>
        <w:t>č</w:t>
      </w:r>
      <w:r w:rsidRPr="00BC06A8">
        <w:rPr>
          <w:bCs/>
        </w:rPr>
        <w:t>iosios organizacijos atstovais turi komunikuoti lietuvi</w:t>
      </w:r>
      <w:r w:rsidRPr="00BC06A8">
        <w:rPr>
          <w:rFonts w:hint="eastAsia"/>
          <w:bCs/>
        </w:rPr>
        <w:t>ų</w:t>
      </w:r>
      <w:r w:rsidRPr="00BC06A8">
        <w:rPr>
          <w:bCs/>
        </w:rPr>
        <w:t xml:space="preserve"> kalba arba tiek</w:t>
      </w:r>
      <w:r w:rsidRPr="00BC06A8">
        <w:rPr>
          <w:rFonts w:hint="eastAsia"/>
          <w:bCs/>
        </w:rPr>
        <w:t>ė</w:t>
      </w:r>
      <w:r w:rsidRPr="00BC06A8">
        <w:rPr>
          <w:bCs/>
        </w:rPr>
        <w:t>jas turi užtikrinti vertim</w:t>
      </w:r>
      <w:r w:rsidRPr="00BC06A8">
        <w:rPr>
          <w:rFonts w:hint="eastAsia"/>
          <w:bCs/>
        </w:rPr>
        <w:t>ą</w:t>
      </w:r>
      <w:r w:rsidRPr="00BC06A8">
        <w:rPr>
          <w:bCs/>
        </w:rPr>
        <w:t xml:space="preserve"> </w:t>
      </w:r>
      <w:r w:rsidRPr="00BC06A8">
        <w:rPr>
          <w:rFonts w:hint="eastAsia"/>
          <w:bCs/>
        </w:rPr>
        <w:t>į</w:t>
      </w:r>
      <w:r w:rsidRPr="00BC06A8">
        <w:rPr>
          <w:bCs/>
        </w:rPr>
        <w:t xml:space="preserve"> lietuvi</w:t>
      </w:r>
      <w:r w:rsidRPr="00BC06A8">
        <w:rPr>
          <w:rFonts w:hint="eastAsia"/>
          <w:bCs/>
        </w:rPr>
        <w:t>ų</w:t>
      </w:r>
      <w:r w:rsidRPr="00BC06A8">
        <w:rPr>
          <w:bCs/>
        </w:rPr>
        <w:t xml:space="preserve"> kalb</w:t>
      </w:r>
      <w:r w:rsidRPr="00BC06A8">
        <w:rPr>
          <w:rFonts w:hint="eastAsia"/>
          <w:bCs/>
        </w:rPr>
        <w:t>ą</w:t>
      </w:r>
      <w:r w:rsidRPr="00BC06A8">
        <w:rPr>
          <w:bCs/>
        </w:rPr>
        <w:t>.</w:t>
      </w:r>
    </w:p>
    <w:p w:rsidR="000A21A3" w:rsidRPr="0008451E" w:rsidRDefault="000A21A3" w:rsidP="000A21A3">
      <w:pPr>
        <w:spacing w:after="120"/>
        <w:ind w:firstLine="567"/>
        <w:jc w:val="both"/>
        <w:rPr>
          <w:szCs w:val="24"/>
        </w:rPr>
      </w:pPr>
      <w:r>
        <w:rPr>
          <w:szCs w:val="24"/>
        </w:rPr>
        <w:t>4</w:t>
      </w:r>
      <w:r w:rsidRPr="0008451E">
        <w:rPr>
          <w:szCs w:val="24"/>
        </w:rPr>
        <w:t>.</w:t>
      </w:r>
      <w:r>
        <w:rPr>
          <w:szCs w:val="24"/>
        </w:rPr>
        <w:t>3</w:t>
      </w:r>
      <w:r w:rsidRPr="0008451E">
        <w:rPr>
          <w:szCs w:val="24"/>
        </w:rPr>
        <w:t>. Perkančiosios organizaci</w:t>
      </w:r>
      <w:r>
        <w:rPr>
          <w:szCs w:val="24"/>
        </w:rPr>
        <w:t>jos kreipiniai skirstomi į dvi</w:t>
      </w:r>
      <w:r w:rsidRPr="0008451E">
        <w:rPr>
          <w:szCs w:val="24"/>
        </w:rPr>
        <w:t xml:space="preserve"> kategorijas</w:t>
      </w:r>
      <w:r>
        <w:rPr>
          <w:szCs w:val="24"/>
        </w:rPr>
        <w:t>, aprašytas 1 lentelėje „Kreipinių kategorijos“.</w:t>
      </w:r>
    </w:p>
    <w:p w:rsidR="000A21A3" w:rsidRDefault="000A21A3" w:rsidP="000A21A3">
      <w:pPr>
        <w:spacing w:after="120"/>
        <w:ind w:left="5954"/>
        <w:jc w:val="right"/>
      </w:pPr>
      <w:r>
        <w:t>1</w:t>
      </w:r>
      <w:r w:rsidRPr="0008451E">
        <w:t xml:space="preserve"> lentelė. Kreipinių kategorijos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
        <w:gridCol w:w="4583"/>
        <w:gridCol w:w="1709"/>
        <w:gridCol w:w="2766"/>
      </w:tblGrid>
      <w:tr w:rsidR="000A21A3" w:rsidRPr="00792B58" w:rsidTr="00AB54D7">
        <w:tc>
          <w:tcPr>
            <w:tcW w:w="294" w:type="pct"/>
            <w:vAlign w:val="center"/>
          </w:tcPr>
          <w:p w:rsidR="000A21A3" w:rsidRPr="00792B58" w:rsidRDefault="000A21A3" w:rsidP="00AB54D7">
            <w:pPr>
              <w:spacing w:before="120" w:after="120"/>
              <w:jc w:val="center"/>
              <w:rPr>
                <w:b/>
              </w:rPr>
            </w:pPr>
            <w:r w:rsidRPr="00792B58">
              <w:rPr>
                <w:b/>
              </w:rPr>
              <w:t>Eil.</w:t>
            </w:r>
            <w:r w:rsidRPr="00792B58">
              <w:rPr>
                <w:b/>
              </w:rPr>
              <w:br/>
              <w:t>Nr.</w:t>
            </w:r>
          </w:p>
        </w:tc>
        <w:tc>
          <w:tcPr>
            <w:tcW w:w="2381" w:type="pct"/>
            <w:vAlign w:val="center"/>
          </w:tcPr>
          <w:p w:rsidR="000A21A3" w:rsidRPr="00792B58" w:rsidRDefault="000A21A3" w:rsidP="00AB54D7">
            <w:pPr>
              <w:spacing w:before="120" w:after="120"/>
              <w:jc w:val="center"/>
              <w:rPr>
                <w:b/>
              </w:rPr>
            </w:pPr>
            <w:r w:rsidRPr="00792B58">
              <w:rPr>
                <w:b/>
              </w:rPr>
              <w:t>Kreipinio kategorija</w:t>
            </w:r>
          </w:p>
        </w:tc>
        <w:tc>
          <w:tcPr>
            <w:tcW w:w="888" w:type="pct"/>
            <w:vAlign w:val="center"/>
          </w:tcPr>
          <w:p w:rsidR="000A21A3" w:rsidRPr="00D304BA" w:rsidRDefault="000A21A3" w:rsidP="00AB54D7">
            <w:pPr>
              <w:spacing w:before="120" w:after="120"/>
              <w:jc w:val="center"/>
              <w:rPr>
                <w:b/>
              </w:rPr>
            </w:pPr>
            <w:r w:rsidRPr="00D304BA">
              <w:rPr>
                <w:b/>
              </w:rPr>
              <w:t>Reakcijos laikas *</w:t>
            </w:r>
          </w:p>
        </w:tc>
        <w:tc>
          <w:tcPr>
            <w:tcW w:w="1437" w:type="pct"/>
            <w:vAlign w:val="center"/>
          </w:tcPr>
          <w:p w:rsidR="000A21A3" w:rsidRPr="00792B58" w:rsidRDefault="000A21A3" w:rsidP="00AB54D7">
            <w:pPr>
              <w:spacing w:before="120" w:after="120"/>
              <w:jc w:val="center"/>
              <w:rPr>
                <w:b/>
              </w:rPr>
            </w:pPr>
            <w:r>
              <w:rPr>
                <w:b/>
              </w:rPr>
              <w:t>Sprendimo</w:t>
            </w:r>
            <w:r w:rsidRPr="00792B58">
              <w:rPr>
                <w:b/>
              </w:rPr>
              <w:t xml:space="preserve"> laikas </w:t>
            </w:r>
            <w:r>
              <w:rPr>
                <w:b/>
              </w:rPr>
              <w:t>*</w:t>
            </w:r>
          </w:p>
        </w:tc>
      </w:tr>
      <w:tr w:rsidR="000A21A3" w:rsidRPr="00792B58" w:rsidTr="00AB54D7">
        <w:tc>
          <w:tcPr>
            <w:tcW w:w="294" w:type="pct"/>
            <w:vAlign w:val="center"/>
          </w:tcPr>
          <w:p w:rsidR="000A21A3" w:rsidRPr="00792B58" w:rsidRDefault="000A21A3" w:rsidP="00AB54D7">
            <w:pPr>
              <w:spacing w:before="120" w:after="120"/>
              <w:jc w:val="center"/>
            </w:pPr>
            <w:r w:rsidRPr="00792B58">
              <w:t>1</w:t>
            </w:r>
          </w:p>
        </w:tc>
        <w:tc>
          <w:tcPr>
            <w:tcW w:w="2381" w:type="pct"/>
          </w:tcPr>
          <w:p w:rsidR="000A21A3" w:rsidRPr="00792B58" w:rsidRDefault="000A21A3" w:rsidP="00AB54D7">
            <w:pPr>
              <w:spacing w:before="120" w:after="120"/>
              <w:jc w:val="both"/>
            </w:pPr>
            <w:r w:rsidRPr="00792B58">
              <w:rPr>
                <w:b/>
              </w:rPr>
              <w:t>I prioritetas.</w:t>
            </w:r>
            <w:r w:rsidRPr="00792B58">
              <w:t xml:space="preserve"> </w:t>
            </w:r>
            <w:r>
              <w:t>RISTSPĮ</w:t>
            </w:r>
            <w:r>
              <w:rPr>
                <w:color w:val="000000"/>
                <w:szCs w:val="24"/>
              </w:rPr>
              <w:t xml:space="preserve"> techninės ir programinės įrangos</w:t>
            </w:r>
            <w:r w:rsidRPr="00DA1BB3">
              <w:rPr>
                <w:color w:val="000000"/>
                <w:szCs w:val="24"/>
              </w:rPr>
              <w:t xml:space="preserve"> </w:t>
            </w:r>
            <w:r w:rsidRPr="00792B58">
              <w:t xml:space="preserve">funkcionalumo </w:t>
            </w:r>
            <w:r>
              <w:t xml:space="preserve">kritiniai </w:t>
            </w:r>
            <w:r w:rsidRPr="00792B58">
              <w:t>sutrikimai,</w:t>
            </w:r>
            <w:r>
              <w:t xml:space="preserve"> kai </w:t>
            </w:r>
            <w:r w:rsidRPr="00792B58">
              <w:t>perkančio</w:t>
            </w:r>
            <w:r>
              <w:t>sios</w:t>
            </w:r>
            <w:r w:rsidRPr="00792B58">
              <w:t xml:space="preserve"> organizacij</w:t>
            </w:r>
            <w:r>
              <w:t>os</w:t>
            </w:r>
            <w:r w:rsidRPr="00792B58">
              <w:t xml:space="preserve"> pagrįsta nuomone,</w:t>
            </w:r>
            <w:r>
              <w:t xml:space="preserve"> naudotojai </w:t>
            </w:r>
            <w:r w:rsidRPr="00792B58">
              <w:t xml:space="preserve">negali tęsti darbo </w:t>
            </w:r>
            <w:r>
              <w:t>(techninės specifikacijos 3.1.</w:t>
            </w:r>
            <w:r w:rsidRPr="00792B58">
              <w:t xml:space="preserve"> punkta</w:t>
            </w:r>
            <w:r>
              <w:t>s</w:t>
            </w:r>
            <w:r w:rsidRPr="00792B58">
              <w:t>)</w:t>
            </w:r>
            <w:r>
              <w:t>.</w:t>
            </w:r>
          </w:p>
        </w:tc>
        <w:tc>
          <w:tcPr>
            <w:tcW w:w="888" w:type="pct"/>
            <w:vAlign w:val="center"/>
          </w:tcPr>
          <w:p w:rsidR="000A21A3" w:rsidRPr="00792B58" w:rsidRDefault="000A21A3" w:rsidP="00AB54D7">
            <w:pPr>
              <w:spacing w:before="120" w:after="120"/>
              <w:jc w:val="center"/>
            </w:pPr>
            <w:r w:rsidRPr="00792B58">
              <w:t>1 val.</w:t>
            </w:r>
          </w:p>
        </w:tc>
        <w:tc>
          <w:tcPr>
            <w:tcW w:w="1437" w:type="pct"/>
          </w:tcPr>
          <w:p w:rsidR="000A21A3" w:rsidRPr="00792B58" w:rsidRDefault="000A21A3" w:rsidP="00AB54D7">
            <w:pPr>
              <w:spacing w:before="120" w:after="120"/>
              <w:jc w:val="both"/>
            </w:pPr>
            <w:r w:rsidRPr="00792B58">
              <w:t>ne ilgiau kaip 8 valand</w:t>
            </w:r>
            <w:r>
              <w:t>o</w:t>
            </w:r>
            <w:r w:rsidRPr="00792B58">
              <w:t>s</w:t>
            </w:r>
          </w:p>
        </w:tc>
      </w:tr>
      <w:tr w:rsidR="000A21A3" w:rsidRPr="00792B58" w:rsidTr="00AB54D7">
        <w:tc>
          <w:tcPr>
            <w:tcW w:w="294" w:type="pct"/>
            <w:vAlign w:val="center"/>
          </w:tcPr>
          <w:p w:rsidR="000A21A3" w:rsidRPr="00792B58" w:rsidRDefault="000A21A3" w:rsidP="00AB54D7">
            <w:pPr>
              <w:spacing w:before="120" w:after="120"/>
              <w:jc w:val="center"/>
            </w:pPr>
            <w:r>
              <w:t>2</w:t>
            </w:r>
          </w:p>
        </w:tc>
        <w:tc>
          <w:tcPr>
            <w:tcW w:w="2381" w:type="pct"/>
          </w:tcPr>
          <w:p w:rsidR="000A21A3" w:rsidRPr="00792B58" w:rsidRDefault="000A21A3" w:rsidP="00AB54D7">
            <w:pPr>
              <w:spacing w:before="120" w:after="120"/>
              <w:jc w:val="both"/>
            </w:pPr>
            <w:r w:rsidRPr="00792B58">
              <w:rPr>
                <w:b/>
              </w:rPr>
              <w:t>II prioritetas.</w:t>
            </w:r>
            <w:r>
              <w:t xml:space="preserve"> </w:t>
            </w:r>
            <w:r w:rsidRPr="00DF2701">
              <w:t xml:space="preserve">RISTSPĮ </w:t>
            </w:r>
            <w:r>
              <w:rPr>
                <w:color w:val="000000" w:themeColor="text1"/>
                <w:lang w:eastAsia="lt-LT"/>
              </w:rPr>
              <w:t xml:space="preserve">nekritinių </w:t>
            </w:r>
            <w:r w:rsidRPr="00DF2701">
              <w:rPr>
                <w:color w:val="000000" w:themeColor="text1"/>
                <w:lang w:eastAsia="lt-LT"/>
              </w:rPr>
              <w:t xml:space="preserve">sutrikimų šalinimas, </w:t>
            </w:r>
            <w:r>
              <w:rPr>
                <w:color w:val="000000" w:themeColor="text1"/>
                <w:lang w:eastAsia="lt-LT"/>
              </w:rPr>
              <w:t xml:space="preserve">profilaktinė priežiūra, </w:t>
            </w:r>
            <w:r w:rsidRPr="00DF2701">
              <w:t>veikimo optimizavimas, funkcionalumo vystymas</w:t>
            </w:r>
            <w:r>
              <w:t xml:space="preserve"> </w:t>
            </w:r>
            <w:r w:rsidRPr="00792B58">
              <w:t>(</w:t>
            </w:r>
            <w:r>
              <w:t>techninės specifikacijos 3.2 punktas</w:t>
            </w:r>
            <w:r w:rsidRPr="00792B58">
              <w:t>)</w:t>
            </w:r>
          </w:p>
        </w:tc>
        <w:tc>
          <w:tcPr>
            <w:tcW w:w="888" w:type="pct"/>
            <w:vAlign w:val="center"/>
          </w:tcPr>
          <w:p w:rsidR="000A21A3" w:rsidRPr="00792B58" w:rsidRDefault="000A21A3" w:rsidP="00AB54D7">
            <w:pPr>
              <w:spacing w:before="120" w:after="120"/>
              <w:jc w:val="center"/>
            </w:pPr>
            <w:r>
              <w:t>1 darbo diena</w:t>
            </w:r>
            <w:r w:rsidRPr="00792B58">
              <w:t>.</w:t>
            </w:r>
          </w:p>
        </w:tc>
        <w:tc>
          <w:tcPr>
            <w:tcW w:w="1437" w:type="pct"/>
          </w:tcPr>
          <w:p w:rsidR="000A21A3" w:rsidRPr="00792B58" w:rsidRDefault="000A21A3" w:rsidP="00AB54D7">
            <w:pPr>
              <w:spacing w:before="120" w:after="120"/>
              <w:jc w:val="both"/>
            </w:pPr>
            <w:r w:rsidRPr="00792B58">
              <w:t>Problemos sprendimas vykdomas darbo valandomis pagal perkančiosios organizacijos ir tiekėjo su</w:t>
            </w:r>
            <w:r>
              <w:t xml:space="preserve">derintą terminą </w:t>
            </w:r>
          </w:p>
        </w:tc>
      </w:tr>
    </w:tbl>
    <w:p w:rsidR="000A21A3" w:rsidRPr="00DE5E92" w:rsidRDefault="000A21A3" w:rsidP="000A21A3">
      <w:pPr>
        <w:spacing w:after="120"/>
        <w:ind w:firstLine="567"/>
        <w:jc w:val="both"/>
        <w:rPr>
          <w:rFonts w:eastAsia="Calibri"/>
          <w:i/>
          <w:iCs/>
        </w:rPr>
      </w:pPr>
      <w:r w:rsidRPr="00DE5E92">
        <w:rPr>
          <w:rFonts w:eastAsia="Calibri"/>
          <w:b/>
          <w:i/>
          <w:iCs/>
          <w:szCs w:val="24"/>
        </w:rPr>
        <w:t>*</w:t>
      </w:r>
      <w:r w:rsidRPr="00DE5E92">
        <w:rPr>
          <w:rFonts w:eastAsia="Calibri"/>
          <w:b/>
          <w:i/>
          <w:iCs/>
        </w:rPr>
        <w:t>Reakcijos laikas</w:t>
      </w:r>
      <w:r w:rsidRPr="00DE5E92">
        <w:rPr>
          <w:rFonts w:eastAsia="Calibri"/>
          <w:i/>
          <w:iCs/>
        </w:rPr>
        <w:t xml:space="preserve"> – tai laikotarpis nuo kreipinio registravimo laiko iki laiko, kai kreipinyje nurodytas perkančiosios organizacijos prašymas pradedamas vykdyti.</w:t>
      </w:r>
    </w:p>
    <w:p w:rsidR="000A21A3" w:rsidRPr="00DE5E92" w:rsidRDefault="000A21A3" w:rsidP="000A21A3">
      <w:pPr>
        <w:tabs>
          <w:tab w:val="left" w:pos="1134"/>
        </w:tabs>
        <w:spacing w:after="120"/>
        <w:ind w:firstLine="567"/>
        <w:jc w:val="both"/>
        <w:rPr>
          <w:rFonts w:eastAsia="Calibri"/>
          <w:i/>
          <w:iCs/>
        </w:rPr>
      </w:pPr>
      <w:r w:rsidRPr="00DE5E92">
        <w:rPr>
          <w:rFonts w:eastAsia="Calibri"/>
          <w:b/>
          <w:i/>
          <w:iCs/>
        </w:rPr>
        <w:t>*Sprendimo laikas</w:t>
      </w:r>
      <w:r w:rsidRPr="00DE5E92">
        <w:rPr>
          <w:rFonts w:eastAsia="Calibri"/>
          <w:i/>
          <w:iCs/>
        </w:rPr>
        <w:t xml:space="preserve"> – tai laikotarpis nuo reakcijos laiko pradžios iki kreipinyje nurodytų klausimų išsprendimo – visiško paslaugų funkcionalumo pagal </w:t>
      </w:r>
      <w:r w:rsidRPr="00DE5E92">
        <w:rPr>
          <w:i/>
          <w:iCs/>
        </w:rPr>
        <w:t>paraiškoje</w:t>
      </w:r>
      <w:r w:rsidRPr="00DE5E92">
        <w:rPr>
          <w:rFonts w:eastAsia="Calibri"/>
          <w:i/>
          <w:iCs/>
        </w:rPr>
        <w:t xml:space="preserve"> nurodytus parametrus atkūrimo, arba perkančiosios organizacijos kreipinyje nurodyto darbo atlikimo.</w:t>
      </w:r>
    </w:p>
    <w:p w:rsidR="000A21A3" w:rsidRDefault="000A21A3" w:rsidP="000A21A3">
      <w:pPr>
        <w:spacing w:after="120"/>
        <w:ind w:firstLine="709"/>
        <w:jc w:val="both"/>
      </w:pPr>
    </w:p>
    <w:p w:rsidR="000A21A3" w:rsidRDefault="000A21A3" w:rsidP="000A21A3">
      <w:pPr>
        <w:spacing w:after="120"/>
        <w:ind w:firstLine="709"/>
        <w:jc w:val="both"/>
      </w:pPr>
      <w:r>
        <w:t>4.4. I prioriteto k</w:t>
      </w:r>
      <w:r w:rsidRPr="0029687A">
        <w:t>reipini</w:t>
      </w:r>
      <w:r>
        <w:t>ų valdymo tvarka:</w:t>
      </w:r>
    </w:p>
    <w:p w:rsidR="000A21A3" w:rsidRDefault="000A21A3" w:rsidP="000A21A3">
      <w:pPr>
        <w:spacing w:after="120"/>
        <w:ind w:firstLine="709"/>
        <w:jc w:val="both"/>
      </w:pPr>
      <w:r>
        <w:t xml:space="preserve">4.4.1. Kreipiniai kritinių sutrikimų šalinimo </w:t>
      </w:r>
      <w:r w:rsidRPr="0029687A">
        <w:t>paslaugoms teikiami individualiai ir apskaitomi Perkančiosios organizacijos Informacinių technologijų ir telekomunikacijų paslaugų valdymo posistemėje (ITT pagalbos sistema).</w:t>
      </w:r>
      <w:r>
        <w:t xml:space="preserve"> </w:t>
      </w:r>
    </w:p>
    <w:p w:rsidR="000A21A3" w:rsidRDefault="000A21A3" w:rsidP="000A21A3">
      <w:pPr>
        <w:spacing w:after="120"/>
        <w:ind w:firstLine="709"/>
        <w:jc w:val="both"/>
      </w:pPr>
      <w:r>
        <w:t xml:space="preserve">4.4.2. </w:t>
      </w:r>
      <w:r w:rsidRPr="0029687A">
        <w:t xml:space="preserve">Perkančiosios organizacijos įgaliotiems asmenims ITT pagalbos sistemoje užregistravus </w:t>
      </w:r>
      <w:r>
        <w:t xml:space="preserve">kritinį </w:t>
      </w:r>
      <w:r w:rsidRPr="0029687A">
        <w:t xml:space="preserve">sutrikimą, iš ITT pagalbos sistemos kreipiniai dėl incidento elektroniniu paštu siunčiami į paslaugų teikėjo paslaugų tarnybos sistemą. </w:t>
      </w:r>
    </w:p>
    <w:p w:rsidR="000A21A3" w:rsidRDefault="000A21A3" w:rsidP="000A21A3">
      <w:pPr>
        <w:spacing w:after="120"/>
        <w:ind w:firstLine="709"/>
        <w:jc w:val="both"/>
      </w:pPr>
      <w:r>
        <w:t>4.4.3. A</w:t>
      </w:r>
      <w:r w:rsidRPr="0029687A">
        <w:t xml:space="preserve">pie užfiksuotą </w:t>
      </w:r>
      <w:r>
        <w:t xml:space="preserve">kritinį </w:t>
      </w:r>
      <w:r w:rsidRPr="0029687A">
        <w:t>sutrikimą telefonu pranešama paslaugų teikėjo įgaliotiems asmenims.</w:t>
      </w:r>
    </w:p>
    <w:p w:rsidR="000A21A3" w:rsidRDefault="000A21A3" w:rsidP="000A21A3">
      <w:pPr>
        <w:spacing w:after="120"/>
        <w:ind w:firstLine="709"/>
        <w:jc w:val="both"/>
      </w:pPr>
      <w:r>
        <w:t xml:space="preserve">4.4.4. </w:t>
      </w:r>
      <w:r w:rsidRPr="00774116">
        <w:t xml:space="preserve">Apie </w:t>
      </w:r>
      <w:r>
        <w:t xml:space="preserve">kritinio sutrikimo </w:t>
      </w:r>
      <w:r w:rsidRPr="00774116">
        <w:t>sprendimo b</w:t>
      </w:r>
      <w:r w:rsidRPr="00774116">
        <w:rPr>
          <w:rFonts w:hint="eastAsia"/>
        </w:rPr>
        <w:t>ū</w:t>
      </w:r>
      <w:r w:rsidRPr="00774116">
        <w:t>sen</w:t>
      </w:r>
      <w:r>
        <w:t>ą</w:t>
      </w:r>
      <w:r w:rsidRPr="00774116">
        <w:t xml:space="preserve"> paslaug</w:t>
      </w:r>
      <w:r w:rsidRPr="00774116">
        <w:rPr>
          <w:rFonts w:hint="eastAsia"/>
        </w:rPr>
        <w:t>ų</w:t>
      </w:r>
      <w:r w:rsidRPr="00774116">
        <w:t xml:space="preserve"> tiek</w:t>
      </w:r>
      <w:r w:rsidRPr="00774116">
        <w:rPr>
          <w:rFonts w:hint="eastAsia"/>
        </w:rPr>
        <w:t>ė</w:t>
      </w:r>
      <w:r w:rsidRPr="00774116">
        <w:t>jas</w:t>
      </w:r>
      <w:r>
        <w:t xml:space="preserve"> </w:t>
      </w:r>
      <w:r w:rsidRPr="00774116">
        <w:t>turi informuoti Perkan</w:t>
      </w:r>
      <w:r w:rsidRPr="00774116">
        <w:rPr>
          <w:rFonts w:hint="eastAsia"/>
        </w:rPr>
        <w:t>č</w:t>
      </w:r>
      <w:r w:rsidRPr="00774116">
        <w:t>i</w:t>
      </w:r>
      <w:r w:rsidRPr="00774116">
        <w:rPr>
          <w:rFonts w:hint="eastAsia"/>
        </w:rPr>
        <w:t>ą</w:t>
      </w:r>
      <w:r w:rsidRPr="00774116">
        <w:t>j</w:t>
      </w:r>
      <w:r w:rsidRPr="00774116">
        <w:rPr>
          <w:rFonts w:hint="eastAsia"/>
        </w:rPr>
        <w:t>ą</w:t>
      </w:r>
      <w:r w:rsidRPr="00774116">
        <w:t xml:space="preserve"> organizacij</w:t>
      </w:r>
      <w:r w:rsidRPr="00774116">
        <w:rPr>
          <w:rFonts w:hint="eastAsia"/>
        </w:rPr>
        <w:t>ą</w:t>
      </w:r>
      <w:r w:rsidRPr="00774116">
        <w:t xml:space="preserve"> el. paštu </w:t>
      </w:r>
      <w:proofErr w:type="spellStart"/>
      <w:r w:rsidRPr="00774116">
        <w:t>ittpagalba@vrm.lt</w:t>
      </w:r>
      <w:proofErr w:type="spellEnd"/>
      <w:r w:rsidRPr="00774116">
        <w:t xml:space="preserve">, laukelyje „Tema“ (angl. </w:t>
      </w:r>
      <w:proofErr w:type="spellStart"/>
      <w:r w:rsidRPr="00774116">
        <w:t>Subject</w:t>
      </w:r>
      <w:proofErr w:type="spellEnd"/>
      <w:r w:rsidRPr="00774116">
        <w:t>) nurodydamas t</w:t>
      </w:r>
      <w:r w:rsidRPr="00774116">
        <w:rPr>
          <w:rFonts w:hint="eastAsia"/>
        </w:rPr>
        <w:t>ą</w:t>
      </w:r>
      <w:r w:rsidRPr="00774116">
        <w:t xml:space="preserve"> pat</w:t>
      </w:r>
      <w:r w:rsidRPr="00774116">
        <w:rPr>
          <w:rFonts w:hint="eastAsia"/>
        </w:rPr>
        <w:t>į</w:t>
      </w:r>
      <w:r w:rsidRPr="00774116">
        <w:t xml:space="preserve"> kreipinio numer</w:t>
      </w:r>
      <w:r w:rsidRPr="00774116">
        <w:rPr>
          <w:rFonts w:hint="eastAsia"/>
        </w:rPr>
        <w:t>į</w:t>
      </w:r>
      <w:r w:rsidRPr="00774116">
        <w:t>, kuris buvo gautas iš Perkan</w:t>
      </w:r>
      <w:r w:rsidRPr="00774116">
        <w:rPr>
          <w:rFonts w:hint="eastAsia"/>
        </w:rPr>
        <w:t>č</w:t>
      </w:r>
      <w:r w:rsidRPr="00774116">
        <w:t>iosios organizacijos.</w:t>
      </w:r>
    </w:p>
    <w:p w:rsidR="000A21A3" w:rsidRDefault="000A21A3" w:rsidP="000A21A3">
      <w:pPr>
        <w:spacing w:after="120"/>
        <w:ind w:firstLine="709"/>
        <w:jc w:val="both"/>
      </w:pPr>
      <w:r>
        <w:t>4.5. II prioriteto k</w:t>
      </w:r>
      <w:r w:rsidRPr="0029687A">
        <w:t>reipini</w:t>
      </w:r>
      <w:r>
        <w:t>ų valdymo tvarka:</w:t>
      </w:r>
    </w:p>
    <w:p w:rsidR="000A21A3" w:rsidRPr="00774116" w:rsidRDefault="000A21A3" w:rsidP="000A21A3">
      <w:pPr>
        <w:spacing w:after="120"/>
        <w:ind w:firstLine="709"/>
        <w:jc w:val="both"/>
      </w:pPr>
      <w:r>
        <w:t>4.5.1. K</w:t>
      </w:r>
      <w:r w:rsidRPr="00774116">
        <w:t>reipin</w:t>
      </w:r>
      <w:r>
        <w:t>iai</w:t>
      </w:r>
      <w:r w:rsidRPr="00774116">
        <w:t xml:space="preserve"> nekritini</w:t>
      </w:r>
      <w:r w:rsidRPr="00774116">
        <w:rPr>
          <w:rFonts w:hint="eastAsia"/>
        </w:rPr>
        <w:t>ų</w:t>
      </w:r>
      <w:r w:rsidRPr="00774116">
        <w:t xml:space="preserve"> sutrikim</w:t>
      </w:r>
      <w:r w:rsidRPr="00774116">
        <w:rPr>
          <w:rFonts w:hint="eastAsia"/>
        </w:rPr>
        <w:t>ų</w:t>
      </w:r>
      <w:r w:rsidRPr="00774116">
        <w:t xml:space="preserve"> šalinim</w:t>
      </w:r>
      <w:r>
        <w:t>o</w:t>
      </w:r>
      <w:r w:rsidRPr="00774116">
        <w:t>, profilaktin</w:t>
      </w:r>
      <w:r w:rsidRPr="00774116">
        <w:rPr>
          <w:rFonts w:hint="eastAsia"/>
        </w:rPr>
        <w:t>ė</w:t>
      </w:r>
      <w:r>
        <w:t>s</w:t>
      </w:r>
      <w:r w:rsidRPr="00774116">
        <w:t xml:space="preserve"> prieži</w:t>
      </w:r>
      <w:r w:rsidRPr="00774116">
        <w:rPr>
          <w:rFonts w:hint="eastAsia"/>
        </w:rPr>
        <w:t>ū</w:t>
      </w:r>
      <w:r w:rsidRPr="00774116">
        <w:t>r</w:t>
      </w:r>
      <w:r>
        <w:t>os</w:t>
      </w:r>
      <w:r w:rsidRPr="00774116">
        <w:t>, veikimo optimizavim</w:t>
      </w:r>
      <w:r>
        <w:t>o</w:t>
      </w:r>
      <w:r w:rsidRPr="00774116">
        <w:t>, funkcionalumo vystym</w:t>
      </w:r>
      <w:r>
        <w:t>o</w:t>
      </w:r>
      <w:r w:rsidRPr="00774116">
        <w:t xml:space="preserve"> </w:t>
      </w:r>
      <w:r>
        <w:t xml:space="preserve">paslaugoms </w:t>
      </w:r>
      <w:r w:rsidRPr="00774116">
        <w:t>yra individualiai apskaitomi perkan</w:t>
      </w:r>
      <w:r w:rsidRPr="00774116">
        <w:rPr>
          <w:rFonts w:hint="eastAsia"/>
        </w:rPr>
        <w:t>č</w:t>
      </w:r>
      <w:r w:rsidRPr="00774116">
        <w:t>iosios organizacijos pavedim</w:t>
      </w:r>
      <w:r w:rsidRPr="00774116">
        <w:rPr>
          <w:rFonts w:hint="eastAsia"/>
        </w:rPr>
        <w:t>ų</w:t>
      </w:r>
      <w:r w:rsidRPr="00774116">
        <w:t xml:space="preserve"> sistemoje.</w:t>
      </w:r>
    </w:p>
    <w:p w:rsidR="000A21A3" w:rsidRPr="00774116" w:rsidRDefault="000A21A3" w:rsidP="000A21A3">
      <w:pPr>
        <w:spacing w:after="120"/>
        <w:ind w:firstLine="709"/>
        <w:jc w:val="both"/>
      </w:pPr>
      <w:r>
        <w:t>4.5.2. P</w:t>
      </w:r>
      <w:r w:rsidRPr="00774116">
        <w:t>erkan</w:t>
      </w:r>
      <w:r w:rsidRPr="00774116">
        <w:rPr>
          <w:rFonts w:hint="eastAsia"/>
        </w:rPr>
        <w:t>č</w:t>
      </w:r>
      <w:r w:rsidRPr="00774116">
        <w:t xml:space="preserve">ioji organizacija užregistruoja </w:t>
      </w:r>
      <w:r>
        <w:t xml:space="preserve">paslaugų </w:t>
      </w:r>
      <w:r w:rsidRPr="00774116">
        <w:t>poreik</w:t>
      </w:r>
      <w:r w:rsidRPr="00774116">
        <w:rPr>
          <w:rFonts w:hint="eastAsia"/>
        </w:rPr>
        <w:t>į</w:t>
      </w:r>
      <w:r w:rsidRPr="00774116">
        <w:t xml:space="preserve"> https://pavedimai.vrm.lt sistemoje </w:t>
      </w:r>
      <w:r>
        <w:t>ir a</w:t>
      </w:r>
      <w:r w:rsidRPr="00774116">
        <w:t xml:space="preserve">pie </w:t>
      </w:r>
      <w:r>
        <w:t>šį poreikį</w:t>
      </w:r>
      <w:r w:rsidRPr="00774116">
        <w:t xml:space="preserve"> informuoja tiek</w:t>
      </w:r>
      <w:r w:rsidRPr="00774116">
        <w:rPr>
          <w:rFonts w:hint="eastAsia"/>
        </w:rPr>
        <w:t>ė</w:t>
      </w:r>
      <w:r w:rsidRPr="00774116">
        <w:t>jo paskirtus atstovus.</w:t>
      </w:r>
    </w:p>
    <w:p w:rsidR="000A21A3" w:rsidRDefault="000A21A3" w:rsidP="000A21A3">
      <w:pPr>
        <w:spacing w:after="120"/>
        <w:ind w:firstLine="709"/>
        <w:jc w:val="both"/>
      </w:pPr>
      <w:r>
        <w:t>4.5.3. T</w:t>
      </w:r>
      <w:r w:rsidRPr="00774116">
        <w:t>iek</w:t>
      </w:r>
      <w:r w:rsidRPr="00774116">
        <w:rPr>
          <w:rFonts w:hint="eastAsia"/>
        </w:rPr>
        <w:t>ė</w:t>
      </w:r>
      <w:r w:rsidRPr="00774116">
        <w:t xml:space="preserve">jas </w:t>
      </w:r>
      <w:r w:rsidRPr="00774116">
        <w:rPr>
          <w:rFonts w:hint="eastAsia"/>
        </w:rPr>
        <w:t>į</w:t>
      </w:r>
      <w:r w:rsidRPr="00774116">
        <w:t xml:space="preserve">vertina </w:t>
      </w:r>
      <w:r>
        <w:t xml:space="preserve">paslaugų poreikio įgyvendinimo </w:t>
      </w:r>
      <w:r w:rsidRPr="00774116">
        <w:t>darbo laiko s</w:t>
      </w:r>
      <w:r w:rsidRPr="00774116">
        <w:rPr>
          <w:rFonts w:hint="eastAsia"/>
        </w:rPr>
        <w:t>ą</w:t>
      </w:r>
      <w:r w:rsidRPr="00774116">
        <w:t xml:space="preserve">naudas </w:t>
      </w:r>
      <w:r>
        <w:t xml:space="preserve">bei įgyvendinimo terminus </w:t>
      </w:r>
      <w:r w:rsidRPr="00774116">
        <w:t xml:space="preserve">ir </w:t>
      </w:r>
      <w:r>
        <w:t>pateikia Perkančiajai organizacijai savo vertinimus</w:t>
      </w:r>
      <w:r w:rsidRPr="00774116">
        <w:t>.</w:t>
      </w:r>
    </w:p>
    <w:p w:rsidR="000A21A3" w:rsidRPr="00774116" w:rsidRDefault="000A21A3" w:rsidP="000A21A3">
      <w:pPr>
        <w:spacing w:after="120"/>
        <w:ind w:firstLine="709"/>
        <w:jc w:val="both"/>
      </w:pPr>
      <w:r>
        <w:t xml:space="preserve">4.5.4. </w:t>
      </w:r>
      <w:r w:rsidRPr="00774116">
        <w:t>Perkan</w:t>
      </w:r>
      <w:r w:rsidRPr="00774116">
        <w:rPr>
          <w:rFonts w:hint="eastAsia"/>
        </w:rPr>
        <w:t>č</w:t>
      </w:r>
      <w:r w:rsidRPr="00774116">
        <w:t>iajai organizacijai patvirtinus planuojamas laiko s</w:t>
      </w:r>
      <w:r w:rsidRPr="00774116">
        <w:rPr>
          <w:rFonts w:hint="eastAsia"/>
        </w:rPr>
        <w:t>ą</w:t>
      </w:r>
      <w:r w:rsidRPr="00774116">
        <w:t>naudas</w:t>
      </w:r>
      <w:r>
        <w:t xml:space="preserve"> ir terminus</w:t>
      </w:r>
      <w:r w:rsidRPr="00774116">
        <w:t>, tiek</w:t>
      </w:r>
      <w:r w:rsidRPr="00774116">
        <w:rPr>
          <w:rFonts w:hint="eastAsia"/>
        </w:rPr>
        <w:t>ė</w:t>
      </w:r>
      <w:r w:rsidRPr="00774116">
        <w:t xml:space="preserve">jas vykdo </w:t>
      </w:r>
      <w:r>
        <w:t>kreipinyje suderintas veiklas</w:t>
      </w:r>
      <w:r w:rsidRPr="00774116">
        <w:t>.</w:t>
      </w:r>
    </w:p>
    <w:p w:rsidR="000A21A3" w:rsidRDefault="000A21A3" w:rsidP="000A21A3">
      <w:pPr>
        <w:spacing w:after="120"/>
        <w:ind w:firstLine="709"/>
        <w:jc w:val="both"/>
      </w:pPr>
      <w:r>
        <w:t>4.5.5. Į</w:t>
      </w:r>
      <w:r w:rsidRPr="00774116">
        <w:t>vykd</w:t>
      </w:r>
      <w:r w:rsidRPr="00774116">
        <w:rPr>
          <w:rFonts w:hint="eastAsia"/>
        </w:rPr>
        <w:t>ę</w:t>
      </w:r>
      <w:r w:rsidRPr="00774116">
        <w:t xml:space="preserve">s </w:t>
      </w:r>
      <w:r>
        <w:t>kreipinyje užsakytus darbus</w:t>
      </w:r>
      <w:r w:rsidRPr="00774116">
        <w:t>, tiek</w:t>
      </w:r>
      <w:r w:rsidRPr="00774116">
        <w:rPr>
          <w:rFonts w:hint="eastAsia"/>
        </w:rPr>
        <w:t>ė</w:t>
      </w:r>
      <w:r w:rsidRPr="00774116">
        <w:t xml:space="preserve">jas </w:t>
      </w:r>
      <w:r>
        <w:t xml:space="preserve">pateikia atliktų darbų ataskaitą, kurioje </w:t>
      </w:r>
      <w:r w:rsidRPr="00774116">
        <w:t>nurodo faktines darbo laiko s</w:t>
      </w:r>
      <w:r w:rsidRPr="00774116">
        <w:rPr>
          <w:rFonts w:hint="eastAsia"/>
        </w:rPr>
        <w:t>ą</w:t>
      </w:r>
      <w:r w:rsidRPr="00774116">
        <w:t>naudas.</w:t>
      </w:r>
    </w:p>
    <w:p w:rsidR="000A21A3" w:rsidRDefault="000A21A3" w:rsidP="000A21A3">
      <w:pPr>
        <w:spacing w:after="120"/>
        <w:ind w:firstLine="709"/>
        <w:jc w:val="both"/>
      </w:pPr>
      <w:r>
        <w:t>4.6. Funkcionalumo vystymo paslaugoms tiekėjas suteikia 12 mėnesių garantinį laikotarpį nuo šių paslaugų perdavimo-priėmimo akto pasirašymo dienos, kurio metu nemokamai šalina sutrikimus 4.3 p. nustatytais terminais.</w:t>
      </w:r>
    </w:p>
    <w:p w:rsidR="000A21A3" w:rsidRDefault="000A21A3" w:rsidP="000A21A3">
      <w:pPr>
        <w:spacing w:after="120"/>
        <w:ind w:firstLine="709"/>
        <w:jc w:val="both"/>
      </w:pPr>
    </w:p>
    <w:p w:rsidR="000A21A3" w:rsidRPr="00684788" w:rsidRDefault="000A21A3" w:rsidP="000A21A3">
      <w:pPr>
        <w:spacing w:after="120"/>
        <w:ind w:firstLine="709"/>
        <w:jc w:val="both"/>
        <w:rPr>
          <w:b/>
        </w:rPr>
      </w:pPr>
      <w:r w:rsidRPr="00684788">
        <w:rPr>
          <w:b/>
        </w:rPr>
        <w:t>5. TEISĖS AKTAI</w:t>
      </w:r>
    </w:p>
    <w:p w:rsidR="000A21A3" w:rsidRDefault="000A21A3" w:rsidP="000A21A3">
      <w:pPr>
        <w:spacing w:after="120"/>
        <w:ind w:firstLine="709"/>
        <w:jc w:val="both"/>
      </w:pPr>
    </w:p>
    <w:p w:rsidR="000A21A3" w:rsidRDefault="000A21A3" w:rsidP="000A21A3">
      <w:pPr>
        <w:spacing w:after="120"/>
        <w:ind w:firstLine="709"/>
        <w:jc w:val="both"/>
      </w:pPr>
      <w:r>
        <w:t>5.1. Teisės aktai, kuriais turi vadovautis paslaugų teikėjas:</w:t>
      </w:r>
    </w:p>
    <w:p w:rsidR="000A21A3" w:rsidRDefault="000A21A3" w:rsidP="000A21A3">
      <w:pPr>
        <w:spacing w:after="120"/>
        <w:ind w:firstLine="709"/>
        <w:jc w:val="both"/>
      </w:pPr>
      <w:r>
        <w:t>5.1.1. Lietuvos Respublikos valstybės informacinių išteklių valdymo įstatymas;</w:t>
      </w:r>
    </w:p>
    <w:p w:rsidR="000A21A3" w:rsidRDefault="000A21A3" w:rsidP="000A21A3">
      <w:pPr>
        <w:spacing w:after="120"/>
        <w:ind w:firstLine="709"/>
        <w:jc w:val="both"/>
      </w:pPr>
      <w:r>
        <w:t>5.1.2. Lietuvos Respublikos asmens duomenų teisinės apsaugos įstatymas;</w:t>
      </w:r>
    </w:p>
    <w:p w:rsidR="000A21A3" w:rsidRDefault="000A21A3" w:rsidP="000A21A3">
      <w:pPr>
        <w:spacing w:after="120"/>
        <w:ind w:firstLine="709"/>
        <w:jc w:val="both"/>
      </w:pPr>
      <w:r>
        <w:t>5.1.3. Lietuvos Respublikos kibernetinio saugumo įstatymas;</w:t>
      </w:r>
    </w:p>
    <w:p w:rsidR="000A21A3" w:rsidRDefault="000A21A3" w:rsidP="000A21A3">
      <w:pPr>
        <w:spacing w:after="120"/>
        <w:ind w:firstLine="709"/>
        <w:jc w:val="both"/>
      </w:pPr>
      <w:r>
        <w:t>5.1.4. Organizacinių ir techninių kibernetinio saugumo reikalavimų, taikomų kibernetinio saugumo subjektams, aprašas, patvirtintas Lietuvos Respublikos Vyriausybės 2018 m. rugpjūčio 13 nutarimu Nr. 818 „Dėl Lietuvos Respublikos kibernetinio saugumo įstatymo įgyvendinimo“;</w:t>
      </w:r>
    </w:p>
    <w:p w:rsidR="000A21A3" w:rsidRDefault="000A21A3" w:rsidP="000A21A3">
      <w:pPr>
        <w:spacing w:after="120"/>
        <w:ind w:firstLine="709"/>
        <w:jc w:val="both"/>
      </w:pPr>
      <w:r>
        <w:t xml:space="preserve">5.1.5. Bendrųjų elektroninės informacijos saugos reikalavimų aprašas, patvirtintas Lietuvos Respublikos Vyriausybės 2013 m. liepos 24 d. nutarimu Nr. 716 „Dėl bendrųjų elektroninės informacijos saugos reikalavimų aprašo, saugos dokumentų turinio gairių aprašo ir valstybės </w:t>
      </w:r>
      <w:r>
        <w:lastRenderedPageBreak/>
        <w:t>informacinių sistemų, registrų ir kitų informacinių sistemų klasifikavimo ir elektroninės informacijos svarbos nustatymo gairių aprašo patvirtinimo“;</w:t>
      </w:r>
    </w:p>
    <w:p w:rsidR="000A21A3" w:rsidRDefault="000A21A3" w:rsidP="000A21A3">
      <w:pPr>
        <w:spacing w:after="120"/>
        <w:ind w:firstLine="709"/>
        <w:jc w:val="both"/>
      </w:pPr>
      <w:r>
        <w:t>5.1.6. Valstybinės duomenų apsaugos inspekcijos metodiniai dokumentai dėl duomenų saugumo priemonių ir rizikos įvertinimo, pritaikytosios ir standartizuotosios duomenų apsaugos informacinės sistemos gyvavimo cikle ir kiti metodiniai dokumentai ir rekomendacijos;</w:t>
      </w:r>
    </w:p>
    <w:p w:rsidR="000A21A3" w:rsidRDefault="000A21A3" w:rsidP="000A21A3">
      <w:pPr>
        <w:spacing w:after="120"/>
        <w:ind w:firstLine="709"/>
        <w:jc w:val="both"/>
      </w:pPr>
      <w:r>
        <w:t>5.1.7. Nacionalinio kibernetinio saugumo centro prie Krašto apsaugos ministerijos metodiniai dokumentai ir rekomendacijos;</w:t>
      </w:r>
    </w:p>
    <w:p w:rsidR="000A21A3" w:rsidRDefault="000A21A3" w:rsidP="000A21A3">
      <w:pPr>
        <w:spacing w:after="120"/>
        <w:ind w:firstLine="709"/>
        <w:jc w:val="both"/>
      </w:pPr>
      <w:r>
        <w:t>5.1.8. Kiti susiję teisės aktai ir jų redakcijos.</w:t>
      </w:r>
    </w:p>
    <w:p w:rsidR="000A21A3" w:rsidRDefault="000A21A3" w:rsidP="000A21A3">
      <w:pPr>
        <w:spacing w:after="120"/>
        <w:ind w:firstLine="709"/>
        <w:jc w:val="both"/>
      </w:pPr>
      <w:r>
        <w:t xml:space="preserve">5.2. Paslaugų teikėjas privalo vadovautis ne tik aukščiau išvardintais, bet ir visais kitais su Sutarties įgyvendinimu susijusiais teisės aktais, taip pat jų naujausiais pakeitimais ir </w:t>
      </w:r>
      <w:proofErr w:type="spellStart"/>
      <w:r>
        <w:t>papildymais</w:t>
      </w:r>
      <w:proofErr w:type="spellEnd"/>
      <w:r>
        <w:t>. Paslaugų teikėjas turi vadovautis vykdymo metu naujai priimtais teisės aktai, jeigu jie susiję su Sutarties įgyvendinimu.</w:t>
      </w:r>
    </w:p>
    <w:p w:rsidR="000A21A3" w:rsidRDefault="000A21A3" w:rsidP="000A21A3">
      <w:pPr>
        <w:spacing w:after="120"/>
        <w:ind w:firstLine="709"/>
        <w:jc w:val="both"/>
      </w:pPr>
    </w:p>
    <w:p w:rsidR="000A21A3" w:rsidRDefault="000A21A3" w:rsidP="000A21A3">
      <w:pPr>
        <w:spacing w:after="120"/>
        <w:ind w:firstLine="709"/>
        <w:jc w:val="both"/>
      </w:pPr>
    </w:p>
    <w:p w:rsidR="000A21A3" w:rsidRPr="00684788" w:rsidRDefault="000A21A3" w:rsidP="000A21A3">
      <w:pPr>
        <w:spacing w:after="120"/>
        <w:ind w:firstLine="720"/>
        <w:jc w:val="both"/>
        <w:rPr>
          <w:b/>
          <w:szCs w:val="24"/>
        </w:rPr>
      </w:pPr>
      <w:r w:rsidRPr="00684788">
        <w:rPr>
          <w:b/>
          <w:szCs w:val="24"/>
        </w:rPr>
        <w:t>6. KITI REIKALAVIMAI, SUSIJĘ SU KIBERNETINIU SAUGUMU</w:t>
      </w:r>
    </w:p>
    <w:p w:rsidR="000A21A3" w:rsidRPr="002111C3" w:rsidRDefault="000A21A3" w:rsidP="000A21A3">
      <w:pPr>
        <w:spacing w:after="120"/>
        <w:ind w:firstLine="720"/>
        <w:jc w:val="both"/>
        <w:rPr>
          <w:szCs w:val="24"/>
        </w:rPr>
      </w:pP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6.1. Tiekėjas privalo atlikti šiuos veiksmus ir pranešti apie kibernetinį incidentą, įvykusį jo tinklų ir informacinių sistemų infrastruktūroje, perkančiajai organizacijai šiais terminais ir nurodyti tokią informaciją:</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6.1.1. 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 xml:space="preserve">6.1.2. 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perkančiosios organizacijos tinklams ir informacinėms sistemoms; </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6.1.3. ne vėliau kaip per vieną mėnesį nuo 6.1.1 ar 6.1.2 papunktyje nurodyto pranešimo apie kibernetinį incidentą pateikimo dienos – pateikti galutinę ataskaitą, kurioje pateikiama informacija, nurodyta ši informacija pagal Kibernetinio saugumo įstatymo 18 straipsnio 4 dalies 4 punktą.</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 xml:space="preserve">6.2. Perkančioji organizacija arba jos įgalioti paslaugų teikėjai turi teisę atlikti tiekėjo atitikties Kibernetinio saugumo reikalavimų aprašo, patvirtinto Lietuvos Respublikos Vyriausybės 2018 m. rugpjūčio 13 d. nutarimu Nr. 818 „Dėl Lietuvos Respublikos kibernetinio saugumo įstatymo įgyvendinimo“, (toliau – Aprašas), reikalavimams auditą (įskaitant neplaninį), o ir tiekėjas turi pareigą sudaryti sąlygas tokiam auditui atlikti sutarties vykdymo laikotarpiu ar įvykus dideliam incidentui. </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 xml:space="preserve">6.3. 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perkančiajai organizacijai pareikalavus pateikti visą reikalingą informaciją, dokumentus, reikalingus įsitikinti, kad tiekėjas atlieka rizikos ir atitikties vertinimus. </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lastRenderedPageBreak/>
        <w:t>6.4. Tiekėjas įsipareigoja užtikrinti jo tinklų ir informacinės sistemų spragų, keliančių riziką perkančiosios organizacijos tinklams ir informacinėms sistemoms, valdymą.</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6.4. Tiekėjas įsipareigoja užtikrinti, kad jo patalpos, įranga, tinklai ir informacinių sistemų priežiūra, informacijos perdavimas tinklais atitinka Aprašo reikalavimus.</w:t>
      </w:r>
    </w:p>
    <w:p w:rsidR="000A21A3" w:rsidRPr="00684788" w:rsidRDefault="000A21A3" w:rsidP="000A21A3">
      <w:pPr>
        <w:pStyle w:val="tajtip"/>
        <w:shd w:val="clear" w:color="auto" w:fill="FFFFFF"/>
        <w:spacing w:before="0" w:beforeAutospacing="0" w:after="120" w:afterAutospacing="0"/>
        <w:ind w:firstLine="720"/>
        <w:jc w:val="both"/>
        <w:rPr>
          <w:color w:val="000000"/>
        </w:rPr>
      </w:pPr>
      <w:r w:rsidRPr="00684788">
        <w:rPr>
          <w:color w:val="000000"/>
        </w:rPr>
        <w:t>6.5. Tiekėjui fizinė prieiga prie perkančiosios organizacijos tinklų, kitos techninės infrastruktūros ir informacinių sistemų nėra suteikiama. Tiekėjui suteikiama loginė prieiga per perkančiosios organizacijos saugų VPN sprendimą prie kūrimo ar testavimo aplinkų. Atskiru perkančiosios organizacijos sprendimu (pvz. sprendžiant kritinius incidentus),  laikina loginė prieiga gali būti  suteikta prie darbinių aplinkų. Loginė prieiga suteikiama prie perkančiosios organizacijos kontroliuojamo nuotolinio darbalaukio serverio, kuriame visi tiekėjo veiksmai yra fiksuojami.</w:t>
      </w:r>
    </w:p>
    <w:p w:rsidR="00510156" w:rsidRDefault="00510156"/>
    <w:sectPr w:rsidR="005101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24DD8"/>
    <w:multiLevelType w:val="multilevel"/>
    <w:tmpl w:val="1BFC1330"/>
    <w:lvl w:ilvl="0">
      <w:start w:val="2"/>
      <w:numFmt w:val="decimal"/>
      <w:lvlText w:val="%1."/>
      <w:lvlJc w:val="left"/>
      <w:pPr>
        <w:tabs>
          <w:tab w:val="num" w:pos="0"/>
        </w:tabs>
        <w:ind w:left="360" w:hanging="360"/>
      </w:pPr>
    </w:lvl>
    <w:lvl w:ilvl="1">
      <w:start w:val="1"/>
      <w:numFmt w:val="decimal"/>
      <w:lvlText w:val="%1.%2."/>
      <w:lvlJc w:val="left"/>
      <w:pPr>
        <w:tabs>
          <w:tab w:val="num" w:pos="0"/>
        </w:tabs>
        <w:ind w:left="1080" w:hanging="720"/>
      </w:pPr>
      <w:rPr>
        <w:b w:val="0"/>
        <w:bCs w:val="0"/>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 w15:restartNumberingAfterBreak="0">
    <w:nsid w:val="15F32FD3"/>
    <w:multiLevelType w:val="multilevel"/>
    <w:tmpl w:val="AA76DB24"/>
    <w:lvl w:ilvl="0">
      <w:start w:val="3"/>
      <w:numFmt w:val="decimal"/>
      <w:lvlText w:val="%1."/>
      <w:lvlJc w:val="left"/>
      <w:pPr>
        <w:ind w:left="644"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CB746C2"/>
    <w:multiLevelType w:val="hybridMultilevel"/>
    <w:tmpl w:val="4E4040D4"/>
    <w:lvl w:ilvl="0" w:tplc="04090001">
      <w:start w:val="1"/>
      <w:numFmt w:val="bullet"/>
      <w:lvlText w:val=""/>
      <w:lvlJc w:val="left"/>
      <w:pPr>
        <w:tabs>
          <w:tab w:val="num" w:pos="1080"/>
        </w:tabs>
        <w:ind w:left="1080" w:hanging="360"/>
      </w:pPr>
      <w:rPr>
        <w:rFonts w:ascii="Symbol" w:hAnsi="Symbol" w:hint="default"/>
      </w:rPr>
    </w:lvl>
    <w:lvl w:ilvl="1" w:tplc="57B056D8">
      <w:start w:val="3"/>
      <w:numFmt w:val="decimal"/>
      <w:lvlText w:val="4.%2."/>
      <w:lvlJc w:val="left"/>
      <w:pPr>
        <w:tabs>
          <w:tab w:val="num" w:pos="907"/>
        </w:tabs>
        <w:ind w:left="0" w:firstLine="567"/>
      </w:pPr>
      <w:rPr>
        <w:rFonts w:hint="default"/>
        <w:b w:val="0"/>
        <w:i w:val="0"/>
        <w:color w:val="auto"/>
        <w:sz w:val="24"/>
        <w:szCs w:val="24"/>
      </w:rPr>
    </w:lvl>
    <w:lvl w:ilvl="2" w:tplc="6B286828">
      <w:numFmt w:val="bullet"/>
      <w:lvlText w:val="-"/>
      <w:lvlJc w:val="left"/>
      <w:pPr>
        <w:ind w:left="2520" w:hanging="360"/>
      </w:pPr>
      <w:rPr>
        <w:rFonts w:ascii="Times New Roman" w:eastAsia="Times New Roman" w:hAnsi="Times New Roman" w:cs="Times New Roman"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cs="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cs="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F4B0380"/>
    <w:multiLevelType w:val="hybridMultilevel"/>
    <w:tmpl w:val="E08E21D4"/>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2912"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3FAA0CAD"/>
    <w:multiLevelType w:val="multilevel"/>
    <w:tmpl w:val="D7C4225A"/>
    <w:lvl w:ilvl="0">
      <w:start w:val="3"/>
      <w:numFmt w:val="decimal"/>
      <w:lvlText w:val="%1."/>
      <w:lvlJc w:val="left"/>
      <w:pPr>
        <w:tabs>
          <w:tab w:val="num" w:pos="0"/>
        </w:tabs>
        <w:ind w:left="644"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 w15:restartNumberingAfterBreak="0">
    <w:nsid w:val="5FE657F0"/>
    <w:multiLevelType w:val="hybridMultilevel"/>
    <w:tmpl w:val="84DC6B46"/>
    <w:lvl w:ilvl="0" w:tplc="F434145C">
      <w:start w:val="1"/>
      <w:numFmt w:val="upperRoman"/>
      <w:pStyle w:val="Skyriauspavadinimas"/>
      <w:lvlText w:val="%1."/>
      <w:lvlJc w:val="left"/>
      <w:pPr>
        <w:tabs>
          <w:tab w:val="num" w:pos="510"/>
        </w:tabs>
        <w:ind w:left="0" w:firstLine="0"/>
      </w:pPr>
      <w:rPr>
        <w:rFonts w:hint="default"/>
      </w:rPr>
    </w:lvl>
    <w:lvl w:ilvl="1" w:tplc="FFFFFFFF">
      <w:start w:val="1"/>
      <w:numFmt w:val="lowerLetter"/>
      <w:lvlText w:val="%2."/>
      <w:lvlJc w:val="left"/>
      <w:pPr>
        <w:tabs>
          <w:tab w:val="num" w:pos="2466"/>
        </w:tabs>
        <w:ind w:left="2466" w:hanging="360"/>
      </w:pPr>
    </w:lvl>
    <w:lvl w:ilvl="2" w:tplc="FFFFFFFF">
      <w:start w:val="1"/>
      <w:numFmt w:val="lowerRoman"/>
      <w:lvlText w:val="%3."/>
      <w:lvlJc w:val="right"/>
      <w:pPr>
        <w:tabs>
          <w:tab w:val="num" w:pos="3186"/>
        </w:tabs>
        <w:ind w:left="3186" w:hanging="180"/>
      </w:pPr>
    </w:lvl>
    <w:lvl w:ilvl="3" w:tplc="FFFFFFFF" w:tentative="1">
      <w:start w:val="1"/>
      <w:numFmt w:val="decimal"/>
      <w:lvlText w:val="%4."/>
      <w:lvlJc w:val="left"/>
      <w:pPr>
        <w:tabs>
          <w:tab w:val="num" w:pos="3906"/>
        </w:tabs>
        <w:ind w:left="3906" w:hanging="360"/>
      </w:pPr>
    </w:lvl>
    <w:lvl w:ilvl="4" w:tplc="FFFFFFFF" w:tentative="1">
      <w:start w:val="1"/>
      <w:numFmt w:val="lowerLetter"/>
      <w:lvlText w:val="%5."/>
      <w:lvlJc w:val="left"/>
      <w:pPr>
        <w:tabs>
          <w:tab w:val="num" w:pos="4626"/>
        </w:tabs>
        <w:ind w:left="4626" w:hanging="360"/>
      </w:pPr>
    </w:lvl>
    <w:lvl w:ilvl="5" w:tplc="FFFFFFFF" w:tentative="1">
      <w:start w:val="1"/>
      <w:numFmt w:val="lowerRoman"/>
      <w:lvlText w:val="%6."/>
      <w:lvlJc w:val="right"/>
      <w:pPr>
        <w:tabs>
          <w:tab w:val="num" w:pos="5346"/>
        </w:tabs>
        <w:ind w:left="5346" w:hanging="180"/>
      </w:pPr>
    </w:lvl>
    <w:lvl w:ilvl="6" w:tplc="FFFFFFFF" w:tentative="1">
      <w:start w:val="1"/>
      <w:numFmt w:val="decimal"/>
      <w:lvlText w:val="%7."/>
      <w:lvlJc w:val="left"/>
      <w:pPr>
        <w:tabs>
          <w:tab w:val="num" w:pos="6066"/>
        </w:tabs>
        <w:ind w:left="6066" w:hanging="360"/>
      </w:pPr>
    </w:lvl>
    <w:lvl w:ilvl="7" w:tplc="FFFFFFFF" w:tentative="1">
      <w:start w:val="1"/>
      <w:numFmt w:val="lowerLetter"/>
      <w:lvlText w:val="%8."/>
      <w:lvlJc w:val="left"/>
      <w:pPr>
        <w:tabs>
          <w:tab w:val="num" w:pos="6786"/>
        </w:tabs>
        <w:ind w:left="6786" w:hanging="360"/>
      </w:pPr>
    </w:lvl>
    <w:lvl w:ilvl="8" w:tplc="FFFFFFFF" w:tentative="1">
      <w:start w:val="1"/>
      <w:numFmt w:val="lowerRoman"/>
      <w:lvlText w:val="%9."/>
      <w:lvlJc w:val="right"/>
      <w:pPr>
        <w:tabs>
          <w:tab w:val="num" w:pos="7506"/>
        </w:tabs>
        <w:ind w:left="7506" w:hanging="180"/>
      </w:pPr>
    </w:lvl>
  </w:abstractNum>
  <w:abstractNum w:abstractNumId="6" w15:restartNumberingAfterBreak="0">
    <w:nsid w:val="6C7F201E"/>
    <w:multiLevelType w:val="hybridMultilevel"/>
    <w:tmpl w:val="B19C2A54"/>
    <w:lvl w:ilvl="0" w:tplc="B32E6366">
      <w:start w:val="1"/>
      <w:numFmt w:val="upperRoman"/>
      <w:lvlText w:val="%1."/>
      <w:lvlJc w:val="left"/>
      <w:pPr>
        <w:ind w:left="1146" w:hanging="72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num w:numId="1">
    <w:abstractNumId w:val="0"/>
    <w:lvlOverride w:ilvl="0"/>
    <w:lvlOverride w:ilvl="1">
      <w:startOverride w:val="1"/>
    </w:lvlOverride>
  </w:num>
  <w:num w:numId="2">
    <w:abstractNumId w:val="4"/>
    <w:lvlOverride w:ilvl="0">
      <w:startOverride w:val="3"/>
    </w:lvlOverride>
  </w:num>
  <w:num w:numId="3">
    <w:abstractNumId w:val="3"/>
  </w:num>
  <w:num w:numId="4">
    <w:abstractNumId w:val="1"/>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BE"/>
    <w:rsid w:val="000A21A3"/>
    <w:rsid w:val="003D49BE"/>
    <w:rsid w:val="0051015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970060-8DBA-4196-B51C-2AC26A55F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1A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0A21A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21A3"/>
    <w:rPr>
      <w:rFonts w:asciiTheme="majorHAnsi" w:eastAsiaTheme="majorEastAsia" w:hAnsiTheme="majorHAnsi" w:cstheme="majorBidi"/>
      <w:color w:val="2E74B5" w:themeColor="accent1" w:themeShade="BF"/>
      <w:sz w:val="40"/>
      <w:szCs w:val="40"/>
    </w:rPr>
  </w:style>
  <w:style w:type="paragraph" w:styleId="ListParagraph">
    <w:name w:val="List Paragraph"/>
    <w:aliases w:val="Numbering,lp1,Bullet 1,Use Case List Paragraph,ERP-List Paragraph,List Paragraph1,List Paragraph11,List Paragraph Red,Bullet EY,List Paragraph2,List Paragraph21,Lentele,List Paragraph22,List Paragraph221,List not in Table,punktai,Bullet"/>
    <w:basedOn w:val="Normal"/>
    <w:link w:val="ListParagraphChar"/>
    <w:uiPriority w:val="34"/>
    <w:qFormat/>
    <w:rsid w:val="000A21A3"/>
    <w:pPr>
      <w:ind w:left="720"/>
      <w:contextualSpacing/>
    </w:pPr>
  </w:style>
  <w:style w:type="character" w:customStyle="1" w:styleId="ListParagraphChar">
    <w:name w:val="List Paragraph Char"/>
    <w:aliases w:val="Numbering Char,lp1 Char,Bullet 1 Char,Use Case List Paragraph Char,ERP-List Paragraph Char,List Paragraph1 Char,List Paragraph11 Char,List Paragraph Red Char,Bullet EY Char,List Paragraph2 Char,List Paragraph21 Char,Lentele Char"/>
    <w:link w:val="ListParagraph"/>
    <w:uiPriority w:val="34"/>
    <w:qFormat/>
    <w:locked/>
    <w:rsid w:val="000A21A3"/>
    <w:rPr>
      <w:rFonts w:ascii="Times New Roman" w:eastAsia="Times New Roman" w:hAnsi="Times New Roman" w:cs="Times New Roman"/>
      <w:sz w:val="24"/>
      <w:szCs w:val="20"/>
    </w:rPr>
  </w:style>
  <w:style w:type="paragraph" w:customStyle="1" w:styleId="tajtip">
    <w:name w:val="tajtip"/>
    <w:basedOn w:val="Normal"/>
    <w:rsid w:val="000A21A3"/>
    <w:pPr>
      <w:spacing w:before="100" w:beforeAutospacing="1" w:after="100" w:afterAutospacing="1"/>
    </w:pPr>
    <w:rPr>
      <w:szCs w:val="24"/>
      <w:lang w:eastAsia="lt-LT"/>
    </w:rPr>
  </w:style>
  <w:style w:type="paragraph" w:customStyle="1" w:styleId="Skyriauspavadinimas">
    <w:name w:val="Skyriaus pavadinimas"/>
    <w:basedOn w:val="Normal"/>
    <w:qFormat/>
    <w:rsid w:val="000A21A3"/>
    <w:pPr>
      <w:numPr>
        <w:numId w:val="6"/>
      </w:numPr>
      <w:jc w:val="center"/>
    </w:pPr>
    <w:rPr>
      <w:rFonts w:ascii="Times New Roman Bold" w:hAnsi="Times New Roman Bold"/>
      <w:b/>
      <w:caps/>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11508</Words>
  <Characters>6561</Characters>
  <Application>Microsoft Office Word</Application>
  <DocSecurity>0</DocSecurity>
  <Lines>54</Lines>
  <Paragraphs>36</Paragraphs>
  <ScaleCrop>false</ScaleCrop>
  <Company/>
  <LinksUpToDate>false</LinksUpToDate>
  <CharactersWithSpaces>18033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Vienažindytė</dc:creator>
  <cp:keywords/>
  <dc:description/>
  <cp:lastModifiedBy>Dalia Vienažindytė</cp:lastModifiedBy>
  <cp:revision>3</cp:revision>
  <dcterms:created xsi:type="dcterms:W3CDTF">2024-12-02T11:00:00Z</dcterms:created>
  <dcterms:modified xsi:type="dcterms:W3CDTF">2024-12-02T11:08:00Z</dcterms:modified>
</cp:coreProperties>
</file>