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</w:t>
            </w:r>
            <w:proofErr w:type="spellStart"/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viesieji_pirkimai@alytus.lt</w:t>
            </w:r>
            <w:proofErr w:type="spellEnd"/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4C06FE" w:rsidRPr="008212B6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2E783EFB" w:rsidR="00927296" w:rsidRPr="008212B6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3D6EF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3D6EF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02</w:t>
            </w: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90685A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</w:tr>
      <w:tr w:rsidR="004C06FE" w:rsidRPr="008212B6" w14:paraId="167E5B91" w14:textId="77777777" w:rsidTr="00A24ECF">
        <w:trPr>
          <w:cantSplit/>
        </w:trPr>
        <w:tc>
          <w:tcPr>
            <w:tcW w:w="4536" w:type="dxa"/>
          </w:tcPr>
          <w:p w14:paraId="4CA1C3EC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E60A60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828F651" w14:textId="77777777" w:rsidR="00927296" w:rsidRPr="008212B6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9750E8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2DD8AF5A" w14:textId="77777777" w:rsidR="00993847" w:rsidRPr="009750E8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25DBC1A5" w:rsidR="00927296" w:rsidRPr="009750E8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F50CE0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O</w:t>
            </w: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9750E8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9750E8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A97C1A7" w14:textId="69365A9A" w:rsidR="00862520" w:rsidRPr="009750E8" w:rsidRDefault="00927296" w:rsidP="008905A9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 202</w:t>
      </w:r>
      <w:r w:rsidR="003D6E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3D6EF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02</w:t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9068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11</w:t>
      </w:r>
      <w:r w:rsidR="00D607DF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posėdyje</w:t>
      </w:r>
      <w:r w:rsidR="008905A9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vadovaudamasi Lietuvos Respublikos viešųjų pirkimų įstatymo</w:t>
      </w:r>
      <w:r w:rsidR="00E95D25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36 str. 5 d. ir komisijos 202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8905A9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1-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29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</w:t>
      </w:r>
      <w:r w:rsidR="008905A9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patvirtintų </w:t>
      </w:r>
      <w:r w:rsidR="00B13C6E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supaprastinto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viešojo pirkimo </w:t>
      </w:r>
      <w:r w:rsidR="003E2A51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712C91" w:rsidRPr="00DA5511">
        <w:rPr>
          <w:rFonts w:ascii="Arial" w:hAnsi="Arial" w:cs="Arial"/>
          <w:caps/>
          <w:color w:val="000000" w:themeColor="text1"/>
          <w:sz w:val="24"/>
          <w:szCs w:val="24"/>
        </w:rPr>
        <w:t xml:space="preserve">ASRC </w:t>
      </w:r>
      <w:r w:rsidR="00DA5511" w:rsidRPr="00DA5511">
        <w:rPr>
          <w:rFonts w:ascii="Arial" w:hAnsi="Arial" w:cs="Arial"/>
          <w:color w:val="000000" w:themeColor="text1"/>
          <w:sz w:val="24"/>
          <w:szCs w:val="24"/>
        </w:rPr>
        <w:t>baseino gelžbetonio konstrukcijų kapitalinis remontas ir inžinerinių sistemų vamzdynų keitimas</w:t>
      </w:r>
      <w:r w:rsidRPr="00DA5511">
        <w:rPr>
          <w:rFonts w:ascii="Arial" w:eastAsia="Calibri" w:hAnsi="Arial" w:cs="Arial"/>
          <w:color w:val="000000" w:themeColor="text1"/>
          <w:sz w:val="24"/>
          <w:szCs w:val="24"/>
        </w:rPr>
        <w:t xml:space="preserve">“ </w:t>
      </w:r>
      <w:r w:rsidRPr="009750E8">
        <w:rPr>
          <w:rFonts w:ascii="Arial" w:eastAsia="Calibri" w:hAnsi="Arial" w:cs="Arial"/>
          <w:color w:val="000000" w:themeColor="text1"/>
          <w:sz w:val="24"/>
          <w:szCs w:val="24"/>
        </w:rPr>
        <w:t>atviro konkurso bendrųjų sąlygų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5.2 p. bei specialiosiomis</w:t>
      </w:r>
      <w:r w:rsidR="00DA551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pirkimo sąlygomis</w:t>
      </w:r>
      <w:r w:rsidRPr="009750E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išnagrinėjo centrinės viešųjų pirkimų informacinės sistemos priemonėmis 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gaut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tiekėj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pranešim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ir teikia atsakym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1B01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p w14:paraId="32C89E31" w14:textId="77777777" w:rsidR="002307A5" w:rsidRPr="008845CC" w:rsidRDefault="002307A5" w:rsidP="008845C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5E82D46A" w14:textId="444B0E8E" w:rsidR="0039107E" w:rsidRPr="008845CC" w:rsidRDefault="0090685A" w:rsidP="008845C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2025-02-07</w:t>
      </w:r>
      <w:r w:rsidR="00DA5511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6426B1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="007E17B2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</w:t>
      </w:r>
      <w:r w:rsidR="006426B1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="0039107E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val. Nr. </w:t>
      </w:r>
      <w:r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62185</w:t>
      </w:r>
      <w:r w:rsidR="0039107E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="006426B1" w:rsidRPr="008845CC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K</w:t>
      </w:r>
      <w:r w:rsidR="007E17B2" w:rsidRPr="008845CC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lausimas</w:t>
      </w:r>
      <w:r w:rsidR="00770C11" w:rsidRPr="008845CC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“.</w:t>
      </w:r>
    </w:p>
    <w:p w14:paraId="0155B6BE" w14:textId="51932FC1" w:rsidR="00B5366C" w:rsidRPr="008845CC" w:rsidRDefault="005B3CBF" w:rsidP="008845CC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8845C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</w:t>
      </w:r>
    </w:p>
    <w:p w14:paraId="3E380799" w14:textId="77777777" w:rsidR="00D65282" w:rsidRPr="008845CC" w:rsidRDefault="00893FFD" w:rsidP="008845C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D65282" w:rsidRPr="008845CC">
        <w:rPr>
          <w:rFonts w:ascii="Arial" w:hAnsi="Arial" w:cs="Arial"/>
          <w:sz w:val="24"/>
          <w:szCs w:val="24"/>
        </w:rPr>
        <w:t xml:space="preserve">1. Pagal pateiktą  žiniaraštį vamzdynų keitimui, matome, kad kiekių žiniaraštyje numatytas konkretus, konkrečios įmonės 30 cm pločio persipylimo latakas su vidinio tvirtinimo juosta,  su </w:t>
      </w:r>
      <w:proofErr w:type="spellStart"/>
      <w:r w:rsidR="00D65282" w:rsidRPr="008845CC">
        <w:rPr>
          <w:rFonts w:ascii="Arial" w:hAnsi="Arial" w:cs="Arial"/>
          <w:sz w:val="24"/>
          <w:szCs w:val="24"/>
        </w:rPr>
        <w:t>Twin</w:t>
      </w:r>
      <w:proofErr w:type="spellEnd"/>
      <w:r w:rsidR="00D65282" w:rsidRPr="008845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5282" w:rsidRPr="008845CC">
        <w:rPr>
          <w:rFonts w:ascii="Arial" w:hAnsi="Arial" w:cs="Arial"/>
          <w:sz w:val="24"/>
          <w:szCs w:val="24"/>
        </w:rPr>
        <w:t>Onda</w:t>
      </w:r>
      <w:proofErr w:type="spellEnd"/>
      <w:r w:rsidR="00D65282" w:rsidRPr="008845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5282" w:rsidRPr="008845CC">
        <w:rPr>
          <w:rFonts w:ascii="Arial" w:hAnsi="Arial" w:cs="Arial"/>
          <w:sz w:val="24"/>
          <w:szCs w:val="24"/>
        </w:rPr>
        <w:t>Flex</w:t>
      </w:r>
      <w:proofErr w:type="spellEnd"/>
      <w:r w:rsidR="00D65282" w:rsidRPr="008845CC">
        <w:rPr>
          <w:rFonts w:ascii="Arial" w:hAnsi="Arial" w:cs="Arial"/>
          <w:sz w:val="24"/>
          <w:szCs w:val="24"/>
        </w:rPr>
        <w:t xml:space="preserve"> grotelėmis. Šis yra dvigubai platesnis už šiuo metu esantį, suformuotą baseino statybos metu. Neišvengiamai 17 cm pločiu teks pjauti monolitinę  perdangą, kad įtalpinti šį numatytą lataką. </w:t>
      </w:r>
    </w:p>
    <w:p w14:paraId="06883C79" w14:textId="6DB2D222" w:rsidR="00D65282" w:rsidRPr="008845CC" w:rsidRDefault="00D65282" w:rsidP="008845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845CC">
        <w:rPr>
          <w:rFonts w:ascii="Arial" w:hAnsi="Arial" w:cs="Arial"/>
          <w:sz w:val="24"/>
          <w:szCs w:val="24"/>
        </w:rPr>
        <w:t>Klausimas, ar toks veiksmas yra galimas, ar nebus nupjauta kokia laikanti armatūra, ar tai patikrinta konstruktorių, ar atlikta ekspertizė? Projekto šiam darbui nėra.</w:t>
      </w:r>
    </w:p>
    <w:p w14:paraId="50B2AC0B" w14:textId="7638AD99" w:rsidR="005B3CBF" w:rsidRPr="008845CC" w:rsidRDefault="00D65282" w:rsidP="008845CC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8845CC">
        <w:rPr>
          <w:rFonts w:ascii="Arial" w:hAnsi="Arial" w:cs="Arial"/>
          <w:sz w:val="24"/>
          <w:szCs w:val="24"/>
        </w:rPr>
        <w:t>Kitas klausimas - grindys apie lataką  padengtas keramikinėmis plytelėmis. Jokios garantijos, kad pjaunant grindis šios keramikinės plytelės nebus pažeistos. Šių galimai būsiančių pažeistų plytelių atstatymui joks kiekis konkurse nenumatytas.</w:t>
      </w:r>
      <w:r w:rsidR="005B3CBF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"</w:t>
      </w:r>
    </w:p>
    <w:p w14:paraId="5A1385C9" w14:textId="0D293FE3" w:rsidR="005B3CBF" w:rsidRPr="008845CC" w:rsidRDefault="005B3CBF" w:rsidP="008845C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8845C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Atsakymas. </w:t>
      </w:r>
    </w:p>
    <w:p w14:paraId="3BC9CAB1" w14:textId="7DFADC43" w:rsidR="008845CC" w:rsidRPr="00520973" w:rsidRDefault="00360EBB" w:rsidP="008845C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Monolitinės perdangos pjauti nereikės. </w:t>
      </w:r>
      <w:r w:rsidR="00D473E9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Latakai montuojami esamų latakų vietoje, rangovui pasirenkant tokią montavimo darbų technologiją, kuri išsaugotų esamą grindų dangos apdailą.</w:t>
      </w:r>
      <w:r w:rsidR="004B40A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Esami</w:t>
      </w:r>
      <w:r w:rsidR="008845CC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vandens persipylimo latako matmenys</w:t>
      </w:r>
      <w:r w:rsidR="00B3682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8845CC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– latako vidaus plotis apie 14 cm, grotelių plotis apie 21</w:t>
      </w:r>
      <w:r w:rsidR="00D473E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8845CC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cm</w:t>
      </w:r>
      <w:r w:rsidR="008845CC" w:rsidRPr="0052097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 Pridedamos esamų latakų nuotraukos.</w:t>
      </w:r>
    </w:p>
    <w:p w14:paraId="4771ACDC" w14:textId="77777777" w:rsidR="008845CC" w:rsidRPr="00520973" w:rsidRDefault="008845CC" w:rsidP="008845C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AA3453E" w14:textId="77777777" w:rsidR="009F1A9E" w:rsidRPr="0018613A" w:rsidRDefault="009F1A9E" w:rsidP="009F1A9E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52097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Komisija, atsižvelgiant į pirkimo dokumentų patikslinimus ir vadovaujantis Lietuvos Respublikos viešųjų pirkimų įstatymo 40 str. 1 d. bei bendrųjų pirkimo sąlygų 5.3 ir 5.4 p., nutarė nukelti pasiūlymų pateikimą iki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centrinėje viešųjų pirkimų informacinėje sistemoje nurodyto termino.</w:t>
      </w:r>
    </w:p>
    <w:p w14:paraId="527B85A4" w14:textId="77777777" w:rsidR="009F1A9E" w:rsidRDefault="009F1A9E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1196E2BC" w14:textId="77777777" w:rsidR="009F1A9E" w:rsidRDefault="009F1A9E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6484FE91" w:rsidR="00770C11" w:rsidRPr="009750E8" w:rsidRDefault="00441D87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9750E8" w:rsidSect="009F1A9E">
      <w:footerReference w:type="default" r:id="rId8"/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BC0E" w14:textId="77777777" w:rsidR="00B8241D" w:rsidRDefault="00B8241D" w:rsidP="009A6A22">
      <w:pPr>
        <w:spacing w:after="0" w:line="240" w:lineRule="auto"/>
      </w:pPr>
      <w:r>
        <w:separator/>
      </w:r>
    </w:p>
  </w:endnote>
  <w:endnote w:type="continuationSeparator" w:id="0">
    <w:p w14:paraId="4F159138" w14:textId="77777777" w:rsidR="00B8241D" w:rsidRDefault="00B8241D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ED0B" w14:textId="77777777" w:rsidR="00B8241D" w:rsidRDefault="00B8241D" w:rsidP="009A6A22">
      <w:pPr>
        <w:spacing w:after="0" w:line="240" w:lineRule="auto"/>
      </w:pPr>
      <w:r>
        <w:separator/>
      </w:r>
    </w:p>
  </w:footnote>
  <w:footnote w:type="continuationSeparator" w:id="0">
    <w:p w14:paraId="75743758" w14:textId="77777777" w:rsidR="00B8241D" w:rsidRDefault="00B8241D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0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0574F"/>
    <w:multiLevelType w:val="multilevel"/>
    <w:tmpl w:val="91A4ED7A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3"/>
      <w:numFmt w:val="decimalZero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3"/>
  </w:num>
  <w:num w:numId="3" w16cid:durableId="1724911100">
    <w:abstractNumId w:val="8"/>
  </w:num>
  <w:num w:numId="4" w16cid:durableId="599997336">
    <w:abstractNumId w:val="11"/>
  </w:num>
  <w:num w:numId="5" w16cid:durableId="1511144977">
    <w:abstractNumId w:val="12"/>
  </w:num>
  <w:num w:numId="6" w16cid:durableId="1305963739">
    <w:abstractNumId w:val="7"/>
  </w:num>
  <w:num w:numId="7" w16cid:durableId="214972922">
    <w:abstractNumId w:val="6"/>
  </w:num>
  <w:num w:numId="8" w16cid:durableId="654071021">
    <w:abstractNumId w:val="18"/>
  </w:num>
  <w:num w:numId="9" w16cid:durableId="1828328291">
    <w:abstractNumId w:val="17"/>
  </w:num>
  <w:num w:numId="10" w16cid:durableId="1939363550">
    <w:abstractNumId w:val="1"/>
  </w:num>
  <w:num w:numId="11" w16cid:durableId="112435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5"/>
  </w:num>
  <w:num w:numId="13" w16cid:durableId="1903442411">
    <w:abstractNumId w:val="0"/>
  </w:num>
  <w:num w:numId="14" w16cid:durableId="2077168293">
    <w:abstractNumId w:val="14"/>
  </w:num>
  <w:num w:numId="15" w16cid:durableId="3911942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0"/>
  </w:num>
  <w:num w:numId="18" w16cid:durableId="2033876895">
    <w:abstractNumId w:val="9"/>
  </w:num>
  <w:num w:numId="19" w16cid:durableId="1332100000">
    <w:abstractNumId w:val="19"/>
  </w:num>
  <w:num w:numId="20" w16cid:durableId="1423603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12732"/>
    <w:rsid w:val="00051D39"/>
    <w:rsid w:val="000541C5"/>
    <w:rsid w:val="000C3560"/>
    <w:rsid w:val="000E16F7"/>
    <w:rsid w:val="000E6E1B"/>
    <w:rsid w:val="000F208E"/>
    <w:rsid w:val="00112071"/>
    <w:rsid w:val="00122A10"/>
    <w:rsid w:val="00123B5E"/>
    <w:rsid w:val="0013566C"/>
    <w:rsid w:val="00183B58"/>
    <w:rsid w:val="001B01C2"/>
    <w:rsid w:val="001D1C11"/>
    <w:rsid w:val="001F231E"/>
    <w:rsid w:val="001F4711"/>
    <w:rsid w:val="001F4ED5"/>
    <w:rsid w:val="00230311"/>
    <w:rsid w:val="002307A5"/>
    <w:rsid w:val="00277C71"/>
    <w:rsid w:val="002B62CE"/>
    <w:rsid w:val="002C53D0"/>
    <w:rsid w:val="002E2AF9"/>
    <w:rsid w:val="003066E9"/>
    <w:rsid w:val="003116B1"/>
    <w:rsid w:val="00317948"/>
    <w:rsid w:val="003277BD"/>
    <w:rsid w:val="00360EBB"/>
    <w:rsid w:val="0039107E"/>
    <w:rsid w:val="003A280C"/>
    <w:rsid w:val="003A4F7D"/>
    <w:rsid w:val="003B7CCB"/>
    <w:rsid w:val="003D4C92"/>
    <w:rsid w:val="003D4CA1"/>
    <w:rsid w:val="003D6EF8"/>
    <w:rsid w:val="003D7533"/>
    <w:rsid w:val="003E2A51"/>
    <w:rsid w:val="003F4B2B"/>
    <w:rsid w:val="00404AD1"/>
    <w:rsid w:val="00435411"/>
    <w:rsid w:val="00440E79"/>
    <w:rsid w:val="00441D87"/>
    <w:rsid w:val="00444CB1"/>
    <w:rsid w:val="00451534"/>
    <w:rsid w:val="004838DF"/>
    <w:rsid w:val="00495655"/>
    <w:rsid w:val="004B3652"/>
    <w:rsid w:val="004B40A4"/>
    <w:rsid w:val="004C06FE"/>
    <w:rsid w:val="004D0D94"/>
    <w:rsid w:val="004D152D"/>
    <w:rsid w:val="004E1BD2"/>
    <w:rsid w:val="004E3129"/>
    <w:rsid w:val="004E45A5"/>
    <w:rsid w:val="00520973"/>
    <w:rsid w:val="005273F8"/>
    <w:rsid w:val="0053181C"/>
    <w:rsid w:val="00560F46"/>
    <w:rsid w:val="0057161F"/>
    <w:rsid w:val="00580853"/>
    <w:rsid w:val="005A40EB"/>
    <w:rsid w:val="005B3CBF"/>
    <w:rsid w:val="005D62D8"/>
    <w:rsid w:val="005E1DBF"/>
    <w:rsid w:val="005E2144"/>
    <w:rsid w:val="005F5C73"/>
    <w:rsid w:val="006032DD"/>
    <w:rsid w:val="006426B1"/>
    <w:rsid w:val="006A17EC"/>
    <w:rsid w:val="006A2037"/>
    <w:rsid w:val="006A5BEF"/>
    <w:rsid w:val="006C28B0"/>
    <w:rsid w:val="006D50B3"/>
    <w:rsid w:val="006F1990"/>
    <w:rsid w:val="006F5988"/>
    <w:rsid w:val="00712C91"/>
    <w:rsid w:val="007169CE"/>
    <w:rsid w:val="00723D6E"/>
    <w:rsid w:val="007409AB"/>
    <w:rsid w:val="0075113A"/>
    <w:rsid w:val="00761452"/>
    <w:rsid w:val="00767C20"/>
    <w:rsid w:val="00770C11"/>
    <w:rsid w:val="0078288E"/>
    <w:rsid w:val="007B0513"/>
    <w:rsid w:val="007B76FD"/>
    <w:rsid w:val="007E17B2"/>
    <w:rsid w:val="007F22CF"/>
    <w:rsid w:val="0080023D"/>
    <w:rsid w:val="00803E2A"/>
    <w:rsid w:val="00804C0E"/>
    <w:rsid w:val="00813481"/>
    <w:rsid w:val="008212B6"/>
    <w:rsid w:val="00843D9A"/>
    <w:rsid w:val="00846E6F"/>
    <w:rsid w:val="00850378"/>
    <w:rsid w:val="00853361"/>
    <w:rsid w:val="0085639C"/>
    <w:rsid w:val="00862520"/>
    <w:rsid w:val="0086316B"/>
    <w:rsid w:val="008845CC"/>
    <w:rsid w:val="008905A9"/>
    <w:rsid w:val="008936BC"/>
    <w:rsid w:val="00893FFD"/>
    <w:rsid w:val="0089764A"/>
    <w:rsid w:val="008A4227"/>
    <w:rsid w:val="008A71DE"/>
    <w:rsid w:val="008B14D9"/>
    <w:rsid w:val="008D3296"/>
    <w:rsid w:val="008D43F3"/>
    <w:rsid w:val="008D66A0"/>
    <w:rsid w:val="008E0F45"/>
    <w:rsid w:val="008E543A"/>
    <w:rsid w:val="008F3AD8"/>
    <w:rsid w:val="0090685A"/>
    <w:rsid w:val="00927296"/>
    <w:rsid w:val="00935AC8"/>
    <w:rsid w:val="00951561"/>
    <w:rsid w:val="00962138"/>
    <w:rsid w:val="009711D1"/>
    <w:rsid w:val="009750E8"/>
    <w:rsid w:val="00993847"/>
    <w:rsid w:val="0099758B"/>
    <w:rsid w:val="009A6A22"/>
    <w:rsid w:val="009C2870"/>
    <w:rsid w:val="009D2DDF"/>
    <w:rsid w:val="009E3FF0"/>
    <w:rsid w:val="009F1A9E"/>
    <w:rsid w:val="00A00C01"/>
    <w:rsid w:val="00A13194"/>
    <w:rsid w:val="00A27D66"/>
    <w:rsid w:val="00A34439"/>
    <w:rsid w:val="00A478A1"/>
    <w:rsid w:val="00A51A11"/>
    <w:rsid w:val="00A5715B"/>
    <w:rsid w:val="00A61BB0"/>
    <w:rsid w:val="00A71FA9"/>
    <w:rsid w:val="00A85753"/>
    <w:rsid w:val="00A91374"/>
    <w:rsid w:val="00A91C86"/>
    <w:rsid w:val="00AB2E21"/>
    <w:rsid w:val="00AC149D"/>
    <w:rsid w:val="00AD656F"/>
    <w:rsid w:val="00AF4A8A"/>
    <w:rsid w:val="00B01C2B"/>
    <w:rsid w:val="00B13C6E"/>
    <w:rsid w:val="00B36829"/>
    <w:rsid w:val="00B45929"/>
    <w:rsid w:val="00B5366C"/>
    <w:rsid w:val="00B73F78"/>
    <w:rsid w:val="00B8241D"/>
    <w:rsid w:val="00B8317E"/>
    <w:rsid w:val="00B83BD7"/>
    <w:rsid w:val="00B87D62"/>
    <w:rsid w:val="00B90656"/>
    <w:rsid w:val="00B93CE7"/>
    <w:rsid w:val="00BB47DB"/>
    <w:rsid w:val="00BC206D"/>
    <w:rsid w:val="00C059C8"/>
    <w:rsid w:val="00C111BD"/>
    <w:rsid w:val="00C57CAC"/>
    <w:rsid w:val="00C65F29"/>
    <w:rsid w:val="00C66DFB"/>
    <w:rsid w:val="00C72D45"/>
    <w:rsid w:val="00C73C2A"/>
    <w:rsid w:val="00C81819"/>
    <w:rsid w:val="00C821F9"/>
    <w:rsid w:val="00C92ECB"/>
    <w:rsid w:val="00CA35FB"/>
    <w:rsid w:val="00CE2F43"/>
    <w:rsid w:val="00D162AE"/>
    <w:rsid w:val="00D473E9"/>
    <w:rsid w:val="00D527D2"/>
    <w:rsid w:val="00D607DF"/>
    <w:rsid w:val="00D65282"/>
    <w:rsid w:val="00D854BA"/>
    <w:rsid w:val="00DA5511"/>
    <w:rsid w:val="00DA6E60"/>
    <w:rsid w:val="00E11B5E"/>
    <w:rsid w:val="00E30103"/>
    <w:rsid w:val="00E53750"/>
    <w:rsid w:val="00E6235B"/>
    <w:rsid w:val="00E775B9"/>
    <w:rsid w:val="00E813AA"/>
    <w:rsid w:val="00E95D25"/>
    <w:rsid w:val="00EA2925"/>
    <w:rsid w:val="00EA5EB8"/>
    <w:rsid w:val="00EF1484"/>
    <w:rsid w:val="00EF7C4D"/>
    <w:rsid w:val="00F131EC"/>
    <w:rsid w:val="00F220EB"/>
    <w:rsid w:val="00F223B6"/>
    <w:rsid w:val="00F3421B"/>
    <w:rsid w:val="00F422D0"/>
    <w:rsid w:val="00F50CE0"/>
    <w:rsid w:val="00F65A6B"/>
    <w:rsid w:val="00FA087D"/>
    <w:rsid w:val="00FA66E5"/>
    <w:rsid w:val="00FB29CD"/>
    <w:rsid w:val="00F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26</cp:revision>
  <dcterms:created xsi:type="dcterms:W3CDTF">2024-11-12T12:36:00Z</dcterms:created>
  <dcterms:modified xsi:type="dcterms:W3CDTF">2025-02-11T13:27:00Z</dcterms:modified>
</cp:coreProperties>
</file>