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8FC4" w14:textId="3BC8B084" w:rsidR="00544705" w:rsidRPr="002B7D37" w:rsidRDefault="00544705" w:rsidP="00544705">
      <w:pPr>
        <w:pStyle w:val="TITUL0"/>
        <w:spacing w:before="0" w:after="0"/>
        <w:ind w:left="0" w:right="0" w:firstLine="709"/>
        <w:rPr>
          <w:sz w:val="28"/>
          <w:szCs w:val="28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65B7">
        <w:rPr>
          <w:sz w:val="28"/>
          <w:szCs w:val="28"/>
        </w:rPr>
        <w:t xml:space="preserve">APGYVENDINIMO (SU PUSRYČIAIS) </w:t>
      </w:r>
      <w:r w:rsidR="00FF67CA">
        <w:rPr>
          <w:sz w:val="28"/>
          <w:szCs w:val="28"/>
        </w:rPr>
        <w:t>PASLAUGŲ PIRKIMAS KLAIPĖDOJE</w:t>
      </w: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4417C302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FF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6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FF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6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E32559">
      <w:pPr>
        <w:pStyle w:val="FreeForm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2F286DA0" w:rsidR="00E32559" w:rsidRDefault="0055691D" w:rsidP="00E32559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3D377E">
        <w:rPr>
          <w:rFonts w:ascii="Times New Roman" w:hAnsi="Times New Roman" w:cs="Times New Roman"/>
          <w:color w:val="auto"/>
          <w:sz w:val="24"/>
          <w:szCs w:val="24"/>
          <w:lang w:val="lt-LT"/>
        </w:rPr>
        <w:t>2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3D377E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F85F68">
        <w:rPr>
          <w:rFonts w:ascii="Times New Roman" w:hAnsi="Times New Roman" w:cs="Times New Roman"/>
          <w:color w:val="auto"/>
          <w:sz w:val="24"/>
          <w:szCs w:val="24"/>
          <w:lang w:val="lt-LT"/>
        </w:rPr>
        <w:t>4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atviras konkursas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Apgyvendinimo (su pusryčiais) paslaugų pirkimas Klaipėdoje</w:t>
      </w:r>
      <w:r w:rsidR="00A07951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Nr. </w:t>
      </w:r>
      <w:r w:rsidR="005A4FAC" w:rsidRPr="005A4FAC">
        <w:rPr>
          <w:rFonts w:ascii="Times New Roman" w:hAnsi="Times New Roman" w:cs="Times New Roman"/>
          <w:color w:val="auto"/>
          <w:sz w:val="24"/>
          <w:szCs w:val="24"/>
        </w:rPr>
        <w:t>1033451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teikėjų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E3255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58CAF0E" w14:textId="2F3ECA96" w:rsidR="00FD724D" w:rsidRPr="00A07951" w:rsidRDefault="00FD724D" w:rsidP="00FD724D">
      <w:pPr>
        <w:pStyle w:val="FreeForm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Klausimas</w:t>
      </w:r>
      <w:r w:rsidRPr="007315E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(</w:t>
      </w:r>
      <w:r w:rsidRPr="004C7736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 xml:space="preserve">CVP IS pranešimas Nr. </w:t>
      </w:r>
      <w:r w:rsidR="00206907" w:rsidRPr="00206907">
        <w:rPr>
          <w:rFonts w:ascii="Times New Roman" w:hAnsi="Times New Roman" w:cs="Times New Roman"/>
          <w:i/>
          <w:color w:val="auto"/>
          <w:sz w:val="24"/>
          <w:szCs w:val="24"/>
        </w:rPr>
        <w:t>63456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):</w:t>
      </w:r>
    </w:p>
    <w:p w14:paraId="4B579F27" w14:textId="3FE5DE03" w:rsidR="007859C4" w:rsidRPr="00C92E50" w:rsidRDefault="00D45633" w:rsidP="00D73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2" w:lineRule="auto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ab/>
        <w:t>„</w:t>
      </w:r>
      <w:proofErr w:type="spellStart"/>
      <w:r w:rsidR="00F135EC" w:rsidRPr="00F135EC">
        <w:rPr>
          <w:rFonts w:eastAsia="Times New Roman"/>
        </w:rPr>
        <w:t>Prašome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nurodyti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koks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įkainis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turi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būti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nurodomas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pasiūlymo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lentelėje</w:t>
      </w:r>
      <w:proofErr w:type="spellEnd"/>
      <w:r w:rsidR="00F135EC" w:rsidRPr="00F135EC">
        <w:rPr>
          <w:rFonts w:eastAsia="Times New Roman"/>
        </w:rPr>
        <w:t xml:space="preserve"> (</w:t>
      </w:r>
      <w:proofErr w:type="spellStart"/>
      <w:r w:rsidR="00F135EC" w:rsidRPr="00F135EC">
        <w:rPr>
          <w:rFonts w:eastAsia="Times New Roman"/>
        </w:rPr>
        <w:t>kambario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ar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žmogui</w:t>
      </w:r>
      <w:proofErr w:type="spellEnd"/>
      <w:r w:rsidR="00F135EC" w:rsidRPr="00F135EC">
        <w:rPr>
          <w:rFonts w:eastAsia="Times New Roman"/>
        </w:rPr>
        <w:t xml:space="preserve">), </w:t>
      </w:r>
      <w:proofErr w:type="spellStart"/>
      <w:r w:rsidR="00F135EC" w:rsidRPr="00F135EC">
        <w:rPr>
          <w:rFonts w:eastAsia="Times New Roman"/>
        </w:rPr>
        <w:t>nes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lentelėje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nurodoma</w:t>
      </w:r>
      <w:proofErr w:type="spellEnd"/>
      <w:r w:rsidR="00F135EC" w:rsidRPr="00F135EC">
        <w:rPr>
          <w:rFonts w:eastAsia="Times New Roman"/>
        </w:rPr>
        <w:t xml:space="preserve">, </w:t>
      </w:r>
      <w:proofErr w:type="spellStart"/>
      <w:r w:rsidR="00F135EC" w:rsidRPr="00F135EC">
        <w:rPr>
          <w:rFonts w:eastAsia="Times New Roman"/>
        </w:rPr>
        <w:t>kad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įkainis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turi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būti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nurodomas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žmogui</w:t>
      </w:r>
      <w:proofErr w:type="spellEnd"/>
      <w:r w:rsidR="00F135EC" w:rsidRPr="00F135EC">
        <w:rPr>
          <w:rFonts w:eastAsia="Times New Roman"/>
        </w:rPr>
        <w:t xml:space="preserve">. Bet </w:t>
      </w:r>
      <w:proofErr w:type="spellStart"/>
      <w:r w:rsidR="00F135EC" w:rsidRPr="00F135EC">
        <w:rPr>
          <w:rFonts w:eastAsia="Times New Roman"/>
        </w:rPr>
        <w:t>skaičiuojant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bendrą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sumą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dauginamas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vieno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žmogaus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įkainis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iš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nakvynių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skaičiaus</w:t>
      </w:r>
      <w:proofErr w:type="spellEnd"/>
      <w:r w:rsidR="00F135EC" w:rsidRPr="00F135EC">
        <w:rPr>
          <w:rFonts w:eastAsia="Times New Roman"/>
        </w:rPr>
        <w:t xml:space="preserve">, bet ne </w:t>
      </w:r>
      <w:proofErr w:type="spellStart"/>
      <w:r w:rsidR="00F135EC" w:rsidRPr="00F135EC">
        <w:rPr>
          <w:rFonts w:eastAsia="Times New Roman"/>
        </w:rPr>
        <w:t>pvz</w:t>
      </w:r>
      <w:proofErr w:type="spellEnd"/>
      <w:r w:rsidR="00F135EC" w:rsidRPr="00F135EC">
        <w:rPr>
          <w:rFonts w:eastAsia="Times New Roman"/>
        </w:rPr>
        <w:t xml:space="preserve">. </w:t>
      </w:r>
      <w:proofErr w:type="spellStart"/>
      <w:r w:rsidR="00F135EC" w:rsidRPr="00F135EC">
        <w:rPr>
          <w:rFonts w:eastAsia="Times New Roman"/>
        </w:rPr>
        <w:t>dviviečio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kambario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 w:rsidRPr="00F135EC">
        <w:rPr>
          <w:rFonts w:eastAsia="Times New Roman"/>
        </w:rPr>
        <w:t>įkainis</w:t>
      </w:r>
      <w:proofErr w:type="spellEnd"/>
      <w:r w:rsidR="00F135EC" w:rsidRPr="00F135EC">
        <w:rPr>
          <w:rFonts w:eastAsia="Times New Roman"/>
        </w:rPr>
        <w:t xml:space="preserve"> </w:t>
      </w:r>
      <w:proofErr w:type="spellStart"/>
      <w:r w:rsidR="00F135EC">
        <w:rPr>
          <w:rFonts w:eastAsia="Times New Roman"/>
        </w:rPr>
        <w:t>iš</w:t>
      </w:r>
      <w:proofErr w:type="spellEnd"/>
      <w:r w:rsidR="00F135EC">
        <w:rPr>
          <w:rFonts w:eastAsia="Times New Roman"/>
        </w:rPr>
        <w:t xml:space="preserve"> </w:t>
      </w:r>
      <w:proofErr w:type="spellStart"/>
      <w:r w:rsidR="00F135EC">
        <w:rPr>
          <w:rFonts w:eastAsia="Times New Roman"/>
        </w:rPr>
        <w:t>kiekio</w:t>
      </w:r>
      <w:proofErr w:type="spellEnd"/>
      <w:r w:rsidR="00F135EC">
        <w:rPr>
          <w:rFonts w:eastAsia="Times New Roman"/>
        </w:rPr>
        <w:t xml:space="preserve">. </w:t>
      </w:r>
      <w:proofErr w:type="spellStart"/>
      <w:r w:rsidR="007D7125" w:rsidRPr="007D7125">
        <w:rPr>
          <w:rFonts w:eastAsia="Times New Roman"/>
        </w:rPr>
        <w:t>Įkainis</w:t>
      </w:r>
      <w:proofErr w:type="spellEnd"/>
      <w:r w:rsidR="007D7125" w:rsidRPr="007D7125">
        <w:rPr>
          <w:rFonts w:eastAsia="Times New Roman"/>
        </w:rPr>
        <w:t xml:space="preserve"> </w:t>
      </w:r>
      <w:proofErr w:type="spellStart"/>
      <w:r w:rsidR="007D7125" w:rsidRPr="007D7125">
        <w:rPr>
          <w:rFonts w:eastAsia="Times New Roman"/>
        </w:rPr>
        <w:t>vienam</w:t>
      </w:r>
      <w:proofErr w:type="spellEnd"/>
      <w:r w:rsidR="007D7125" w:rsidRPr="007D7125">
        <w:rPr>
          <w:rFonts w:eastAsia="Times New Roman"/>
        </w:rPr>
        <w:t xml:space="preserve"> </w:t>
      </w:r>
      <w:proofErr w:type="spellStart"/>
      <w:r w:rsidR="007D7125" w:rsidRPr="007D7125">
        <w:rPr>
          <w:rFonts w:eastAsia="Times New Roman"/>
        </w:rPr>
        <w:t>žmogui</w:t>
      </w:r>
      <w:proofErr w:type="spellEnd"/>
      <w:r w:rsidR="007D7125" w:rsidRPr="007D7125">
        <w:rPr>
          <w:rFonts w:eastAsia="Times New Roman"/>
        </w:rPr>
        <w:t xml:space="preserve"> be PVM, Eur</w:t>
      </w:r>
      <w:r w:rsidR="007D7125">
        <w:rPr>
          <w:rFonts w:eastAsia="Times New Roman"/>
        </w:rPr>
        <w:t xml:space="preserve">. </w:t>
      </w:r>
      <w:r w:rsidR="007B544B" w:rsidRPr="007B544B">
        <w:rPr>
          <w:rFonts w:eastAsia="Times New Roman"/>
        </w:rPr>
        <w:t>Suma be PVM, Eur.</w:t>
      </w:r>
      <w:r w:rsidR="007B544B">
        <w:rPr>
          <w:rFonts w:eastAsia="Times New Roman"/>
        </w:rPr>
        <w:t>”</w:t>
      </w:r>
    </w:p>
    <w:p w14:paraId="7C201FCF" w14:textId="0AFE99CC" w:rsidR="00C2255E" w:rsidRDefault="00C2255E" w:rsidP="007A7692">
      <w:pPr>
        <w:pStyle w:val="FreeForm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Atsakymas:</w:t>
      </w:r>
    </w:p>
    <w:p w14:paraId="72BD8C3B" w14:textId="409B2787" w:rsidR="00BA4D26" w:rsidRDefault="00E47C90" w:rsidP="002F1CDC">
      <w:pPr>
        <w:pStyle w:val="FreeForm"/>
        <w:ind w:firstLine="709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E47C90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Pride</w:t>
      </w:r>
      <w:r w:rsidR="00731721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d</w:t>
      </w:r>
      <w:r w:rsidRPr="00E47C90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ame Jums pavyzdinę formą:</w:t>
      </w:r>
    </w:p>
    <w:p w14:paraId="12C15570" w14:textId="4011B5F2" w:rsidR="00037CFE" w:rsidRPr="00037CFE" w:rsidRDefault="00037CFE" w:rsidP="00037CFE">
      <w:pPr>
        <w:suppressAutoHyphens/>
        <w:autoSpaceDN w:val="0"/>
        <w:jc w:val="both"/>
        <w:rPr>
          <w:rFonts w:cstheme="minorHAnsi"/>
        </w:rPr>
      </w:pPr>
      <w:r w:rsidRPr="00352FBD">
        <w:rPr>
          <w:rFonts w:cstheme="minorHAnsi"/>
          <w:b/>
        </w:rPr>
        <w:t xml:space="preserve">2025 m. </w:t>
      </w:r>
      <w:proofErr w:type="spellStart"/>
      <w:r w:rsidRPr="00352FBD">
        <w:rPr>
          <w:rFonts w:cstheme="minorHAnsi"/>
          <w:b/>
        </w:rPr>
        <w:t>vasario</w:t>
      </w:r>
      <w:proofErr w:type="spellEnd"/>
      <w:r w:rsidRPr="00352FBD">
        <w:rPr>
          <w:rFonts w:cstheme="minorHAnsi"/>
          <w:b/>
        </w:rPr>
        <w:t xml:space="preserve"> 28 – </w:t>
      </w:r>
      <w:proofErr w:type="spellStart"/>
      <w:r w:rsidRPr="00352FBD">
        <w:rPr>
          <w:rFonts w:cstheme="minorHAnsi"/>
          <w:b/>
        </w:rPr>
        <w:t>kovo</w:t>
      </w:r>
      <w:proofErr w:type="spellEnd"/>
      <w:r w:rsidRPr="00352FBD">
        <w:rPr>
          <w:rFonts w:cstheme="minorHAnsi"/>
          <w:b/>
        </w:rPr>
        <w:t xml:space="preserve"> 1 d. </w:t>
      </w:r>
      <w:proofErr w:type="spellStart"/>
      <w:r w:rsidRPr="00352FBD">
        <w:rPr>
          <w:rFonts w:cstheme="minorHAnsi"/>
          <w:b/>
        </w:rPr>
        <w:t>Lietuvos</w:t>
      </w:r>
      <w:proofErr w:type="spellEnd"/>
      <w:r w:rsidRPr="00352FBD">
        <w:rPr>
          <w:rFonts w:cstheme="minorHAnsi"/>
          <w:b/>
        </w:rPr>
        <w:t xml:space="preserve"> </w:t>
      </w:r>
      <w:proofErr w:type="spellStart"/>
      <w:r w:rsidRPr="00352FBD">
        <w:rPr>
          <w:rFonts w:cstheme="minorHAnsi"/>
          <w:b/>
        </w:rPr>
        <w:t>mokinių</w:t>
      </w:r>
      <w:proofErr w:type="spellEnd"/>
      <w:r w:rsidRPr="00352FBD">
        <w:rPr>
          <w:rFonts w:cstheme="minorHAnsi"/>
          <w:b/>
        </w:rPr>
        <w:t xml:space="preserve"> </w:t>
      </w:r>
      <w:proofErr w:type="spellStart"/>
      <w:r w:rsidRPr="00352FBD">
        <w:rPr>
          <w:rFonts w:cstheme="minorHAnsi"/>
          <w:b/>
        </w:rPr>
        <w:t>muzikos</w:t>
      </w:r>
      <w:proofErr w:type="spellEnd"/>
      <w:r w:rsidRPr="00352FBD">
        <w:rPr>
          <w:rFonts w:cstheme="minorHAnsi"/>
          <w:b/>
        </w:rPr>
        <w:t xml:space="preserve"> </w:t>
      </w:r>
      <w:proofErr w:type="spellStart"/>
      <w:r w:rsidRPr="00352FBD">
        <w:rPr>
          <w:rFonts w:cstheme="minorHAnsi"/>
          <w:b/>
        </w:rPr>
        <w:t>olimpiada</w:t>
      </w:r>
      <w:proofErr w:type="spellEnd"/>
      <w:r w:rsidRPr="00352FBD">
        <w:rPr>
          <w:rFonts w:cstheme="minorHAnsi"/>
          <w:b/>
        </w:rPr>
        <w:t xml:space="preserve">, </w:t>
      </w:r>
      <w:r>
        <w:rPr>
          <w:rFonts w:cstheme="minorHAnsi"/>
          <w:b/>
        </w:rPr>
        <w:t>35</w:t>
      </w:r>
      <w:r w:rsidRPr="00352FBD">
        <w:rPr>
          <w:rFonts w:cstheme="minorHAnsi"/>
          <w:b/>
        </w:rPr>
        <w:t xml:space="preserve"> </w:t>
      </w:r>
      <w:proofErr w:type="spellStart"/>
      <w:r w:rsidRPr="00352FBD">
        <w:rPr>
          <w:rFonts w:cstheme="minorHAnsi"/>
          <w:b/>
        </w:rPr>
        <w:t>žm</w:t>
      </w:r>
      <w:proofErr w:type="spellEnd"/>
      <w:r w:rsidRPr="00352FBD">
        <w:rPr>
          <w:rFonts w:cstheme="minorHAnsi"/>
          <w:b/>
        </w:rPr>
        <w:t>.</w:t>
      </w:r>
    </w:p>
    <w:tbl>
      <w:tblPr>
        <w:tblpPr w:leftFromText="180" w:rightFromText="180" w:vertAnchor="text" w:horzAnchor="margin" w:tblpY="8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208"/>
        <w:gridCol w:w="992"/>
        <w:gridCol w:w="993"/>
        <w:gridCol w:w="708"/>
        <w:gridCol w:w="1276"/>
        <w:gridCol w:w="1418"/>
        <w:gridCol w:w="1275"/>
        <w:gridCol w:w="1418"/>
      </w:tblGrid>
      <w:tr w:rsidR="004D0778" w:rsidRPr="00352FBD" w14:paraId="763BA704" w14:textId="77777777" w:rsidTr="004D0778">
        <w:trPr>
          <w:trHeight w:val="863"/>
        </w:trPr>
        <w:tc>
          <w:tcPr>
            <w:tcW w:w="630" w:type="dxa"/>
            <w:vAlign w:val="center"/>
          </w:tcPr>
          <w:p w14:paraId="2110AE54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Eil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>. Nr.</w:t>
            </w:r>
          </w:p>
        </w:tc>
        <w:tc>
          <w:tcPr>
            <w:tcW w:w="1208" w:type="dxa"/>
            <w:vAlign w:val="center"/>
          </w:tcPr>
          <w:p w14:paraId="17FC7F3F" w14:textId="77777777" w:rsidR="00E47C90" w:rsidRPr="00352FBD" w:rsidRDefault="00E47C90" w:rsidP="00B72A00">
            <w:pPr>
              <w:ind w:hanging="2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 xml:space="preserve">     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Apgyvendinimo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su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pusryčiais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)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paslauga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CAA463D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 xml:space="preserve">Mato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vnt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3B556E66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Orientaciniai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kiekiai</w:t>
            </w:r>
            <w:proofErr w:type="spellEnd"/>
          </w:p>
        </w:tc>
        <w:tc>
          <w:tcPr>
            <w:tcW w:w="708" w:type="dxa"/>
          </w:tcPr>
          <w:p w14:paraId="57790988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596F9560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Nakvynių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kiekiai</w:t>
            </w:r>
            <w:proofErr w:type="spellEnd"/>
          </w:p>
        </w:tc>
        <w:tc>
          <w:tcPr>
            <w:tcW w:w="1276" w:type="dxa"/>
            <w:vAlign w:val="center"/>
          </w:tcPr>
          <w:p w14:paraId="28C25E17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Įkainis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vienam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žmogui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be PVM,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1418" w:type="dxa"/>
            <w:vAlign w:val="center"/>
          </w:tcPr>
          <w:p w14:paraId="43A06681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Įkainis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vienam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žmogui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su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PVM,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1275" w:type="dxa"/>
            <w:vAlign w:val="center"/>
          </w:tcPr>
          <w:p w14:paraId="7B894E02" w14:textId="77777777" w:rsidR="00E47C90" w:rsidRPr="00352FBD" w:rsidRDefault="00E47C90" w:rsidP="00B72A00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>Suma be PVM, Eur.</w:t>
            </w:r>
          </w:p>
        </w:tc>
        <w:tc>
          <w:tcPr>
            <w:tcW w:w="1418" w:type="dxa"/>
            <w:vAlign w:val="center"/>
          </w:tcPr>
          <w:p w14:paraId="5D829930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 xml:space="preserve">Suma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su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PVM, Eur.</w:t>
            </w:r>
          </w:p>
        </w:tc>
      </w:tr>
      <w:tr w:rsidR="004D0778" w:rsidRPr="00352FBD" w14:paraId="1D9A37D2" w14:textId="77777777" w:rsidTr="004D0778">
        <w:trPr>
          <w:trHeight w:val="317"/>
        </w:trPr>
        <w:tc>
          <w:tcPr>
            <w:tcW w:w="630" w:type="dxa"/>
          </w:tcPr>
          <w:p w14:paraId="698349D3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8" w:type="dxa"/>
          </w:tcPr>
          <w:p w14:paraId="6CB409C7" w14:textId="77777777" w:rsidR="00E47C90" w:rsidRPr="00352FBD" w:rsidRDefault="00E47C90" w:rsidP="00B72A00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1E8073C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4D6A7106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077EC00F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49AC0DD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5FE5A7B7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085FF19F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4*5*6</w:t>
            </w:r>
          </w:p>
        </w:tc>
        <w:tc>
          <w:tcPr>
            <w:tcW w:w="1418" w:type="dxa"/>
          </w:tcPr>
          <w:p w14:paraId="63C527F1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4*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5</w:t>
            </w:r>
            <w:r w:rsidRPr="00352FB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*7</w:t>
            </w:r>
          </w:p>
        </w:tc>
      </w:tr>
      <w:tr w:rsidR="004D0778" w:rsidRPr="00352FBD" w14:paraId="023DC19D" w14:textId="77777777" w:rsidTr="004D0778">
        <w:trPr>
          <w:trHeight w:val="317"/>
        </w:trPr>
        <w:tc>
          <w:tcPr>
            <w:tcW w:w="630" w:type="dxa"/>
          </w:tcPr>
          <w:p w14:paraId="405C4303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208" w:type="dxa"/>
          </w:tcPr>
          <w:p w14:paraId="2E83AE1F" w14:textId="77777777" w:rsidR="00E47C90" w:rsidRPr="00352FBD" w:rsidRDefault="00E47C90" w:rsidP="00B72A00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 xml:space="preserve">1-čiame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kambaryje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0CBBA18C" w14:textId="77777777" w:rsidR="00E47C90" w:rsidRPr="00352FBD" w:rsidRDefault="00E47C90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vnt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153139E0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1C85FAD4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AF4502F" w14:textId="51A78EDA" w:rsidR="00E47C90" w:rsidRPr="00352FBD" w:rsidRDefault="00837158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Įrašote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kainą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asmeniui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vienviečiame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kambaryje</w:t>
            </w:r>
            <w:proofErr w:type="spell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be PVM</w:t>
            </w:r>
          </w:p>
        </w:tc>
        <w:tc>
          <w:tcPr>
            <w:tcW w:w="1418" w:type="dxa"/>
          </w:tcPr>
          <w:p w14:paraId="69B50B9D" w14:textId="4851AAF9" w:rsidR="00E47C90" w:rsidRPr="00352FBD" w:rsidRDefault="00837158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Įrašote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kainą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asmeniui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vienviečiame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kambaryje</w:t>
            </w:r>
            <w:proofErr w:type="spell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su</w:t>
            </w:r>
            <w:proofErr w:type="spell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PVM</w:t>
            </w:r>
          </w:p>
        </w:tc>
        <w:tc>
          <w:tcPr>
            <w:tcW w:w="1275" w:type="dxa"/>
          </w:tcPr>
          <w:p w14:paraId="618B7F7E" w14:textId="58A9FDEC" w:rsidR="00E47C90" w:rsidRPr="004D0778" w:rsidRDefault="00431219" w:rsidP="00B72A00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5 (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vienas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asmuo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vienvie</w:t>
            </w:r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čiame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kambary</w:t>
            </w:r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je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)*</w:t>
            </w:r>
            <w:proofErr w:type="gram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1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naktis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*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įkainis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be PVM</w:t>
            </w:r>
          </w:p>
        </w:tc>
        <w:tc>
          <w:tcPr>
            <w:tcW w:w="1418" w:type="dxa"/>
          </w:tcPr>
          <w:p w14:paraId="3FA6EF79" w14:textId="76E8BFEA" w:rsidR="00E47C90" w:rsidRPr="004D0778" w:rsidRDefault="00431219" w:rsidP="00B72A00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 </w:t>
            </w:r>
            <w:proofErr w:type="gram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vienas</w:t>
            </w:r>
            <w:proofErr w:type="spellEnd"/>
            <w:proofErr w:type="gramEnd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asmuo</w:t>
            </w:r>
            <w:proofErr w:type="spellEnd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vienviečiame</w:t>
            </w:r>
            <w:proofErr w:type="spellEnd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kambaryje</w:t>
            </w:r>
            <w:proofErr w:type="spellEnd"/>
            <w:r w:rsidR="00B12236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)*1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naktis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*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įkainis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su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PVM</w:t>
            </w:r>
          </w:p>
        </w:tc>
      </w:tr>
      <w:tr w:rsidR="004D0778" w:rsidRPr="00352FBD" w14:paraId="0F2E58B7" w14:textId="77777777" w:rsidTr="004D0778">
        <w:trPr>
          <w:trHeight w:val="353"/>
        </w:trPr>
        <w:tc>
          <w:tcPr>
            <w:tcW w:w="630" w:type="dxa"/>
          </w:tcPr>
          <w:p w14:paraId="1639508C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208" w:type="dxa"/>
          </w:tcPr>
          <w:p w14:paraId="2FD3BA4B" w14:textId="77777777" w:rsidR="00E47C90" w:rsidRPr="00352FBD" w:rsidRDefault="00E47C90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 xml:space="preserve">2-čiame </w:t>
            </w: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kambaryje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89E98E6" w14:textId="77777777" w:rsidR="00E47C90" w:rsidRPr="00352FBD" w:rsidRDefault="00E47C90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sz w:val="18"/>
                <w:szCs w:val="18"/>
              </w:rPr>
              <w:t>vnt</w:t>
            </w:r>
            <w:proofErr w:type="spellEnd"/>
            <w:r w:rsidRPr="00352FBD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275C9E9A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14:paraId="273D34C4" w14:textId="77777777" w:rsidR="00E47C90" w:rsidRPr="00352FBD" w:rsidRDefault="00E47C90" w:rsidP="00B72A00">
            <w:pPr>
              <w:ind w:hanging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52FBD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21E0D3B" w14:textId="2785B3ED" w:rsidR="00E47C90" w:rsidRPr="00352FBD" w:rsidRDefault="00837158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Įrašote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kainą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asmeniui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dviviečiame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kambaryje</w:t>
            </w:r>
            <w:proofErr w:type="spell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be PVM</w:t>
            </w:r>
          </w:p>
        </w:tc>
        <w:tc>
          <w:tcPr>
            <w:tcW w:w="1418" w:type="dxa"/>
          </w:tcPr>
          <w:p w14:paraId="05EE7BF6" w14:textId="5F556BE0" w:rsidR="00E47C90" w:rsidRPr="00352FBD" w:rsidRDefault="00837158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Įrašote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kainą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asmeniui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vienviečiame</w:t>
            </w:r>
            <w:proofErr w:type="spellEnd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158">
              <w:rPr>
                <w:rFonts w:eastAsia="Times New Roman" w:cstheme="minorHAnsi"/>
                <w:color w:val="FF0000"/>
                <w:sz w:val="18"/>
                <w:szCs w:val="18"/>
              </w:rPr>
              <w:t>kambaryje</w:t>
            </w:r>
            <w:proofErr w:type="spell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su</w:t>
            </w:r>
            <w:proofErr w:type="spell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PVM</w:t>
            </w:r>
          </w:p>
        </w:tc>
        <w:tc>
          <w:tcPr>
            <w:tcW w:w="1275" w:type="dxa"/>
          </w:tcPr>
          <w:p w14:paraId="69BEBF09" w14:textId="77777777" w:rsidR="00E47C90" w:rsidRPr="004D0778" w:rsidRDefault="00F1535C" w:rsidP="00B72A00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</w:pPr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15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dviviečių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kambarių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po 2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asm</w:t>
            </w:r>
            <w:r w:rsidR="00987C7A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e</w:t>
            </w:r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nis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=30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asmen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  <w:t>ų</w:t>
            </w:r>
            <w:r w:rsidR="00987C7A" w:rsidRPr="004D0778"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  <w:t>.</w:t>
            </w:r>
          </w:p>
          <w:p w14:paraId="4F569E6F" w14:textId="79B13996" w:rsidR="00B12236" w:rsidRPr="004D0778" w:rsidRDefault="00B12236" w:rsidP="00B72A00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</w:pPr>
            <w:r w:rsidRPr="004D0778"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  <w:t>30*1 (naktis)</w:t>
            </w:r>
            <w:r w:rsidR="004D0778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*</w:t>
            </w:r>
            <w:proofErr w:type="spellStart"/>
            <w:r w:rsidR="004D0778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įkainis</w:t>
            </w:r>
            <w:proofErr w:type="spellEnd"/>
            <w:r w:rsidR="004D0778"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be PVM</w:t>
            </w:r>
          </w:p>
          <w:p w14:paraId="291632A8" w14:textId="7752D150" w:rsidR="00987C7A" w:rsidRPr="004D0778" w:rsidRDefault="00987C7A" w:rsidP="00B72A00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</w:tcPr>
          <w:p w14:paraId="346C29C5" w14:textId="77777777" w:rsidR="004D0778" w:rsidRPr="004D0778" w:rsidRDefault="004D0778" w:rsidP="004D0778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</w:pPr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15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dviviečių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kambarių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po 2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asmenis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=30 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asmen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  <w:t>ų.</w:t>
            </w:r>
          </w:p>
          <w:p w14:paraId="348B2C94" w14:textId="3FC5349F" w:rsidR="004D0778" w:rsidRPr="004D0778" w:rsidRDefault="004D0778" w:rsidP="004D0778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</w:pPr>
            <w:r w:rsidRPr="004D0778">
              <w:rPr>
                <w:rFonts w:eastAsia="Times New Roman" w:cstheme="minorHAnsi"/>
                <w:color w:val="FF0000"/>
                <w:sz w:val="18"/>
                <w:szCs w:val="18"/>
                <w:lang w:val="lt-LT"/>
              </w:rPr>
              <w:t>30*1 (naktis)</w:t>
            </w:r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*</w:t>
            </w:r>
            <w:proofErr w:type="spellStart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>įkainis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A3079">
              <w:rPr>
                <w:rFonts w:eastAsia="Times New Roman" w:cstheme="minorHAnsi"/>
                <w:color w:val="FF0000"/>
                <w:sz w:val="18"/>
                <w:szCs w:val="18"/>
              </w:rPr>
              <w:t>su</w:t>
            </w:r>
            <w:proofErr w:type="spellEnd"/>
            <w:r w:rsidRPr="004D077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PVM</w:t>
            </w:r>
          </w:p>
          <w:p w14:paraId="53A229E7" w14:textId="452841AB" w:rsidR="00E47C90" w:rsidRPr="004D0778" w:rsidRDefault="00E47C90" w:rsidP="00B72A00">
            <w:pPr>
              <w:ind w:hanging="2"/>
              <w:jc w:val="both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E47C90" w:rsidRPr="00352FBD" w14:paraId="6FD2B6CA" w14:textId="77777777" w:rsidTr="004D0778">
        <w:trPr>
          <w:trHeight w:val="353"/>
        </w:trPr>
        <w:tc>
          <w:tcPr>
            <w:tcW w:w="7225" w:type="dxa"/>
            <w:gridSpan w:val="7"/>
          </w:tcPr>
          <w:p w14:paraId="000E1723" w14:textId="77777777" w:rsidR="00E47C90" w:rsidRPr="00352FBD" w:rsidRDefault="00E47C90" w:rsidP="00B72A00">
            <w:pPr>
              <w:ind w:hanging="2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spellStart"/>
            <w:r w:rsidRPr="00352FBD">
              <w:rPr>
                <w:rFonts w:eastAsia="Times New Roman" w:cstheme="minorHAnsi"/>
                <w:b/>
                <w:bCs/>
                <w:sz w:val="18"/>
                <w:szCs w:val="18"/>
              </w:rPr>
              <w:t>Bendra</w:t>
            </w:r>
            <w:proofErr w:type="spellEnd"/>
            <w:r w:rsidRPr="00352FB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b/>
                <w:bCs/>
                <w:sz w:val="18"/>
                <w:szCs w:val="18"/>
              </w:rPr>
              <w:t>pasiūlymo</w:t>
            </w:r>
            <w:proofErr w:type="spellEnd"/>
            <w:r w:rsidRPr="00352FB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2FBD">
              <w:rPr>
                <w:rFonts w:eastAsia="Times New Roman" w:cstheme="minorHAnsi"/>
                <w:b/>
                <w:bCs/>
                <w:sz w:val="18"/>
                <w:szCs w:val="18"/>
              </w:rPr>
              <w:t>kaina</w:t>
            </w:r>
            <w:proofErr w:type="spellEnd"/>
          </w:p>
        </w:tc>
        <w:tc>
          <w:tcPr>
            <w:tcW w:w="1275" w:type="dxa"/>
          </w:tcPr>
          <w:p w14:paraId="379A4519" w14:textId="77777777" w:rsidR="00E47C90" w:rsidRPr="00352FBD" w:rsidRDefault="00E47C90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59B071" w14:textId="77777777" w:rsidR="00E47C90" w:rsidRPr="00352FBD" w:rsidRDefault="00E47C90" w:rsidP="00B72A00">
            <w:pPr>
              <w:ind w:hanging="2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1E4D9317" w14:textId="744678A3" w:rsidR="00E47C90" w:rsidRPr="005278D4" w:rsidRDefault="004D0778" w:rsidP="002F1CDC">
      <w:pPr>
        <w:pStyle w:val="FreeForm"/>
        <w:ind w:firstLine="709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5278D4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lastRenderedPageBreak/>
        <w:t xml:space="preserve">Pažymime, kad </w:t>
      </w:r>
      <w:r w:rsidR="00D71388" w:rsidRPr="005278D4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pasiūlymo formoje galutinės pasiūlymo </w:t>
      </w:r>
      <w:r w:rsidR="003571CD" w:rsidRPr="005278D4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kainos</w:t>
      </w:r>
      <w:r w:rsidR="005278D4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 po pasiūlymų pateikimo termino keisti</w:t>
      </w:r>
      <w:r w:rsidR="003571CD" w:rsidRPr="005278D4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 negalima</w:t>
      </w:r>
      <w:r w:rsidR="00DE0957" w:rsidRPr="005278D4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, tačiau </w:t>
      </w:r>
      <w:r w:rsidR="004732C3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pirkimo vykdytojas gali paprašyti patikslinti</w:t>
      </w:r>
      <w:r w:rsidR="008F0F4D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/ ištaisyti aritmetines klaidas jei tokių būtų.</w:t>
      </w:r>
    </w:p>
    <w:sectPr w:rsidR="00E47C90" w:rsidRPr="005278D4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5BE0" w14:textId="77777777" w:rsidR="00955D77" w:rsidRDefault="00955D77">
      <w:r>
        <w:separator/>
      </w:r>
    </w:p>
  </w:endnote>
  <w:endnote w:type="continuationSeparator" w:id="0">
    <w:p w14:paraId="303E7ECF" w14:textId="77777777" w:rsidR="00955D77" w:rsidRDefault="0095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1A57" w14:textId="77777777" w:rsidR="00955D77" w:rsidRDefault="00955D77">
      <w:r>
        <w:separator/>
      </w:r>
    </w:p>
  </w:footnote>
  <w:footnote w:type="continuationSeparator" w:id="0">
    <w:p w14:paraId="42FAB04A" w14:textId="77777777" w:rsidR="00955D77" w:rsidRDefault="0095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37CFE"/>
    <w:rsid w:val="00055DAE"/>
    <w:rsid w:val="00063207"/>
    <w:rsid w:val="00073DD3"/>
    <w:rsid w:val="000778EA"/>
    <w:rsid w:val="000811C6"/>
    <w:rsid w:val="0009394F"/>
    <w:rsid w:val="000A3079"/>
    <w:rsid w:val="000B20C2"/>
    <w:rsid w:val="000B72A4"/>
    <w:rsid w:val="000D4978"/>
    <w:rsid w:val="000D5AAD"/>
    <w:rsid w:val="000D7D9E"/>
    <w:rsid w:val="000E0D7A"/>
    <w:rsid w:val="000E62C5"/>
    <w:rsid w:val="000F768F"/>
    <w:rsid w:val="001021AA"/>
    <w:rsid w:val="001061EF"/>
    <w:rsid w:val="00124A9C"/>
    <w:rsid w:val="00144A2E"/>
    <w:rsid w:val="00150B71"/>
    <w:rsid w:val="00176B3D"/>
    <w:rsid w:val="00194493"/>
    <w:rsid w:val="001B3694"/>
    <w:rsid w:val="001E0245"/>
    <w:rsid w:val="001E13E9"/>
    <w:rsid w:val="001E7D09"/>
    <w:rsid w:val="00206907"/>
    <w:rsid w:val="002073CD"/>
    <w:rsid w:val="0021440E"/>
    <w:rsid w:val="00214CFD"/>
    <w:rsid w:val="00214E0F"/>
    <w:rsid w:val="0023356D"/>
    <w:rsid w:val="00251AB8"/>
    <w:rsid w:val="00263810"/>
    <w:rsid w:val="0027100A"/>
    <w:rsid w:val="0027711F"/>
    <w:rsid w:val="0027730A"/>
    <w:rsid w:val="00283C9F"/>
    <w:rsid w:val="00290EAD"/>
    <w:rsid w:val="00291213"/>
    <w:rsid w:val="002914B1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571CD"/>
    <w:rsid w:val="00374D83"/>
    <w:rsid w:val="00387533"/>
    <w:rsid w:val="00397D3E"/>
    <w:rsid w:val="003B6679"/>
    <w:rsid w:val="003B6C3F"/>
    <w:rsid w:val="003C1321"/>
    <w:rsid w:val="003D1109"/>
    <w:rsid w:val="003D377E"/>
    <w:rsid w:val="003D4A4E"/>
    <w:rsid w:val="003F708D"/>
    <w:rsid w:val="003F7A3D"/>
    <w:rsid w:val="004266D0"/>
    <w:rsid w:val="00431219"/>
    <w:rsid w:val="00431A10"/>
    <w:rsid w:val="004347D3"/>
    <w:rsid w:val="00444902"/>
    <w:rsid w:val="00445E77"/>
    <w:rsid w:val="00446D1A"/>
    <w:rsid w:val="004549F1"/>
    <w:rsid w:val="00462EEE"/>
    <w:rsid w:val="004634D5"/>
    <w:rsid w:val="00465C82"/>
    <w:rsid w:val="00467589"/>
    <w:rsid w:val="004732C3"/>
    <w:rsid w:val="004862E0"/>
    <w:rsid w:val="004A6021"/>
    <w:rsid w:val="004B0CCD"/>
    <w:rsid w:val="004C7736"/>
    <w:rsid w:val="004C7A15"/>
    <w:rsid w:val="004D0778"/>
    <w:rsid w:val="0050091B"/>
    <w:rsid w:val="00522027"/>
    <w:rsid w:val="0052359F"/>
    <w:rsid w:val="00523FE4"/>
    <w:rsid w:val="005278D4"/>
    <w:rsid w:val="00541195"/>
    <w:rsid w:val="00544705"/>
    <w:rsid w:val="005526ED"/>
    <w:rsid w:val="00555CE0"/>
    <w:rsid w:val="0055691D"/>
    <w:rsid w:val="00592040"/>
    <w:rsid w:val="00592663"/>
    <w:rsid w:val="005A4FAC"/>
    <w:rsid w:val="005A78F5"/>
    <w:rsid w:val="005B177D"/>
    <w:rsid w:val="005C41DF"/>
    <w:rsid w:val="005D2754"/>
    <w:rsid w:val="005D4F36"/>
    <w:rsid w:val="005E5413"/>
    <w:rsid w:val="005E6EAE"/>
    <w:rsid w:val="00611BB5"/>
    <w:rsid w:val="0063209B"/>
    <w:rsid w:val="00637C8F"/>
    <w:rsid w:val="00663AFB"/>
    <w:rsid w:val="00696851"/>
    <w:rsid w:val="006C057D"/>
    <w:rsid w:val="006C48F8"/>
    <w:rsid w:val="00731721"/>
    <w:rsid w:val="00734B59"/>
    <w:rsid w:val="007364CF"/>
    <w:rsid w:val="0074137F"/>
    <w:rsid w:val="007450AF"/>
    <w:rsid w:val="0075047C"/>
    <w:rsid w:val="00752F5E"/>
    <w:rsid w:val="007555C7"/>
    <w:rsid w:val="007608DA"/>
    <w:rsid w:val="00773BF1"/>
    <w:rsid w:val="0078224D"/>
    <w:rsid w:val="007859C4"/>
    <w:rsid w:val="007A7692"/>
    <w:rsid w:val="007A7E9A"/>
    <w:rsid w:val="007B5185"/>
    <w:rsid w:val="007B544B"/>
    <w:rsid w:val="007B61E5"/>
    <w:rsid w:val="007B769D"/>
    <w:rsid w:val="007D4D07"/>
    <w:rsid w:val="007D7125"/>
    <w:rsid w:val="007E45A9"/>
    <w:rsid w:val="007F0D76"/>
    <w:rsid w:val="00826184"/>
    <w:rsid w:val="00837158"/>
    <w:rsid w:val="00845B5F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8F0F4D"/>
    <w:rsid w:val="009127AB"/>
    <w:rsid w:val="009139EF"/>
    <w:rsid w:val="009214C6"/>
    <w:rsid w:val="00941472"/>
    <w:rsid w:val="00947A32"/>
    <w:rsid w:val="00953266"/>
    <w:rsid w:val="00955D77"/>
    <w:rsid w:val="009677BE"/>
    <w:rsid w:val="00971646"/>
    <w:rsid w:val="0097650C"/>
    <w:rsid w:val="00987C7A"/>
    <w:rsid w:val="009A1625"/>
    <w:rsid w:val="009E69A9"/>
    <w:rsid w:val="009E6D71"/>
    <w:rsid w:val="00A05A02"/>
    <w:rsid w:val="00A07951"/>
    <w:rsid w:val="00A14FB2"/>
    <w:rsid w:val="00A267B5"/>
    <w:rsid w:val="00A47C7F"/>
    <w:rsid w:val="00A60C11"/>
    <w:rsid w:val="00A60F09"/>
    <w:rsid w:val="00A7161B"/>
    <w:rsid w:val="00A8184A"/>
    <w:rsid w:val="00A874B4"/>
    <w:rsid w:val="00AB23A5"/>
    <w:rsid w:val="00AB6A59"/>
    <w:rsid w:val="00AD00BE"/>
    <w:rsid w:val="00AD7E77"/>
    <w:rsid w:val="00AE7912"/>
    <w:rsid w:val="00B05DE2"/>
    <w:rsid w:val="00B11544"/>
    <w:rsid w:val="00B12236"/>
    <w:rsid w:val="00B14676"/>
    <w:rsid w:val="00B21142"/>
    <w:rsid w:val="00B32065"/>
    <w:rsid w:val="00B4081C"/>
    <w:rsid w:val="00B55C2A"/>
    <w:rsid w:val="00B60D90"/>
    <w:rsid w:val="00B62003"/>
    <w:rsid w:val="00B6399B"/>
    <w:rsid w:val="00B74B46"/>
    <w:rsid w:val="00BA4D26"/>
    <w:rsid w:val="00BD5650"/>
    <w:rsid w:val="00BF7FF7"/>
    <w:rsid w:val="00C035FE"/>
    <w:rsid w:val="00C2255E"/>
    <w:rsid w:val="00C43F68"/>
    <w:rsid w:val="00C56F4C"/>
    <w:rsid w:val="00C61A1C"/>
    <w:rsid w:val="00C65C0C"/>
    <w:rsid w:val="00C665D1"/>
    <w:rsid w:val="00C67022"/>
    <w:rsid w:val="00C8310D"/>
    <w:rsid w:val="00C92E50"/>
    <w:rsid w:val="00C9362A"/>
    <w:rsid w:val="00CA2360"/>
    <w:rsid w:val="00CA4572"/>
    <w:rsid w:val="00CB2059"/>
    <w:rsid w:val="00CB409F"/>
    <w:rsid w:val="00CC1E8A"/>
    <w:rsid w:val="00CC4F37"/>
    <w:rsid w:val="00CD282F"/>
    <w:rsid w:val="00CE166A"/>
    <w:rsid w:val="00D265B7"/>
    <w:rsid w:val="00D27D04"/>
    <w:rsid w:val="00D36511"/>
    <w:rsid w:val="00D45633"/>
    <w:rsid w:val="00D4570A"/>
    <w:rsid w:val="00D55AF4"/>
    <w:rsid w:val="00D63D7E"/>
    <w:rsid w:val="00D71388"/>
    <w:rsid w:val="00D73B68"/>
    <w:rsid w:val="00D9420C"/>
    <w:rsid w:val="00D94D9F"/>
    <w:rsid w:val="00DB147F"/>
    <w:rsid w:val="00DB44A7"/>
    <w:rsid w:val="00DB4BAB"/>
    <w:rsid w:val="00DC3675"/>
    <w:rsid w:val="00DD6C30"/>
    <w:rsid w:val="00DE0957"/>
    <w:rsid w:val="00DF0A9B"/>
    <w:rsid w:val="00DF56E0"/>
    <w:rsid w:val="00DF64AC"/>
    <w:rsid w:val="00DF6CDE"/>
    <w:rsid w:val="00E07D9B"/>
    <w:rsid w:val="00E27197"/>
    <w:rsid w:val="00E32559"/>
    <w:rsid w:val="00E413AD"/>
    <w:rsid w:val="00E43134"/>
    <w:rsid w:val="00E44F68"/>
    <w:rsid w:val="00E47C90"/>
    <w:rsid w:val="00E55EA9"/>
    <w:rsid w:val="00E70FAF"/>
    <w:rsid w:val="00E75CB5"/>
    <w:rsid w:val="00EA0897"/>
    <w:rsid w:val="00EA64ED"/>
    <w:rsid w:val="00EB2A3A"/>
    <w:rsid w:val="00EC17C9"/>
    <w:rsid w:val="00EC2DB1"/>
    <w:rsid w:val="00EC2E7A"/>
    <w:rsid w:val="00EC5990"/>
    <w:rsid w:val="00EC5A31"/>
    <w:rsid w:val="00EE04CF"/>
    <w:rsid w:val="00EE77E9"/>
    <w:rsid w:val="00F12E21"/>
    <w:rsid w:val="00F135EC"/>
    <w:rsid w:val="00F1535C"/>
    <w:rsid w:val="00F337B7"/>
    <w:rsid w:val="00F403B3"/>
    <w:rsid w:val="00F452BA"/>
    <w:rsid w:val="00F46229"/>
    <w:rsid w:val="00F73926"/>
    <w:rsid w:val="00F85F68"/>
    <w:rsid w:val="00FB60E0"/>
    <w:rsid w:val="00FD3623"/>
    <w:rsid w:val="00FD724D"/>
    <w:rsid w:val="00FF67C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  <w:style w:type="paragraph" w:customStyle="1" w:styleId="p58">
    <w:name w:val="p58"/>
    <w:basedOn w:val="Normal"/>
    <w:rsid w:val="0073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103</cp:revision>
  <cp:lastPrinted>2020-11-12T11:16:00Z</cp:lastPrinted>
  <dcterms:created xsi:type="dcterms:W3CDTF">2024-08-19T06:11:00Z</dcterms:created>
  <dcterms:modified xsi:type="dcterms:W3CDTF">2025-02-11T11:31:00Z</dcterms:modified>
</cp:coreProperties>
</file>