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0B61E" w14:textId="1BA43D5B" w:rsidR="001B6427" w:rsidRDefault="001B6427" w:rsidP="001B6427">
      <w:pPr>
        <w:pStyle w:val="Antrat2"/>
        <w:spacing w:before="0" w:after="0"/>
        <w:ind w:left="3600" w:firstLine="720"/>
      </w:pPr>
      <w:r>
        <w:t xml:space="preserve">  </w:t>
      </w:r>
      <w:r>
        <w:rPr>
          <w:noProof/>
        </w:rPr>
        <w:drawing>
          <wp:inline distT="0" distB="0" distL="0" distR="0" wp14:anchorId="5371ED7D" wp14:editId="0FF9D3EC">
            <wp:extent cx="428625" cy="419100"/>
            <wp:effectExtent l="0" t="0" r="9525" b="0"/>
            <wp:docPr id="6634525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419100"/>
                    </a:xfrm>
                    <a:prstGeom prst="rect">
                      <a:avLst/>
                    </a:prstGeom>
                    <a:noFill/>
                    <a:ln>
                      <a:noFill/>
                    </a:ln>
                  </pic:spPr>
                </pic:pic>
              </a:graphicData>
            </a:graphic>
          </wp:inline>
        </w:drawing>
      </w:r>
    </w:p>
    <w:p w14:paraId="1A477158" w14:textId="77777777" w:rsidR="001B6427" w:rsidRPr="00F662F7" w:rsidRDefault="001B6427" w:rsidP="001B6427"/>
    <w:p w14:paraId="41D40BA5" w14:textId="77777777" w:rsidR="001B6427" w:rsidRDefault="001B6427" w:rsidP="001B6427">
      <w:pPr>
        <w:pStyle w:val="Antrat3"/>
        <w:spacing w:before="0" w:after="0"/>
        <w:jc w:val="center"/>
      </w:pPr>
      <w:r>
        <w:t>VIEŠOJI ĮSTAIGA</w:t>
      </w:r>
    </w:p>
    <w:p w14:paraId="7ECF8823" w14:textId="77777777" w:rsidR="001B6427" w:rsidRDefault="001B6427" w:rsidP="001B6427">
      <w:pPr>
        <w:pStyle w:val="Antrat3"/>
        <w:spacing w:before="0" w:after="0"/>
        <w:jc w:val="center"/>
      </w:pPr>
      <w:r>
        <w:t>TAURAGĖS LIGONINĖ</w:t>
      </w:r>
    </w:p>
    <w:p w14:paraId="7AA6A6B0" w14:textId="77777777" w:rsidR="001B6427" w:rsidRDefault="001B6427" w:rsidP="001B6427">
      <w:pPr>
        <w:jc w:val="center"/>
        <w:rPr>
          <w:sz w:val="16"/>
        </w:rPr>
      </w:pPr>
    </w:p>
    <w:p w14:paraId="6655B76E" w14:textId="407DB3B7" w:rsidR="001B6427" w:rsidRPr="000A59EB" w:rsidRDefault="001B6427" w:rsidP="001B6427">
      <w:pPr>
        <w:tabs>
          <w:tab w:val="left" w:pos="567"/>
          <w:tab w:val="left" w:pos="851"/>
        </w:tabs>
        <w:jc w:val="center"/>
        <w:rPr>
          <w:sz w:val="18"/>
        </w:rPr>
      </w:pPr>
      <w:r w:rsidRPr="000A59EB">
        <w:rPr>
          <w:sz w:val="18"/>
        </w:rPr>
        <w:t>Viešoji įstaiga, V.</w:t>
      </w:r>
      <w:r>
        <w:rPr>
          <w:sz w:val="18"/>
        </w:rPr>
        <w:t xml:space="preserve"> </w:t>
      </w:r>
      <w:r w:rsidRPr="000A59EB">
        <w:rPr>
          <w:sz w:val="18"/>
        </w:rPr>
        <w:t>Kudirkos  g. 2 , 72214 Tauragė, tel.(8 446) 62 701, faks. (8 446) 62 700, el.</w:t>
      </w:r>
      <w:r>
        <w:rPr>
          <w:sz w:val="18"/>
        </w:rPr>
        <w:t xml:space="preserve"> </w:t>
      </w:r>
      <w:r w:rsidRPr="000A59EB">
        <w:rPr>
          <w:sz w:val="18"/>
        </w:rPr>
        <w:t xml:space="preserve">p. </w:t>
      </w:r>
      <w:r>
        <w:rPr>
          <w:sz w:val="18"/>
        </w:rPr>
        <w:t>info@tauragesligonine.lt</w:t>
      </w:r>
      <w:r w:rsidRPr="000A59EB">
        <w:rPr>
          <w:sz w:val="18"/>
        </w:rPr>
        <w:t xml:space="preserve">   </w:t>
      </w:r>
    </w:p>
    <w:p w14:paraId="016ADCCB" w14:textId="77BF63E9" w:rsidR="001B6427" w:rsidRPr="000A59EB" w:rsidRDefault="001B6427" w:rsidP="001B6427">
      <w:pPr>
        <w:tabs>
          <w:tab w:val="left" w:pos="567"/>
          <w:tab w:val="left" w:pos="851"/>
        </w:tabs>
        <w:jc w:val="center"/>
        <w:rPr>
          <w:sz w:val="18"/>
        </w:rPr>
      </w:pPr>
      <w:r>
        <w:rPr>
          <w:noProof/>
          <w:sz w:val="18"/>
          <w:lang w:eastAsia="lt-LT"/>
        </w:rPr>
        <mc:AlternateContent>
          <mc:Choice Requires="wps">
            <w:drawing>
              <wp:anchor distT="0" distB="0" distL="114300" distR="114300" simplePos="0" relativeHeight="251659264" behindDoc="0" locked="0" layoutInCell="1" allowOverlap="1" wp14:anchorId="36A783A4" wp14:editId="7924117A">
                <wp:simplePos x="0" y="0"/>
                <wp:positionH relativeFrom="column">
                  <wp:posOffset>-5715</wp:posOffset>
                </wp:positionH>
                <wp:positionV relativeFrom="paragraph">
                  <wp:posOffset>121285</wp:posOffset>
                </wp:positionV>
                <wp:extent cx="6187440" cy="7620"/>
                <wp:effectExtent l="0" t="0" r="0" b="0"/>
                <wp:wrapNone/>
                <wp:docPr id="54870895" name="Tiesioji rodyklės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744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6C29C9" id="_x0000_t32" coordsize="21600,21600" o:spt="32" o:oned="t" path="m,l21600,21600e" filled="f">
                <v:path arrowok="t" fillok="f" o:connecttype="none"/>
                <o:lock v:ext="edit" shapetype="t"/>
              </v:shapetype>
              <v:shape id="Tiesioji rodyklės jungtis 2" o:spid="_x0000_s1026" type="#_x0000_t32" style="position:absolute;margin-left:-.45pt;margin-top:9.55pt;width:487.2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WF8vQEAAFkDAAAOAAAAZHJzL2Uyb0RvYy54bWysU8Fu2zAMvQ/YPwi6L46DNu2MOD2k6y7d&#10;FqDdBzCybAuVRYFUYufvJ6lJWmy3oT4IlEg+Pj7Sq7tpsOKgiQ26WpazuRTaKWyM62r5+/nhy60U&#10;HMA1YNHpWh41y7v150+r0Vd6gT3aRpOIII6r0deyD8FXRcGq1wPwDL120dkiDRDilbqiIRgj+mCL&#10;xXy+LEakxhMqzRxf71+dcp3x21ar8KttWQdhaxm5hXxSPnfpLNYrqDoC3xt1ogH/wWIA42LRC9Q9&#10;BBB7Mv9ADUYRMrZhpnAosG2N0rmH2E05/6ubpx68zr1EcdhfZOKPg1U/Dxu3pURdTe7JP6J6YeFw&#10;04PrdCbwfPRxcGWSqhg9V5eUdGG/JbEbf2ATY2AfMKswtTQkyNifmLLYx4vYegpCxcdleXtzdRVn&#10;oqLvZrnIsyigOud64vBd4yCSUUsOBKbrwwadi1NFKnMlODxySMygOiekwg4fjLV5uNaJsZZfrxfX&#10;OYHRmiY5UxhTt9tYEgdI65G/3Gb0vA8j3Lsmg/Uamm8nO4Cxr3Ysbt1JnSRI2j6udtgct3RWLc4v&#10;szztWlqQ9/ec/fZHrP8AAAD//wMAUEsDBBQABgAIAAAAIQA1h+0Z3AAAAAcBAAAPAAAAZHJzL2Rv&#10;d25yZXYueG1sTI7NTsMwEITvSLyDtUhcUGsnVaEJcaoKiQNH2kpc3XibBOJ1FDtN6NOznOA4P5r5&#10;iu3sOnHBIbSeNCRLBQKp8ralWsPx8LrYgAjRkDWdJ9TwjQG25e1NYXLrJ3rHyz7Wgkco5EZDE2Of&#10;SxmqBp0JS98jcXb2gzOR5VBLO5iJx10nU6UepTMt8UNjenxpsPraj04DhnGdqF3m6uPbdXr4SK+f&#10;U3/Q+v5u3j2DiDjHvzL84jM6lMx08iPZIDoNi4yLbGcJCI6zp9UaxElDqlYgy0L+5y9/AAAA//8D&#10;AFBLAQItABQABgAIAAAAIQC2gziS/gAAAOEBAAATAAAAAAAAAAAAAAAAAAAAAABbQ29udGVudF9U&#10;eXBlc10ueG1sUEsBAi0AFAAGAAgAAAAhADj9If/WAAAAlAEAAAsAAAAAAAAAAAAAAAAALwEAAF9y&#10;ZWxzLy5yZWxzUEsBAi0AFAAGAAgAAAAhAKyRYXy9AQAAWQMAAA4AAAAAAAAAAAAAAAAALgIAAGRy&#10;cy9lMm9Eb2MueG1sUEsBAi0AFAAGAAgAAAAhADWH7RncAAAABwEAAA8AAAAAAAAAAAAAAAAAFwQA&#10;AGRycy9kb3ducmV2LnhtbFBLBQYAAAAABAAEAPMAAAAgBQAAAAA=&#10;"/>
            </w:pict>
          </mc:Fallback>
        </mc:AlternateContent>
      </w:r>
      <w:r w:rsidRPr="000A59EB">
        <w:rPr>
          <w:sz w:val="18"/>
        </w:rPr>
        <w:t xml:space="preserve">Duomenys kaupiami ir saugomi Juridinių asmenų registre, kodas 179761936 </w:t>
      </w:r>
    </w:p>
    <w:p w14:paraId="6FA1603A" w14:textId="77777777" w:rsidR="001B6427" w:rsidRDefault="001B6427" w:rsidP="001B6427">
      <w:pPr>
        <w:jc w:val="both"/>
      </w:pPr>
    </w:p>
    <w:p w14:paraId="145CF5F9" w14:textId="2D57C1B6" w:rsidR="001B6427" w:rsidRDefault="001B6427" w:rsidP="001B6427">
      <w:pPr>
        <w:jc w:val="both"/>
      </w:pPr>
      <w:r>
        <w:t>Tiekėjams dėl gauto prašymo paaiškinti techninės specifikacijos reikalavimus.</w:t>
      </w:r>
    </w:p>
    <w:p w14:paraId="6E64A690" w14:textId="0C4D8F5A" w:rsidR="001B6427" w:rsidRDefault="001B6427" w:rsidP="001B6427">
      <w:pPr>
        <w:jc w:val="both"/>
      </w:pPr>
      <w:r>
        <w:t>2025-02-11 d. gautas prašymas paaiškinti techninės specifikacijos reikalavimus. Viešojo pirkimo komisija pateikia atsakymus.</w:t>
      </w:r>
    </w:p>
    <w:p w14:paraId="6E64F1E3" w14:textId="77777777" w:rsidR="001B6427" w:rsidRDefault="001B6427" w:rsidP="001B6427">
      <w:pPr>
        <w:jc w:val="both"/>
      </w:pPr>
    </w:p>
    <w:p w14:paraId="28E45B7F" w14:textId="2B8A01D4" w:rsidR="001B6427" w:rsidRPr="001B6427" w:rsidRDefault="001B6427" w:rsidP="001B6427">
      <w:pPr>
        <w:numPr>
          <w:ilvl w:val="0"/>
          <w:numId w:val="1"/>
        </w:numPr>
        <w:jc w:val="both"/>
        <w:rPr>
          <w:rFonts w:cs="Times New Roman"/>
        </w:rPr>
      </w:pPr>
      <w:r>
        <w:rPr>
          <w:rFonts w:cs="Times New Roman"/>
        </w:rPr>
        <w:t>Klausimas „</w:t>
      </w:r>
      <w:r w:rsidRPr="009F469E">
        <w:rPr>
          <w:lang w:bidi="ug-CN"/>
        </w:rPr>
        <w:t>Laboratorijai įsigijus naują analizatorių, siekiant sklandžiai įvykdyti naujo prietaiso integraciją į LIS, reikalinga atlikti ne tik 1.2.13.7. punkte išvardintus darbus, tačiau reikia įsigyti ir analizatoriaus integracijai reikalingą tvarkyklę. Kadangi techninės specifikacijos reikalavime ši tvarkyklė nėra minima, prašome patikslinti, kas turėtų padengti tvarkyklės įsigijimo kaštus: ligoninė, analizatorių tiekėjas ar LIS administratorius?</w:t>
      </w:r>
    </w:p>
    <w:p w14:paraId="6465E8EB" w14:textId="77777777" w:rsidR="001B6427" w:rsidRPr="001B6427" w:rsidRDefault="001B6427" w:rsidP="001B6427">
      <w:pPr>
        <w:pStyle w:val="Sraopastraipa"/>
        <w:jc w:val="both"/>
        <w:rPr>
          <w:rFonts w:cs="Times New Roman"/>
        </w:rPr>
      </w:pPr>
      <w:r w:rsidRPr="001B6427">
        <w:rPr>
          <w:rFonts w:cs="Times New Roman"/>
        </w:rPr>
        <w:t xml:space="preserve">ATSAKYMAS: </w:t>
      </w:r>
    </w:p>
    <w:p w14:paraId="683D0FE5" w14:textId="78100F20" w:rsidR="001B6427" w:rsidRPr="00B112A5" w:rsidRDefault="001B6427" w:rsidP="001B6427">
      <w:pPr>
        <w:ind w:left="720"/>
        <w:jc w:val="both"/>
        <w:rPr>
          <w:rFonts w:cs="Times New Roman"/>
        </w:rPr>
      </w:pPr>
      <w:r>
        <w:t xml:space="preserve">Dėl pateikto klausimo, </w:t>
      </w:r>
      <w:r w:rsidRPr="009F469E">
        <w:rPr>
          <w:lang w:bidi="ug-CN"/>
        </w:rPr>
        <w:t>kas turėtų padengti tvarkyklės įsigijimo kaštus: ligoninė, analizatorių tiekėjas ar LIS administratorius?</w:t>
      </w:r>
    </w:p>
    <w:p w14:paraId="18F54650" w14:textId="10F4ACFD" w:rsidR="001B6427" w:rsidRPr="00C82381" w:rsidRDefault="001B6427" w:rsidP="001B6427">
      <w:pPr>
        <w:ind w:left="720"/>
        <w:jc w:val="both"/>
        <w:rPr>
          <w:i/>
          <w:iCs/>
          <w:lang w:bidi="ug-CN"/>
        </w:rPr>
      </w:pPr>
      <w:r>
        <w:rPr>
          <w:rFonts w:cs="Times New Roman"/>
          <w:i/>
          <w:iCs/>
        </w:rPr>
        <w:t>Jei analizatoriai bus perkami per planuojamos sudaryti sutarties laikotarpį,</w:t>
      </w:r>
      <w:r w:rsidRPr="00C82381">
        <w:rPr>
          <w:rFonts w:cs="Times New Roman"/>
          <w:i/>
          <w:iCs/>
        </w:rPr>
        <w:t xml:space="preserve"> pirkimo dokumentuose bus įvardijamas VšĮ Tauragės ligoninė</w:t>
      </w:r>
      <w:r>
        <w:rPr>
          <w:rFonts w:cs="Times New Roman"/>
          <w:i/>
          <w:iCs/>
        </w:rPr>
        <w:t>s</w:t>
      </w:r>
      <w:r w:rsidRPr="00C82381">
        <w:rPr>
          <w:rFonts w:cs="Times New Roman"/>
          <w:i/>
          <w:iCs/>
        </w:rPr>
        <w:t xml:space="preserve"> LIS paslaugos teikėjas, taip pat </w:t>
      </w:r>
      <w:r>
        <w:rPr>
          <w:rFonts w:cs="Times New Roman"/>
          <w:i/>
          <w:iCs/>
        </w:rPr>
        <w:t xml:space="preserve">bus nustatoma </w:t>
      </w:r>
      <w:r w:rsidRPr="00C82381">
        <w:rPr>
          <w:rFonts w:cs="Times New Roman"/>
          <w:i/>
          <w:iCs/>
        </w:rPr>
        <w:t xml:space="preserve">prievolė analizatoriaus tiekėjui į analizatoriaus kaštus įskaičiuoti </w:t>
      </w:r>
      <w:r w:rsidRPr="00C82381">
        <w:rPr>
          <w:i/>
          <w:iCs/>
          <w:lang w:bidi="ug-CN"/>
        </w:rPr>
        <w:t xml:space="preserve">tvarkyklės įsigijimo kaštus. </w:t>
      </w:r>
    </w:p>
    <w:p w14:paraId="14972F8D" w14:textId="77777777" w:rsidR="001B6427" w:rsidRDefault="001B6427" w:rsidP="001B6427">
      <w:pPr>
        <w:ind w:left="720"/>
        <w:jc w:val="both"/>
        <w:rPr>
          <w:rFonts w:cs="Times New Roman"/>
        </w:rPr>
      </w:pPr>
    </w:p>
    <w:p w14:paraId="4EFEDF26" w14:textId="21C67AFD" w:rsidR="001B6427" w:rsidRDefault="001B6427" w:rsidP="001B6427">
      <w:pPr>
        <w:pStyle w:val="Default"/>
        <w:numPr>
          <w:ilvl w:val="0"/>
          <w:numId w:val="1"/>
        </w:numPr>
        <w:rPr>
          <w:sz w:val="23"/>
          <w:szCs w:val="23"/>
        </w:rPr>
      </w:pPr>
      <w:r>
        <w:t xml:space="preserve">Klausimas </w:t>
      </w:r>
      <w:r>
        <w:rPr>
          <w:b/>
          <w:bCs/>
          <w:sz w:val="23"/>
          <w:szCs w:val="23"/>
        </w:rPr>
        <w:t xml:space="preserve">Pirkimo dokumentų techninės specifikacijos apraše, skyriuje 1.2.4. Laboratorinių tyrimų mėginių judėjimo valdymas, punktuose 1.2.4.1.4, 1.2.4.1.5 paminėta: </w:t>
      </w:r>
    </w:p>
    <w:p w14:paraId="22C39C35" w14:textId="77777777" w:rsidR="001B6427" w:rsidRDefault="001B6427" w:rsidP="001B6427">
      <w:pPr>
        <w:pStyle w:val="Default"/>
        <w:rPr>
          <w:sz w:val="23"/>
          <w:szCs w:val="23"/>
        </w:rPr>
      </w:pPr>
      <w:r>
        <w:rPr>
          <w:sz w:val="23"/>
          <w:szCs w:val="23"/>
        </w:rPr>
        <w:t xml:space="preserve">„ … analizatoriaus maskavimo būseną“, </w:t>
      </w:r>
    </w:p>
    <w:p w14:paraId="5263607D" w14:textId="77777777" w:rsidR="000E15AE" w:rsidRDefault="001B6427" w:rsidP="000E15AE">
      <w:pPr>
        <w:pStyle w:val="Default"/>
        <w:rPr>
          <w:sz w:val="23"/>
          <w:szCs w:val="23"/>
        </w:rPr>
      </w:pPr>
      <w:r>
        <w:rPr>
          <w:sz w:val="23"/>
          <w:szCs w:val="23"/>
        </w:rPr>
        <w:t>„ … tyrimo maskavimo būseną“</w:t>
      </w:r>
      <w:r w:rsidR="000E15AE">
        <w:rPr>
          <w:sz w:val="23"/>
          <w:szCs w:val="23"/>
        </w:rPr>
        <w:t xml:space="preserve">. Norint išvengti neteisingos šių punktų interpretacijos, prašome paaiškinti maskavimo būsenų sąvoką. </w:t>
      </w:r>
    </w:p>
    <w:p w14:paraId="454C6A35" w14:textId="49797AF2" w:rsidR="001B6427" w:rsidRDefault="001B6427" w:rsidP="001B6427">
      <w:pPr>
        <w:pStyle w:val="Default"/>
        <w:rPr>
          <w:sz w:val="23"/>
          <w:szCs w:val="23"/>
        </w:rPr>
      </w:pPr>
    </w:p>
    <w:p w14:paraId="5A918530" w14:textId="77777777" w:rsidR="000E15AE" w:rsidRDefault="000E15AE" w:rsidP="000E15AE">
      <w:pPr>
        <w:ind w:left="720"/>
        <w:jc w:val="both"/>
        <w:rPr>
          <w:rFonts w:cs="Times New Roman"/>
        </w:rPr>
      </w:pPr>
      <w:r>
        <w:rPr>
          <w:rFonts w:cs="Times New Roman"/>
        </w:rPr>
        <w:t xml:space="preserve">ATSAKYMAS: </w:t>
      </w:r>
    </w:p>
    <w:p w14:paraId="0707E874" w14:textId="6A54A946" w:rsidR="001B6427" w:rsidRPr="00CC59C4" w:rsidRDefault="001B6427" w:rsidP="000E15AE">
      <w:pPr>
        <w:ind w:left="720"/>
        <w:jc w:val="both"/>
      </w:pPr>
      <w:r>
        <w:rPr>
          <w:rFonts w:cs="Times New Roman"/>
        </w:rPr>
        <w:t xml:space="preserve">Dėl </w:t>
      </w:r>
      <w:r>
        <w:t xml:space="preserve">pateikto prašymo </w:t>
      </w:r>
      <w:r>
        <w:rPr>
          <w:sz w:val="23"/>
          <w:szCs w:val="23"/>
        </w:rPr>
        <w:t>paaiškinti maskavimo būsenų sąvoką</w:t>
      </w:r>
      <w:r>
        <w:rPr>
          <w:b/>
          <w:bCs/>
          <w:i/>
          <w:iCs/>
          <w:sz w:val="23"/>
          <w:szCs w:val="23"/>
        </w:rPr>
        <w:t>.</w:t>
      </w:r>
    </w:p>
    <w:p w14:paraId="5D65C252" w14:textId="77777777" w:rsidR="001B6427" w:rsidRPr="00C82381" w:rsidRDefault="001B6427" w:rsidP="001B6427">
      <w:pPr>
        <w:ind w:left="720"/>
        <w:jc w:val="both"/>
        <w:rPr>
          <w:rFonts w:cs="Times New Roman"/>
          <w:i/>
          <w:iCs/>
        </w:rPr>
      </w:pPr>
      <w:r w:rsidRPr="00C82381">
        <w:rPr>
          <w:rFonts w:cs="Times New Roman"/>
          <w:i/>
          <w:iCs/>
        </w:rPr>
        <w:t xml:space="preserve">Trumpai paaiškiname, kad „maskavimo būsena“ </w:t>
      </w:r>
      <w:r>
        <w:rPr>
          <w:rFonts w:cs="Times New Roman"/>
          <w:i/>
          <w:iCs/>
        </w:rPr>
        <w:t>suprantama kaip</w:t>
      </w:r>
      <w:r w:rsidRPr="00C82381">
        <w:rPr>
          <w:rFonts w:cs="Times New Roman"/>
          <w:i/>
          <w:iCs/>
        </w:rPr>
        <w:t xml:space="preserve"> galimybė, esant neatitiktims, neatlikti tyrimo arba nenaudoti analizatoriaus.</w:t>
      </w:r>
    </w:p>
    <w:p w14:paraId="23DCBC20" w14:textId="77777777" w:rsidR="001B6427" w:rsidRDefault="001B6427" w:rsidP="001B6427">
      <w:pPr>
        <w:ind w:left="720"/>
        <w:jc w:val="both"/>
        <w:rPr>
          <w:rFonts w:cs="Times New Roman"/>
        </w:rPr>
      </w:pPr>
    </w:p>
    <w:p w14:paraId="646682EC" w14:textId="78BD7D01" w:rsidR="000E15AE" w:rsidRDefault="000E15AE" w:rsidP="000E15AE">
      <w:pPr>
        <w:pStyle w:val="Default"/>
        <w:numPr>
          <w:ilvl w:val="0"/>
          <w:numId w:val="1"/>
        </w:numPr>
        <w:rPr>
          <w:sz w:val="23"/>
          <w:szCs w:val="23"/>
        </w:rPr>
      </w:pPr>
      <w:r>
        <w:t xml:space="preserve">Klausimas  </w:t>
      </w:r>
      <w:r>
        <w:rPr>
          <w:b/>
          <w:bCs/>
          <w:sz w:val="23"/>
          <w:szCs w:val="23"/>
        </w:rPr>
        <w:t xml:space="preserve">Pirkimo dokumentų techninės specifikacijos apraše, skyriuje 1.2.4. Laboratorinių tyrimų mėginių judėjimo valdymas, punkte 1.2.4.2.2 paminėta: </w:t>
      </w:r>
    </w:p>
    <w:p w14:paraId="4BB99191" w14:textId="77777777" w:rsidR="000E15AE" w:rsidRDefault="000E15AE" w:rsidP="000E15AE">
      <w:pPr>
        <w:pStyle w:val="Default"/>
        <w:rPr>
          <w:sz w:val="23"/>
          <w:szCs w:val="23"/>
        </w:rPr>
      </w:pPr>
      <w:r>
        <w:rPr>
          <w:sz w:val="23"/>
          <w:szCs w:val="23"/>
        </w:rPr>
        <w:t xml:space="preserve">„rankiniams tyrimams ir virtualiems taikiniams“ </w:t>
      </w:r>
    </w:p>
    <w:p w14:paraId="29124EDB" w14:textId="77777777" w:rsidR="000E15AE" w:rsidRDefault="000E15AE" w:rsidP="000E15AE">
      <w:pPr>
        <w:pStyle w:val="Default"/>
        <w:rPr>
          <w:sz w:val="23"/>
          <w:szCs w:val="23"/>
        </w:rPr>
      </w:pPr>
      <w:r>
        <w:rPr>
          <w:sz w:val="23"/>
          <w:szCs w:val="23"/>
        </w:rPr>
        <w:t xml:space="preserve">Norint išvengti neteisingos šių punktų interpretacijos, prašome paaiškinti virtualių taikinių sąvoką. </w:t>
      </w:r>
    </w:p>
    <w:p w14:paraId="1255FC10" w14:textId="77777777" w:rsidR="000E15AE" w:rsidRDefault="000E15AE" w:rsidP="000E15AE">
      <w:pPr>
        <w:ind w:left="720"/>
        <w:jc w:val="both"/>
        <w:rPr>
          <w:rFonts w:cs="Times New Roman"/>
        </w:rPr>
      </w:pPr>
      <w:r>
        <w:rPr>
          <w:rFonts w:cs="Times New Roman"/>
        </w:rPr>
        <w:t xml:space="preserve">ATSAKYMAS: </w:t>
      </w:r>
    </w:p>
    <w:p w14:paraId="6629E686" w14:textId="18717831" w:rsidR="001B6427" w:rsidRDefault="001B6427" w:rsidP="000E15AE">
      <w:pPr>
        <w:pStyle w:val="Default"/>
        <w:ind w:left="720"/>
      </w:pPr>
      <w:r>
        <w:t xml:space="preserve">Dėl pateikto prašymo </w:t>
      </w:r>
      <w:r>
        <w:rPr>
          <w:sz w:val="23"/>
          <w:szCs w:val="23"/>
        </w:rPr>
        <w:t>paaiškinti virtualių taikinių sąvoką</w:t>
      </w:r>
      <w:r>
        <w:t>.</w:t>
      </w:r>
    </w:p>
    <w:p w14:paraId="1AA89A46" w14:textId="77777777" w:rsidR="001B6427" w:rsidRPr="00C82381" w:rsidRDefault="001B6427" w:rsidP="001B6427">
      <w:pPr>
        <w:ind w:left="720"/>
        <w:jc w:val="both"/>
        <w:rPr>
          <w:rFonts w:cs="Times New Roman"/>
          <w:i/>
          <w:iCs/>
        </w:rPr>
      </w:pPr>
      <w:r w:rsidRPr="00C82381">
        <w:rPr>
          <w:rFonts w:cs="Times New Roman"/>
          <w:i/>
          <w:iCs/>
        </w:rPr>
        <w:t>Trumpai paaiškiname, kad „</w:t>
      </w:r>
      <w:r w:rsidRPr="00C82381">
        <w:rPr>
          <w:i/>
          <w:iCs/>
          <w:sz w:val="23"/>
          <w:szCs w:val="23"/>
        </w:rPr>
        <w:t>virtualių taikinių sąvoka</w:t>
      </w:r>
      <w:r w:rsidRPr="00C82381">
        <w:rPr>
          <w:rFonts w:cs="Times New Roman"/>
          <w:i/>
          <w:iCs/>
        </w:rPr>
        <w:t xml:space="preserve">“ </w:t>
      </w:r>
      <w:r>
        <w:rPr>
          <w:rFonts w:cs="Times New Roman"/>
          <w:i/>
          <w:iCs/>
        </w:rPr>
        <w:t>suprantama kaip</w:t>
      </w:r>
      <w:r w:rsidRPr="00C82381">
        <w:rPr>
          <w:rFonts w:cs="Times New Roman"/>
          <w:i/>
          <w:iCs/>
        </w:rPr>
        <w:t xml:space="preserve"> </w:t>
      </w:r>
      <w:r>
        <w:rPr>
          <w:rFonts w:cs="Times New Roman"/>
          <w:i/>
          <w:iCs/>
        </w:rPr>
        <w:t>galimybė pasiruošti sekančiam žingsniui</w:t>
      </w:r>
      <w:r w:rsidRPr="00C82381">
        <w:rPr>
          <w:rFonts w:cs="Times New Roman"/>
          <w:i/>
          <w:iCs/>
        </w:rPr>
        <w:t>.</w:t>
      </w:r>
    </w:p>
    <w:p w14:paraId="51332D65" w14:textId="77777777" w:rsidR="001B6427" w:rsidRPr="00C82381" w:rsidRDefault="001B6427" w:rsidP="001B6427">
      <w:pPr>
        <w:ind w:left="720"/>
        <w:jc w:val="both"/>
        <w:rPr>
          <w:rFonts w:cs="Times New Roman"/>
          <w:i/>
          <w:iCs/>
        </w:rPr>
      </w:pPr>
    </w:p>
    <w:p w14:paraId="2377484B" w14:textId="1A40EB23" w:rsidR="000E15AE" w:rsidRDefault="000E15AE" w:rsidP="000E15AE">
      <w:pPr>
        <w:pStyle w:val="Default"/>
        <w:numPr>
          <w:ilvl w:val="0"/>
          <w:numId w:val="1"/>
        </w:numPr>
        <w:rPr>
          <w:sz w:val="23"/>
          <w:szCs w:val="23"/>
        </w:rPr>
      </w:pPr>
      <w:r>
        <w:t xml:space="preserve">Klausimas </w:t>
      </w:r>
      <w:r>
        <w:rPr>
          <w:b/>
          <w:bCs/>
          <w:sz w:val="23"/>
          <w:szCs w:val="23"/>
        </w:rPr>
        <w:t xml:space="preserve">Pirkimo dokumentų techninės specifikacijos apraše, skyriuje 1.2.4. Laboratorinių tyrimų mėginių judėjimo valdymas, punkte 1.2.4.5. nurodyta: </w:t>
      </w:r>
    </w:p>
    <w:p w14:paraId="321D2E9A" w14:textId="77777777" w:rsidR="000E15AE" w:rsidRDefault="000E15AE" w:rsidP="000E15AE">
      <w:pPr>
        <w:pStyle w:val="Default"/>
        <w:rPr>
          <w:sz w:val="23"/>
          <w:szCs w:val="23"/>
        </w:rPr>
      </w:pPr>
      <w:r>
        <w:rPr>
          <w:sz w:val="23"/>
          <w:szCs w:val="23"/>
        </w:rPr>
        <w:t xml:space="preserve">„Sistema turi turėti galimybę maskuoti tyrimus ir analizatorius automatiniu ir rankiniu būdu, kad būtų išvengta tyrimų atlikimo ir (arba) išrūšiavimo konkretiems analizatoriams.“ </w:t>
      </w:r>
    </w:p>
    <w:p w14:paraId="24919D1E" w14:textId="77777777" w:rsidR="000E15AE" w:rsidRDefault="000E15AE" w:rsidP="000E15AE">
      <w:pPr>
        <w:pStyle w:val="Default"/>
        <w:jc w:val="both"/>
        <w:rPr>
          <w:color w:val="auto"/>
        </w:rPr>
      </w:pPr>
      <w:r>
        <w:rPr>
          <w:sz w:val="23"/>
          <w:szCs w:val="23"/>
        </w:rPr>
        <w:lastRenderedPageBreak/>
        <w:t>Prašome plačiau paaiškinti, kodėl laboratorijos darbo rutina reikalauja LIS funkcijos išvengti tyrimų atlikimo su konkrečiais analizatoriais, prašome nurodyti ar teisingai suprantame šį punktą, kad, pavyzdžiui, sistemoje turėtų būti funkcija, kuri papildomai neleistų sistemos vartotojui atlikti bendro kraujo tyrimo, naudojant kraujo mėginį, su, tarkim, šlapimo analizatoriumi?</w:t>
      </w:r>
    </w:p>
    <w:p w14:paraId="521BA583" w14:textId="77777777" w:rsidR="000E15AE" w:rsidRDefault="000E15AE" w:rsidP="000E15AE">
      <w:pPr>
        <w:ind w:left="720"/>
        <w:jc w:val="both"/>
        <w:rPr>
          <w:rFonts w:cs="Times New Roman"/>
        </w:rPr>
      </w:pPr>
      <w:r>
        <w:rPr>
          <w:rFonts w:cs="Times New Roman"/>
        </w:rPr>
        <w:t xml:space="preserve">ATSAKYMAS: </w:t>
      </w:r>
    </w:p>
    <w:p w14:paraId="33615DD9" w14:textId="6E8F8453" w:rsidR="001B6427" w:rsidRDefault="001B6427" w:rsidP="000E15AE">
      <w:pPr>
        <w:ind w:left="720"/>
        <w:jc w:val="both"/>
        <w:rPr>
          <w:rFonts w:cs="Times New Roman"/>
        </w:rPr>
      </w:pPr>
      <w:r>
        <w:rPr>
          <w:rFonts w:cs="Times New Roman"/>
        </w:rPr>
        <w:t xml:space="preserve">Dėl </w:t>
      </w:r>
      <w:r>
        <w:t>pateikto prašymo, kad s</w:t>
      </w:r>
      <w:r>
        <w:rPr>
          <w:sz w:val="23"/>
          <w:szCs w:val="23"/>
        </w:rPr>
        <w:t>istema turi turėti galimybę maskuoti tyrimus ir analizatorius automatiniu ir rankiniu būdu, kad būtų išvengta tyrimų atlikimo ir (arba) išrūšiavimo konkretiems analizatoriams bei paaiškinimo, kodėl laboratorijos darbo rutina reikalauja LIS funkcijos išvengti tyrimų atlikimo su konkrečiais analizatoriais, prašome nurodyti ar teisingai suprantame šį punktą, kad, pavyzdžiui, sistemoje turėtų būti funkcija, kuri papildomai neleistų sistemos vartotojui atlikti bendro kraujo tyrimo, naudojant kraujo mėginį, su, tarkim, šlapimo analizatoriumi</w:t>
      </w:r>
      <w:r>
        <w:rPr>
          <w:rFonts w:cs="Times New Roman"/>
        </w:rPr>
        <w:t>.</w:t>
      </w:r>
    </w:p>
    <w:p w14:paraId="52660685" w14:textId="2D8DDE31" w:rsidR="001B6427" w:rsidRPr="00E92845" w:rsidRDefault="001B6427" w:rsidP="001B6427">
      <w:pPr>
        <w:ind w:left="720"/>
        <w:jc w:val="both"/>
        <w:rPr>
          <w:rFonts w:cs="Times New Roman"/>
        </w:rPr>
      </w:pPr>
      <w:r>
        <w:rPr>
          <w:rFonts w:cs="Times New Roman"/>
          <w:i/>
          <w:iCs/>
        </w:rPr>
        <w:t>Dėl maskavimo funkcijos buvo paaiškinta, kad tai yra sistemos galimybė esant neatitiktims neatlikti tyrimo arba nenaudoti analizatoriaus. Tai nėra</w:t>
      </w:r>
      <w:r w:rsidR="000E15AE">
        <w:rPr>
          <w:rFonts w:cs="Times New Roman"/>
          <w:i/>
          <w:iCs/>
        </w:rPr>
        <w:t xml:space="preserve"> ta </w:t>
      </w:r>
      <w:r>
        <w:rPr>
          <w:rFonts w:cs="Times New Roman"/>
          <w:i/>
          <w:iCs/>
        </w:rPr>
        <w:t>funkcija, kuri aprašoma pavyzdyje.</w:t>
      </w:r>
    </w:p>
    <w:p w14:paraId="49AC2229" w14:textId="233C34F1" w:rsidR="00470A1A" w:rsidRDefault="00007E1E">
      <w:r>
        <w:t>Dėl terminų – atsakyta paklausimo gavimo dieną, iki pasiūlymų teikimo termino 2025-02-14 d. 9.00 val. likus daugiau kaip dviem dienoms, todėl  likus todėl terminas nenukeliamas.</w:t>
      </w:r>
    </w:p>
    <w:p w14:paraId="73A802B0" w14:textId="77777777" w:rsidR="00AF1466" w:rsidRDefault="00AF1466"/>
    <w:p w14:paraId="22A29B44" w14:textId="67616B03" w:rsidR="00AF1466" w:rsidRDefault="00AF1466">
      <w:r>
        <w:t>Viešojo pirkimo komisijos sprendimas, kurį viešina sekretorė Regina Gudjonienė</w:t>
      </w:r>
    </w:p>
    <w:sectPr w:rsidR="00AF1466" w:rsidSect="00EC634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D1479"/>
    <w:multiLevelType w:val="hybridMultilevel"/>
    <w:tmpl w:val="CA281A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37283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427"/>
    <w:rsid w:val="00007E1E"/>
    <w:rsid w:val="000E15AE"/>
    <w:rsid w:val="001B6427"/>
    <w:rsid w:val="00386610"/>
    <w:rsid w:val="003E4BB2"/>
    <w:rsid w:val="00470A1A"/>
    <w:rsid w:val="004F4EEC"/>
    <w:rsid w:val="0072016A"/>
    <w:rsid w:val="00A30124"/>
    <w:rsid w:val="00AF1466"/>
    <w:rsid w:val="00B93582"/>
    <w:rsid w:val="00EC6340"/>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6422D"/>
  <w15:chartTrackingRefBased/>
  <w15:docId w15:val="{D1CB5F6B-90F1-4094-85B4-E111B42F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lt-LT" w:bidi="lt-LT"/>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6427"/>
    <w:pPr>
      <w:widowControl w:val="0"/>
      <w:suppressAutoHyphens/>
      <w:spacing w:after="0" w:line="240" w:lineRule="auto"/>
    </w:pPr>
    <w:rPr>
      <w:rFonts w:ascii="Times New Roman" w:eastAsia="SimSun" w:hAnsi="Times New Roman" w:cs="Arial"/>
      <w:kern w:val="1"/>
      <w:sz w:val="24"/>
      <w:szCs w:val="24"/>
      <w:lang w:eastAsia="hi-IN" w:bidi="hi-IN"/>
      <w14:ligatures w14:val="none"/>
    </w:rPr>
  </w:style>
  <w:style w:type="paragraph" w:styleId="Antrat1">
    <w:name w:val="heading 1"/>
    <w:basedOn w:val="prastasis"/>
    <w:next w:val="prastasis"/>
    <w:link w:val="Antrat1Diagrama"/>
    <w:uiPriority w:val="9"/>
    <w:qFormat/>
    <w:rsid w:val="001B64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B64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B642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B642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B642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B642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B642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B642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B642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B642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B642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B642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B642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B642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B642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B642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B642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B642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B642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B642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B642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B642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B642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B6427"/>
    <w:rPr>
      <w:i/>
      <w:iCs/>
      <w:color w:val="404040" w:themeColor="text1" w:themeTint="BF"/>
    </w:rPr>
  </w:style>
  <w:style w:type="paragraph" w:styleId="Sraopastraipa">
    <w:name w:val="List Paragraph"/>
    <w:basedOn w:val="prastasis"/>
    <w:uiPriority w:val="34"/>
    <w:qFormat/>
    <w:rsid w:val="001B6427"/>
    <w:pPr>
      <w:ind w:left="720"/>
      <w:contextualSpacing/>
    </w:pPr>
  </w:style>
  <w:style w:type="character" w:styleId="Rykuspabraukimas">
    <w:name w:val="Intense Emphasis"/>
    <w:basedOn w:val="Numatytasispastraiposriftas"/>
    <w:uiPriority w:val="21"/>
    <w:qFormat/>
    <w:rsid w:val="001B6427"/>
    <w:rPr>
      <w:i/>
      <w:iCs/>
      <w:color w:val="2F5496" w:themeColor="accent1" w:themeShade="BF"/>
    </w:rPr>
  </w:style>
  <w:style w:type="paragraph" w:styleId="Iskirtacitata">
    <w:name w:val="Intense Quote"/>
    <w:basedOn w:val="prastasis"/>
    <w:next w:val="prastasis"/>
    <w:link w:val="IskirtacitataDiagrama"/>
    <w:uiPriority w:val="30"/>
    <w:qFormat/>
    <w:rsid w:val="001B64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B6427"/>
    <w:rPr>
      <w:i/>
      <w:iCs/>
      <w:color w:val="2F5496" w:themeColor="accent1" w:themeShade="BF"/>
    </w:rPr>
  </w:style>
  <w:style w:type="character" w:styleId="Rykinuoroda">
    <w:name w:val="Intense Reference"/>
    <w:basedOn w:val="Numatytasispastraiposriftas"/>
    <w:uiPriority w:val="32"/>
    <w:qFormat/>
    <w:rsid w:val="001B6427"/>
    <w:rPr>
      <w:b/>
      <w:bCs/>
      <w:smallCaps/>
      <w:color w:val="2F5496" w:themeColor="accent1" w:themeShade="BF"/>
      <w:spacing w:val="5"/>
    </w:rPr>
  </w:style>
  <w:style w:type="paragraph" w:customStyle="1" w:styleId="Default">
    <w:name w:val="Default"/>
    <w:rsid w:val="001B6427"/>
    <w:pPr>
      <w:autoSpaceDE w:val="0"/>
      <w:autoSpaceDN w:val="0"/>
      <w:adjustRightInd w:val="0"/>
      <w:spacing w:after="0" w:line="240" w:lineRule="auto"/>
    </w:pPr>
    <w:rPr>
      <w:rFonts w:ascii="Times New Roman" w:eastAsia="Times New Roman" w:hAnsi="Times New Roman" w:cs="Times New Roman"/>
      <w:color w:val="000000"/>
      <w:kern w:val="0"/>
      <w:sz w:val="24"/>
      <w:szCs w:val="24"/>
      <w:lang w:bidi="ug-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2609</Words>
  <Characters>1488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Regina</cp:lastModifiedBy>
  <cp:revision>3</cp:revision>
  <dcterms:created xsi:type="dcterms:W3CDTF">2025-02-11T15:32:00Z</dcterms:created>
  <dcterms:modified xsi:type="dcterms:W3CDTF">2025-02-11T15:55:00Z</dcterms:modified>
</cp:coreProperties>
</file>