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4B73" w14:textId="77777777" w:rsidR="003E378C" w:rsidRPr="00C24FB0" w:rsidRDefault="003E378C" w:rsidP="003E378C">
      <w:pPr>
        <w:jc w:val="right"/>
        <w:rPr>
          <w:rFonts w:cstheme="minorHAnsi"/>
          <w:i/>
          <w:iCs/>
        </w:rPr>
      </w:pPr>
      <w:r w:rsidRPr="00C24FB0">
        <w:rPr>
          <w:rFonts w:cstheme="minorHAnsi"/>
          <w:i/>
          <w:iCs/>
        </w:rPr>
        <w:t>Specialiųjų pirkimo sąlygų 7 priedas</w:t>
      </w:r>
    </w:p>
    <w:p w14:paraId="1BAC21BC" w14:textId="77777777" w:rsidR="003E378C" w:rsidRPr="00F3166C" w:rsidRDefault="003E378C" w:rsidP="003E378C">
      <w:pPr>
        <w:pStyle w:val="Default"/>
        <w:ind w:firstLine="567"/>
        <w:jc w:val="center"/>
        <w:rPr>
          <w:rFonts w:asciiTheme="minorHAnsi" w:hAnsiTheme="minorHAnsi" w:cstheme="minorHAnsi"/>
          <w:bCs/>
          <w:sz w:val="28"/>
          <w:szCs w:val="28"/>
        </w:rPr>
      </w:pPr>
      <w:r>
        <w:rPr>
          <w:rFonts w:asciiTheme="minorHAnsi" w:hAnsiTheme="minorHAnsi" w:cstheme="minorHAnsi"/>
          <w:bCs/>
          <w:sz w:val="28"/>
          <w:szCs w:val="28"/>
        </w:rPr>
        <w:t>PASIŪLYMŲ VERTINIMO KRITERIJAI IR SĄLYGOS</w:t>
      </w:r>
    </w:p>
    <w:p w14:paraId="00A8006C" w14:textId="77777777" w:rsidR="003514DD" w:rsidRDefault="003514DD" w:rsidP="00964CDE">
      <w:pPr>
        <w:ind w:firstLine="851"/>
      </w:pPr>
    </w:p>
    <w:p w14:paraId="3369E232" w14:textId="670713A2" w:rsidR="005F40A6" w:rsidRPr="007A7B14" w:rsidRDefault="005F40A6" w:rsidP="007A7B14">
      <w:pPr>
        <w:tabs>
          <w:tab w:val="left" w:pos="993"/>
        </w:tabs>
        <w:suppressAutoHyphens/>
        <w:spacing w:after="0" w:line="240" w:lineRule="auto"/>
        <w:ind w:firstLine="851"/>
        <w:jc w:val="both"/>
        <w:rPr>
          <w:rFonts w:cstheme="minorHAnsi"/>
          <w:b/>
        </w:rPr>
      </w:pPr>
      <w:r w:rsidRPr="007A7B14">
        <w:rPr>
          <w:rFonts w:eastAsia="Times New Roman" w:cstheme="minorHAnsi"/>
        </w:rPr>
        <w:t xml:space="preserve">Perkančioji organizacija ekonomiškai naudingiausią pasiūlymą išrenka pagal </w:t>
      </w:r>
      <w:r w:rsidRPr="007A7B14">
        <w:rPr>
          <w:rFonts w:eastAsia="Times New Roman" w:cstheme="minorHAnsi"/>
          <w:b/>
          <w:bCs/>
        </w:rPr>
        <w:t xml:space="preserve">kainos ir </w:t>
      </w:r>
      <w:r w:rsidRPr="007A7B14">
        <w:rPr>
          <w:rFonts w:cstheme="minorHAnsi"/>
          <w:b/>
          <w:bCs/>
        </w:rPr>
        <w:t>kokybės</w:t>
      </w:r>
      <w:r w:rsidRPr="007A7B14">
        <w:rPr>
          <w:rFonts w:cstheme="minorHAnsi"/>
          <w:b/>
        </w:rPr>
        <w:t xml:space="preserve"> santykį. </w:t>
      </w:r>
      <w:r w:rsidRPr="007A7B14">
        <w:rPr>
          <w:rFonts w:cstheme="minorHAnsi"/>
        </w:rPr>
        <w:t>Ekonomiškai naudingiausias pasiūlymas įvertinamas balais.</w:t>
      </w:r>
      <w:r w:rsidRPr="007A7B14">
        <w:rPr>
          <w:rFonts w:cstheme="minorHAnsi"/>
          <w:b/>
        </w:rPr>
        <w:t xml:space="preserve"> Laimėjusiu pripažįstamas tas </w:t>
      </w:r>
      <w:r w:rsidR="007A7B14" w:rsidRPr="007A7B14">
        <w:rPr>
          <w:rFonts w:cstheme="minorHAnsi"/>
          <w:b/>
        </w:rPr>
        <w:t>t</w:t>
      </w:r>
      <w:r w:rsidRPr="007A7B14">
        <w:rPr>
          <w:rFonts w:cstheme="minorHAnsi"/>
          <w:b/>
        </w:rPr>
        <w:t>iekėjas, kurio pasiūlymas įvertintas didžiausiu balu.</w:t>
      </w:r>
    </w:p>
    <w:p w14:paraId="00176B57" w14:textId="77777777" w:rsidR="005F40A6" w:rsidRPr="007A7B14" w:rsidRDefault="005F40A6" w:rsidP="007A7B14">
      <w:pPr>
        <w:tabs>
          <w:tab w:val="left" w:pos="993"/>
        </w:tabs>
        <w:spacing w:after="0" w:line="240" w:lineRule="auto"/>
        <w:ind w:firstLine="851"/>
        <w:jc w:val="both"/>
        <w:rPr>
          <w:rFonts w:cstheme="minorHAnsi"/>
        </w:rPr>
      </w:pPr>
      <w:r w:rsidRPr="007A7B14">
        <w:rPr>
          <w:rFonts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D7D8D8C" w14:textId="228570FB" w:rsidR="005F40A6" w:rsidRPr="007A7B14" w:rsidRDefault="005F40A6" w:rsidP="007A7B14">
      <w:pPr>
        <w:tabs>
          <w:tab w:val="left" w:pos="993"/>
        </w:tabs>
        <w:spacing w:after="0" w:line="240" w:lineRule="auto"/>
        <w:ind w:firstLine="851"/>
        <w:jc w:val="both"/>
        <w:rPr>
          <w:rFonts w:cstheme="minorHAnsi"/>
        </w:rPr>
      </w:pPr>
      <w:r w:rsidRPr="007A7B14">
        <w:rPr>
          <w:rFonts w:cstheme="minorHAnsi"/>
        </w:rPr>
        <w:t xml:space="preserve">Perkančioji organizacija nustato fiksuoto įkainio kainodarą. </w:t>
      </w:r>
      <w:r w:rsidRPr="007A7B14">
        <w:rPr>
          <w:rFonts w:cstheme="minorHAnsi"/>
          <w:color w:val="2B2E2F"/>
        </w:rPr>
        <w:t xml:space="preserve">Vadovaujantis Kainodaros taisyklių nustatymo metodikos (toliau – Kainodaros metodika), patvirtintos Viešųjų pirkimų tarnybos direktoriaus 2017 m. birželio 28 d. įsakymu Nr. 1S-95 „Dėl Kainodaros taisyklių nustatymo metodikos patvirtinimo“ 17.2. p. </w:t>
      </w:r>
      <w:r w:rsidRPr="007A7B14">
        <w:rPr>
          <w:rFonts w:cstheme="minorHAnsi"/>
          <w:i/>
          <w:iCs/>
          <w:color w:val="2B2E2F"/>
        </w:rPr>
        <w:t>&lt;...&gt;Pirkimo vykdytojas turi nurodyti preliminarius lyginamuosius prekių ir (ar) paslaugų kiekius ar koeficientus, kurie bus naudojami</w:t>
      </w:r>
      <w:r w:rsidRPr="007A7B14">
        <w:rPr>
          <w:rStyle w:val="Grietas"/>
          <w:rFonts w:cstheme="minorHAnsi"/>
          <w:color w:val="2B2E2F"/>
        </w:rPr>
        <w:t xml:space="preserve"> tik pasiūlymų vertinime </w:t>
      </w:r>
      <w:r w:rsidRPr="007A7B14">
        <w:rPr>
          <w:rFonts w:cstheme="minorHAnsi"/>
          <w:i/>
          <w:iCs/>
          <w:color w:val="2B2E2F"/>
        </w:rPr>
        <w:t>ir nebus laikomi maksimaliais.</w:t>
      </w:r>
    </w:p>
    <w:p w14:paraId="04FE6937" w14:textId="55F7E7D3" w:rsidR="005F40A6" w:rsidRPr="007A7B14" w:rsidRDefault="005F40A6" w:rsidP="007A7B14">
      <w:pPr>
        <w:tabs>
          <w:tab w:val="left" w:pos="851"/>
        </w:tabs>
        <w:spacing w:after="0" w:line="240" w:lineRule="auto"/>
        <w:ind w:firstLine="851"/>
        <w:jc w:val="both"/>
        <w:rPr>
          <w:rFonts w:cstheme="minorHAnsi"/>
          <w:b/>
          <w:bCs/>
        </w:rPr>
      </w:pPr>
      <w:r w:rsidRPr="007A7B14">
        <w:rPr>
          <w:rFonts w:eastAsia="SimSun" w:cstheme="minorHAnsi"/>
          <w:iCs/>
        </w:rPr>
        <w:t xml:space="preserve">Pasiūlymo </w:t>
      </w:r>
      <w:r w:rsidRPr="007A7B14">
        <w:rPr>
          <w:rFonts w:eastAsia="SimSun" w:cstheme="minorHAnsi"/>
          <w:iCs/>
        </w:rPr>
        <w:t xml:space="preserve">bendra </w:t>
      </w:r>
      <w:r w:rsidRPr="007A7B14">
        <w:rPr>
          <w:rFonts w:eastAsia="SimSun" w:cstheme="minorHAnsi"/>
          <w:iCs/>
        </w:rPr>
        <w:t xml:space="preserve">kaina </w:t>
      </w:r>
      <w:r w:rsidRPr="007A7B14">
        <w:rPr>
          <w:rFonts w:eastAsia="SimSun" w:cstheme="minorHAnsi"/>
          <w:iCs/>
        </w:rPr>
        <w:t xml:space="preserve">Eur </w:t>
      </w:r>
      <w:r w:rsidRPr="007A7B14">
        <w:rPr>
          <w:rFonts w:eastAsia="SimSun" w:cstheme="minorHAnsi"/>
          <w:iCs/>
        </w:rPr>
        <w:t xml:space="preserve">su PVM bus laikoma palyginamuoju parametru vertinant pasiūlymus, į sutartį bus įrašoma maksimali pirkimui skirta lėšų suma – </w:t>
      </w:r>
      <w:r w:rsidRPr="007A7B14">
        <w:rPr>
          <w:rFonts w:cstheme="minorHAnsi"/>
          <w:spacing w:val="2"/>
          <w:shd w:val="clear" w:color="auto" w:fill="FFFFFF"/>
        </w:rPr>
        <w:t>48 000</w:t>
      </w:r>
      <w:r w:rsidRPr="007A7B14">
        <w:rPr>
          <w:rFonts w:cstheme="minorHAnsi"/>
          <w:spacing w:val="2"/>
          <w:shd w:val="clear" w:color="auto" w:fill="FFFFFF"/>
        </w:rPr>
        <w:t xml:space="preserve">,00 </w:t>
      </w:r>
      <w:r w:rsidRPr="007A7B14">
        <w:rPr>
          <w:rFonts w:cstheme="minorHAnsi"/>
          <w:spacing w:val="2"/>
          <w:shd w:val="clear" w:color="auto" w:fill="FFFFFF"/>
        </w:rPr>
        <w:t>Eur</w:t>
      </w:r>
      <w:r w:rsidRPr="007A7B14">
        <w:rPr>
          <w:rFonts w:cstheme="minorHAnsi"/>
          <w:spacing w:val="2"/>
          <w:shd w:val="clear" w:color="auto" w:fill="FFFFFF"/>
        </w:rPr>
        <w:t xml:space="preserve"> be PVM (58 080,00 </w:t>
      </w:r>
      <w:r w:rsidRPr="007A7B14">
        <w:rPr>
          <w:rFonts w:cstheme="minorHAnsi"/>
          <w:spacing w:val="2"/>
          <w:shd w:val="clear" w:color="auto" w:fill="FFFFFF"/>
        </w:rPr>
        <w:t>Eur</w:t>
      </w:r>
      <w:r w:rsidRPr="007A7B14">
        <w:rPr>
          <w:rFonts w:cstheme="minorHAnsi"/>
          <w:spacing w:val="2"/>
          <w:shd w:val="clear" w:color="auto" w:fill="FFFFFF"/>
        </w:rPr>
        <w:t xml:space="preserve"> su PVM)</w:t>
      </w:r>
      <w:r w:rsidRPr="007A7B14">
        <w:rPr>
          <w:rFonts w:eastAsia="SimSun" w:cstheme="minorHAnsi"/>
          <w:iCs/>
        </w:rPr>
        <w:t>. Į bendrą pasiūlymo kainą turi būti įskaičiuotos visos su paslaugomis susijusios išlaidos bei įskaityti visi mokesčiai.</w:t>
      </w:r>
      <w:r w:rsidRPr="007A7B14">
        <w:rPr>
          <w:rFonts w:cstheme="minorHAnsi"/>
          <w:spacing w:val="2"/>
          <w:shd w:val="clear" w:color="auto" w:fill="FFFFFF"/>
        </w:rPr>
        <w:t xml:space="preserve"> Nurodytos paslaugos bus perkamos pagal poreikį, neviršijant pirkimo dokumentuose ir sutartyje nustatytos maksimalios sudaromos sutarties vertės.</w:t>
      </w:r>
    </w:p>
    <w:p w14:paraId="398160C3" w14:textId="77777777" w:rsidR="005F40A6" w:rsidRPr="007A7B14" w:rsidRDefault="005F40A6" w:rsidP="007A7B14">
      <w:pPr>
        <w:spacing w:after="0" w:line="240" w:lineRule="auto"/>
        <w:ind w:firstLine="851"/>
        <w:rPr>
          <w:rFonts w:cstheme="minorHAnsi"/>
        </w:rPr>
      </w:pPr>
    </w:p>
    <w:p w14:paraId="4824E5B5" w14:textId="7511734E" w:rsidR="003514DD" w:rsidRPr="007A7B14" w:rsidRDefault="00117835" w:rsidP="007A7B14">
      <w:pPr>
        <w:spacing w:after="0" w:line="240" w:lineRule="auto"/>
        <w:ind w:firstLine="851"/>
        <w:rPr>
          <w:rFonts w:cstheme="minorHAnsi"/>
        </w:rPr>
      </w:pPr>
      <w:r w:rsidRPr="007A7B14">
        <w:rPr>
          <w:rFonts w:cstheme="minorHAnsi"/>
        </w:rPr>
        <w:t>Teikėjų pateikti konkurso sąlygas ir minimalius kvalifikacijos reikalavimus atitinkantys pasiūlymai</w:t>
      </w:r>
      <w:r w:rsidR="003514DD" w:rsidRPr="007A7B14">
        <w:rPr>
          <w:rFonts w:cstheme="minorHAnsi"/>
        </w:rPr>
        <w:t xml:space="preserve"> </w:t>
      </w:r>
      <w:r w:rsidR="0012201B" w:rsidRPr="007A7B14">
        <w:rPr>
          <w:rFonts w:cstheme="minorHAnsi"/>
        </w:rPr>
        <w:t>bus vertinami pagal ekonominio naudingumo (S)</w:t>
      </w:r>
      <w:r w:rsidR="003514DD" w:rsidRPr="007A7B14">
        <w:rPr>
          <w:rFonts w:cstheme="minorHAnsi"/>
        </w:rPr>
        <w:t xml:space="preserve"> kriterijų.</w:t>
      </w:r>
    </w:p>
    <w:p w14:paraId="4A8D2C9E" w14:textId="77777777" w:rsidR="0094655D" w:rsidRPr="007A7B14" w:rsidRDefault="0094655D" w:rsidP="007A7B14">
      <w:pPr>
        <w:spacing w:after="0" w:line="240" w:lineRule="auto"/>
        <w:rPr>
          <w:rFonts w:cstheme="minorHAnsi"/>
        </w:rPr>
      </w:pPr>
      <w:r w:rsidRPr="007A7B14">
        <w:rPr>
          <w:rFonts w:cstheme="minorHAnsi"/>
        </w:rPr>
        <w:t xml:space="preserve">Kriterijais yra kaina ir </w:t>
      </w:r>
      <w:r w:rsidR="004D47B3" w:rsidRPr="007A7B14">
        <w:rPr>
          <w:rFonts w:cstheme="minorHAnsi"/>
        </w:rPr>
        <w:t>leidinio sklaida</w:t>
      </w:r>
      <w:r w:rsidR="0012201B" w:rsidRPr="007A7B14">
        <w:rPr>
          <w:rFonts w:cstheme="minorHAnsi"/>
        </w:rPr>
        <w:t>. Vertinimo kriterijai ir jų parametrų lyginamieji svoriai:</w:t>
      </w:r>
    </w:p>
    <w:p w14:paraId="24F582DD" w14:textId="725D612F" w:rsidR="0094655D" w:rsidRPr="007A7B14" w:rsidRDefault="0094655D" w:rsidP="007A7B14">
      <w:pPr>
        <w:pStyle w:val="Sraopastraipa"/>
        <w:numPr>
          <w:ilvl w:val="0"/>
          <w:numId w:val="2"/>
        </w:numPr>
        <w:spacing w:after="0" w:line="240" w:lineRule="auto"/>
        <w:rPr>
          <w:rFonts w:cstheme="minorHAnsi"/>
        </w:rPr>
      </w:pPr>
      <w:r w:rsidRPr="007A7B14">
        <w:rPr>
          <w:rFonts w:cstheme="minorHAnsi"/>
        </w:rPr>
        <w:t>Kaina – 40 proc.</w:t>
      </w:r>
    </w:p>
    <w:p w14:paraId="79AA2D7A" w14:textId="77777777" w:rsidR="0094655D" w:rsidRPr="007A7B14" w:rsidRDefault="009D24FA" w:rsidP="007A7B14">
      <w:pPr>
        <w:numPr>
          <w:ilvl w:val="0"/>
          <w:numId w:val="2"/>
        </w:numPr>
        <w:spacing w:after="0" w:line="240" w:lineRule="auto"/>
        <w:rPr>
          <w:rFonts w:cstheme="minorHAnsi"/>
        </w:rPr>
      </w:pPr>
      <w:r w:rsidRPr="007A7B14">
        <w:rPr>
          <w:rFonts w:cstheme="minorHAnsi"/>
        </w:rPr>
        <w:t>Leidinio sklaida</w:t>
      </w:r>
      <w:r w:rsidR="0094655D" w:rsidRPr="007A7B14">
        <w:rPr>
          <w:rFonts w:cstheme="minorHAnsi"/>
        </w:rPr>
        <w:t xml:space="preserve"> – 60 proc.:</w:t>
      </w:r>
    </w:p>
    <w:p w14:paraId="109F8F51" w14:textId="47E12D3F" w:rsidR="0094655D" w:rsidRPr="007A7B14" w:rsidRDefault="003E2FEA" w:rsidP="007A7B14">
      <w:pPr>
        <w:pStyle w:val="Sraopastraipa"/>
        <w:numPr>
          <w:ilvl w:val="1"/>
          <w:numId w:val="7"/>
        </w:numPr>
        <w:spacing w:after="0" w:line="240" w:lineRule="auto"/>
        <w:rPr>
          <w:rFonts w:cstheme="minorHAnsi"/>
        </w:rPr>
      </w:pPr>
      <w:r w:rsidRPr="007A7B14">
        <w:rPr>
          <w:rFonts w:cstheme="minorHAnsi"/>
        </w:rPr>
        <w:t xml:space="preserve"> </w:t>
      </w:r>
      <w:r w:rsidR="00E63B9D" w:rsidRPr="007A7B14">
        <w:rPr>
          <w:rFonts w:cstheme="minorHAnsi"/>
        </w:rPr>
        <w:t xml:space="preserve">leidinio tiražas (vienetais) platinamas Mažeikių rajone </w:t>
      </w:r>
      <w:r w:rsidR="0094655D" w:rsidRPr="007A7B14">
        <w:rPr>
          <w:rFonts w:cstheme="minorHAnsi"/>
        </w:rPr>
        <w:t>– 0,3,</w:t>
      </w:r>
    </w:p>
    <w:p w14:paraId="5449E2C7" w14:textId="5D8CF672" w:rsidR="0094655D" w:rsidRPr="007A7B14" w:rsidRDefault="003E2FEA" w:rsidP="007A7B14">
      <w:pPr>
        <w:pStyle w:val="Sraopastraipa"/>
        <w:numPr>
          <w:ilvl w:val="1"/>
          <w:numId w:val="7"/>
        </w:numPr>
        <w:spacing w:after="0" w:line="240" w:lineRule="auto"/>
        <w:rPr>
          <w:rFonts w:cstheme="minorHAnsi"/>
        </w:rPr>
      </w:pPr>
      <w:r w:rsidRPr="007A7B14">
        <w:rPr>
          <w:rFonts w:cstheme="minorHAnsi"/>
        </w:rPr>
        <w:t xml:space="preserve"> </w:t>
      </w:r>
      <w:r w:rsidR="00E63B9D" w:rsidRPr="007A7B14">
        <w:rPr>
          <w:rFonts w:cstheme="minorHAnsi"/>
        </w:rPr>
        <w:t>rajoninio laikraščio p</w:t>
      </w:r>
      <w:r w:rsidR="00F9480F" w:rsidRPr="007A7B14">
        <w:rPr>
          <w:rFonts w:cstheme="minorHAnsi"/>
        </w:rPr>
        <w:t>renumer</w:t>
      </w:r>
      <w:r w:rsidR="00E63B9D" w:rsidRPr="007A7B14">
        <w:rPr>
          <w:rFonts w:cstheme="minorHAnsi"/>
        </w:rPr>
        <w:t xml:space="preserve">atorių </w:t>
      </w:r>
      <w:r w:rsidR="00F9480F" w:rsidRPr="007A7B14">
        <w:rPr>
          <w:rFonts w:cstheme="minorHAnsi"/>
        </w:rPr>
        <w:t>Mažeikių rajone skaičius</w:t>
      </w:r>
      <w:r w:rsidR="0094655D" w:rsidRPr="007A7B14">
        <w:rPr>
          <w:rFonts w:cstheme="minorHAnsi"/>
        </w:rPr>
        <w:t xml:space="preserve">  – 0,7</w:t>
      </w:r>
      <w:r w:rsidR="009026BB" w:rsidRPr="007A7B14">
        <w:rPr>
          <w:rFonts w:cstheme="minorHAnsi"/>
        </w:rPr>
        <w:t>*</w:t>
      </w:r>
      <w:r w:rsidR="0094655D" w:rsidRPr="007A7B14">
        <w:rPr>
          <w:rFonts w:cstheme="minorHAnsi"/>
        </w:rPr>
        <w:t>.</w:t>
      </w:r>
    </w:p>
    <w:p w14:paraId="04508C13" w14:textId="69232CBA" w:rsidR="009026BB" w:rsidRPr="007A7B14" w:rsidRDefault="009026BB" w:rsidP="007A7B14">
      <w:pPr>
        <w:spacing w:after="0" w:line="240" w:lineRule="auto"/>
        <w:rPr>
          <w:rFonts w:cstheme="minorHAnsi"/>
        </w:rPr>
      </w:pPr>
    </w:p>
    <w:p w14:paraId="3A775E87" w14:textId="275C382C" w:rsidR="009026BB" w:rsidRPr="007A7B14" w:rsidRDefault="009026BB" w:rsidP="007A7B14">
      <w:pPr>
        <w:spacing w:after="0" w:line="240" w:lineRule="auto"/>
        <w:jc w:val="both"/>
        <w:rPr>
          <w:rFonts w:cstheme="minorHAnsi"/>
          <w:b/>
          <w:bCs/>
          <w:i/>
          <w:iCs/>
          <w:u w:val="single"/>
        </w:rPr>
      </w:pPr>
      <w:r w:rsidRPr="007A7B14">
        <w:rPr>
          <w:rFonts w:cstheme="minorHAnsi"/>
        </w:rPr>
        <w:t>*T</w:t>
      </w:r>
      <w:r w:rsidR="00700A88" w:rsidRPr="007A7B14">
        <w:rPr>
          <w:rFonts w:cstheme="minorHAnsi"/>
        </w:rPr>
        <w:t>ei</w:t>
      </w:r>
      <w:r w:rsidRPr="007A7B14">
        <w:rPr>
          <w:rFonts w:cstheme="minorHAnsi"/>
        </w:rPr>
        <w:t xml:space="preserve">kėjas </w:t>
      </w:r>
      <w:r w:rsidRPr="007A7B14">
        <w:rPr>
          <w:rFonts w:cstheme="minorHAnsi"/>
          <w:bCs/>
          <w:iCs/>
        </w:rPr>
        <w:t xml:space="preserve">kartu su pasiūlymu </w:t>
      </w:r>
      <w:r w:rsidRPr="007A7B14">
        <w:rPr>
          <w:rFonts w:cstheme="minorHAnsi"/>
        </w:rPr>
        <w:t>pateikia AB Lietuvos paštas arba kitų spaudos platinimo tarnybų pažymą apie vidutinę 202</w:t>
      </w:r>
      <w:r w:rsidR="00AF16F3" w:rsidRPr="007A7B14">
        <w:rPr>
          <w:rFonts w:cstheme="minorHAnsi"/>
        </w:rPr>
        <w:t>3</w:t>
      </w:r>
      <w:r w:rsidRPr="007A7B14">
        <w:rPr>
          <w:rFonts w:cstheme="minorHAnsi"/>
        </w:rPr>
        <w:t xml:space="preserve"> m. pirmo</w:t>
      </w:r>
      <w:r w:rsidR="00781749" w:rsidRPr="007A7B14">
        <w:rPr>
          <w:rFonts w:cstheme="minorHAnsi"/>
        </w:rPr>
        <w:t xml:space="preserve"> ar antro</w:t>
      </w:r>
      <w:r w:rsidRPr="007A7B14">
        <w:rPr>
          <w:rFonts w:cstheme="minorHAnsi"/>
        </w:rPr>
        <w:t xml:space="preserve"> pusmečio pristatytą prenumeratą</w:t>
      </w:r>
      <w:r w:rsidRPr="007A7B14">
        <w:rPr>
          <w:rFonts w:cstheme="minorHAnsi"/>
          <w:bCs/>
          <w:iCs/>
        </w:rPr>
        <w:t>.</w:t>
      </w:r>
      <w:r w:rsidRPr="007A7B14">
        <w:rPr>
          <w:rFonts w:cstheme="minorHAnsi"/>
          <w:b/>
          <w:bCs/>
          <w:i/>
          <w:iCs/>
          <w:u w:val="single"/>
        </w:rPr>
        <w:t xml:space="preserve">  Pateikiami skenuoti dokumentai elektroninėje formoje.</w:t>
      </w:r>
    </w:p>
    <w:p w14:paraId="318DC9A8" w14:textId="27390FBA" w:rsidR="0094655D" w:rsidRPr="007A7B14" w:rsidRDefault="009026BB" w:rsidP="007A7B14">
      <w:pPr>
        <w:spacing w:after="0" w:line="240" w:lineRule="auto"/>
        <w:ind w:firstLine="851"/>
        <w:jc w:val="both"/>
        <w:rPr>
          <w:rFonts w:cstheme="minorHAnsi"/>
        </w:rPr>
      </w:pPr>
      <w:r w:rsidRPr="007A7B14">
        <w:rPr>
          <w:rFonts w:cstheme="minorHAnsi"/>
        </w:rPr>
        <w:t>T</w:t>
      </w:r>
      <w:r w:rsidR="00700A88" w:rsidRPr="007A7B14">
        <w:rPr>
          <w:rFonts w:cstheme="minorHAnsi"/>
        </w:rPr>
        <w:t>ei</w:t>
      </w:r>
      <w:r w:rsidRPr="007A7B14">
        <w:rPr>
          <w:rFonts w:cstheme="minorHAnsi"/>
        </w:rPr>
        <w:t>kėjas turi pateikti dokumentus, leidžiančius įvertinti jo pasiūlymą pagal nurodytus vertinimo kriterijus ir jų parametrus. Jokie kiti vertinimo kriterijai taikomi nebus.</w:t>
      </w:r>
    </w:p>
    <w:p w14:paraId="277DF1F2" w14:textId="77777777" w:rsidR="00F6784A" w:rsidRPr="007A7B14" w:rsidRDefault="00F6784A" w:rsidP="007A7B14">
      <w:pPr>
        <w:pStyle w:val="Antrat3"/>
        <w:keepNext w:val="0"/>
        <w:widowControl w:val="0"/>
        <w:numPr>
          <w:ilvl w:val="0"/>
          <w:numId w:val="5"/>
        </w:numPr>
        <w:tabs>
          <w:tab w:val="left" w:pos="851"/>
          <w:tab w:val="left" w:pos="9923"/>
        </w:tabs>
        <w:ind w:right="566"/>
        <w:rPr>
          <w:rFonts w:asciiTheme="minorHAnsi" w:hAnsiTheme="minorHAnsi" w:cstheme="minorHAnsi"/>
          <w:sz w:val="22"/>
          <w:szCs w:val="22"/>
        </w:rPr>
      </w:pPr>
      <w:r w:rsidRPr="007A7B14">
        <w:rPr>
          <w:rFonts w:asciiTheme="minorHAnsi" w:hAnsiTheme="minorHAnsi" w:cstheme="minorHAnsi"/>
          <w:sz w:val="22"/>
          <w:szCs w:val="22"/>
        </w:rPr>
        <w:t>Ekonominio vertinimo kriterijų ir parametrų lyginamasis svoris:</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6369"/>
        <w:gridCol w:w="1377"/>
        <w:gridCol w:w="1680"/>
      </w:tblGrid>
      <w:tr w:rsidR="00F6784A" w:rsidRPr="00C22790" w14:paraId="72FFA315" w14:textId="77777777" w:rsidTr="004D5204">
        <w:trPr>
          <w:cantSplit/>
          <w:trHeight w:val="673"/>
        </w:trPr>
        <w:tc>
          <w:tcPr>
            <w:tcW w:w="6805" w:type="dxa"/>
            <w:gridSpan w:val="2"/>
            <w:vAlign w:val="center"/>
          </w:tcPr>
          <w:p w14:paraId="25B7A86F" w14:textId="77777777" w:rsidR="00F6784A" w:rsidRPr="00C22790" w:rsidRDefault="00F6784A" w:rsidP="004D5204">
            <w:pPr>
              <w:widowControl w:val="0"/>
              <w:tabs>
                <w:tab w:val="left" w:pos="851"/>
              </w:tabs>
              <w:jc w:val="center"/>
              <w:rPr>
                <w:rFonts w:ascii="Calibri" w:hAnsi="Calibri" w:cs="Calibri"/>
                <w:b/>
              </w:rPr>
            </w:pPr>
            <w:r w:rsidRPr="00C22790">
              <w:rPr>
                <w:rFonts w:ascii="Calibri" w:hAnsi="Calibri" w:cs="Calibri"/>
                <w:b/>
              </w:rPr>
              <w:t>VERTINIMO KRITERIJAI</w:t>
            </w:r>
          </w:p>
        </w:tc>
        <w:tc>
          <w:tcPr>
            <w:tcW w:w="1377" w:type="dxa"/>
            <w:vAlign w:val="center"/>
          </w:tcPr>
          <w:p w14:paraId="11C563CC" w14:textId="77777777" w:rsidR="00F6784A" w:rsidRPr="00C22790" w:rsidRDefault="00F6784A" w:rsidP="004D5204">
            <w:pPr>
              <w:widowControl w:val="0"/>
              <w:tabs>
                <w:tab w:val="left" w:pos="851"/>
              </w:tabs>
              <w:ind w:right="-108"/>
              <w:jc w:val="center"/>
              <w:rPr>
                <w:rFonts w:ascii="Calibri" w:hAnsi="Calibri" w:cs="Calibri"/>
                <w:b/>
              </w:rPr>
            </w:pPr>
            <w:r w:rsidRPr="00C22790">
              <w:rPr>
                <w:rFonts w:ascii="Calibri" w:hAnsi="Calibri" w:cs="Calibri"/>
                <w:b/>
              </w:rPr>
              <w:t>Funkcinio parametro lyginamasis svoris</w:t>
            </w:r>
          </w:p>
        </w:tc>
        <w:tc>
          <w:tcPr>
            <w:tcW w:w="1680" w:type="dxa"/>
            <w:vAlign w:val="center"/>
          </w:tcPr>
          <w:p w14:paraId="5C9248CC" w14:textId="77777777" w:rsidR="00F6784A" w:rsidRPr="00C22790" w:rsidRDefault="00F6784A" w:rsidP="004D5204">
            <w:pPr>
              <w:widowControl w:val="0"/>
              <w:tabs>
                <w:tab w:val="left" w:pos="851"/>
              </w:tabs>
              <w:ind w:right="-9"/>
              <w:jc w:val="center"/>
              <w:rPr>
                <w:rFonts w:ascii="Calibri" w:hAnsi="Calibri" w:cs="Calibri"/>
                <w:b/>
              </w:rPr>
            </w:pPr>
            <w:r w:rsidRPr="00C22790">
              <w:rPr>
                <w:rFonts w:ascii="Calibri" w:hAnsi="Calibri" w:cs="Calibri"/>
                <w:b/>
              </w:rPr>
              <w:t>Lyginamasis svoris ekonominio naudingumo įvertinime</w:t>
            </w:r>
          </w:p>
        </w:tc>
      </w:tr>
      <w:tr w:rsidR="00F6784A" w:rsidRPr="00C22790" w14:paraId="524CCDC5" w14:textId="77777777" w:rsidTr="004D5204">
        <w:trPr>
          <w:cantSplit/>
          <w:trHeight w:val="209"/>
        </w:trPr>
        <w:tc>
          <w:tcPr>
            <w:tcW w:w="6805" w:type="dxa"/>
            <w:gridSpan w:val="2"/>
          </w:tcPr>
          <w:p w14:paraId="542048D3" w14:textId="77777777" w:rsidR="00F6784A" w:rsidRPr="00C22790" w:rsidRDefault="00F6784A" w:rsidP="004D5204">
            <w:pPr>
              <w:pStyle w:val="Antrats"/>
              <w:tabs>
                <w:tab w:val="left" w:pos="851"/>
              </w:tabs>
              <w:ind w:right="1633"/>
              <w:rPr>
                <w:rFonts w:ascii="Calibri" w:hAnsi="Calibri" w:cs="Calibri"/>
                <w:b/>
                <w:i/>
              </w:rPr>
            </w:pPr>
            <w:r w:rsidRPr="00C22790">
              <w:rPr>
                <w:rFonts w:ascii="Calibri" w:hAnsi="Calibri" w:cs="Calibri"/>
                <w:b/>
                <w:i/>
              </w:rPr>
              <w:t>Pirmas kriterijus – kaina (C)</w:t>
            </w:r>
          </w:p>
        </w:tc>
        <w:tc>
          <w:tcPr>
            <w:tcW w:w="1377" w:type="dxa"/>
            <w:vAlign w:val="center"/>
          </w:tcPr>
          <w:p w14:paraId="7596AB94" w14:textId="77777777" w:rsidR="00F6784A" w:rsidRPr="00C22790" w:rsidRDefault="00F6784A" w:rsidP="004D5204">
            <w:pPr>
              <w:widowControl w:val="0"/>
              <w:tabs>
                <w:tab w:val="left" w:pos="851"/>
              </w:tabs>
              <w:jc w:val="center"/>
              <w:rPr>
                <w:rFonts w:ascii="Calibri" w:hAnsi="Calibri" w:cs="Calibri"/>
              </w:rPr>
            </w:pPr>
          </w:p>
        </w:tc>
        <w:tc>
          <w:tcPr>
            <w:tcW w:w="1680" w:type="dxa"/>
            <w:vAlign w:val="center"/>
          </w:tcPr>
          <w:p w14:paraId="3041404E" w14:textId="48759679" w:rsidR="00F6784A" w:rsidRPr="00C22790" w:rsidRDefault="00F6784A" w:rsidP="004D5204">
            <w:pPr>
              <w:widowControl w:val="0"/>
              <w:tabs>
                <w:tab w:val="left" w:pos="851"/>
              </w:tabs>
              <w:jc w:val="center"/>
              <w:rPr>
                <w:rFonts w:ascii="Calibri" w:hAnsi="Calibri" w:cs="Calibri"/>
              </w:rPr>
            </w:pPr>
            <w:r w:rsidRPr="00C22790">
              <w:rPr>
                <w:rFonts w:ascii="Calibri" w:hAnsi="Calibri" w:cs="Calibri"/>
              </w:rPr>
              <w:t>X</w:t>
            </w:r>
            <w:r w:rsidR="00AF16F3" w:rsidRPr="00C22790">
              <w:rPr>
                <w:rFonts w:ascii="Calibri" w:hAnsi="Calibri" w:cs="Calibri"/>
              </w:rPr>
              <w:t xml:space="preserve"> </w:t>
            </w:r>
            <w:r w:rsidRPr="00C22790">
              <w:rPr>
                <w:rFonts w:ascii="Calibri" w:hAnsi="Calibri" w:cs="Calibri"/>
              </w:rPr>
              <w:t>=</w:t>
            </w:r>
            <w:r w:rsidR="00AF16F3" w:rsidRPr="00C22790">
              <w:rPr>
                <w:rFonts w:ascii="Calibri" w:hAnsi="Calibri" w:cs="Calibri"/>
              </w:rPr>
              <w:t xml:space="preserve"> </w:t>
            </w:r>
            <w:r w:rsidRPr="00C22790">
              <w:rPr>
                <w:rFonts w:ascii="Calibri" w:hAnsi="Calibri" w:cs="Calibri"/>
              </w:rPr>
              <w:t>40</w:t>
            </w:r>
          </w:p>
        </w:tc>
      </w:tr>
      <w:tr w:rsidR="00F6784A" w:rsidRPr="00C22790" w14:paraId="08A5DA27" w14:textId="77777777" w:rsidTr="004D5204">
        <w:trPr>
          <w:cantSplit/>
          <w:trHeight w:val="198"/>
        </w:trPr>
        <w:tc>
          <w:tcPr>
            <w:tcW w:w="6805" w:type="dxa"/>
            <w:gridSpan w:val="2"/>
          </w:tcPr>
          <w:p w14:paraId="677EEBCF" w14:textId="77777777" w:rsidR="00F6784A" w:rsidRPr="00C22790" w:rsidRDefault="00F6784A" w:rsidP="00F6784A">
            <w:pPr>
              <w:widowControl w:val="0"/>
              <w:tabs>
                <w:tab w:val="left" w:pos="851"/>
              </w:tabs>
              <w:ind w:right="1633"/>
              <w:rPr>
                <w:rFonts w:ascii="Calibri" w:hAnsi="Calibri" w:cs="Calibri"/>
                <w:b/>
                <w:i/>
              </w:rPr>
            </w:pPr>
            <w:r w:rsidRPr="00C22790">
              <w:rPr>
                <w:rFonts w:ascii="Calibri" w:hAnsi="Calibri" w:cs="Calibri"/>
                <w:b/>
                <w:i/>
              </w:rPr>
              <w:t xml:space="preserve">Antras kriterijus – </w:t>
            </w:r>
            <w:r w:rsidR="004D47B3" w:rsidRPr="00C22790">
              <w:rPr>
                <w:rFonts w:ascii="Calibri" w:hAnsi="Calibri" w:cs="Calibri"/>
              </w:rPr>
              <w:t xml:space="preserve">leidinio sklaida </w:t>
            </w:r>
            <w:r w:rsidR="0012201B" w:rsidRPr="00C22790">
              <w:rPr>
                <w:rFonts w:ascii="Calibri" w:hAnsi="Calibri" w:cs="Calibri"/>
                <w:b/>
              </w:rPr>
              <w:t>(V</w:t>
            </w:r>
            <w:r w:rsidRPr="00C22790">
              <w:rPr>
                <w:rFonts w:ascii="Calibri" w:hAnsi="Calibri" w:cs="Calibri"/>
                <w:b/>
              </w:rPr>
              <w:t>)</w:t>
            </w:r>
            <w:r w:rsidR="00B83E85" w:rsidRPr="00C22790">
              <w:rPr>
                <w:rFonts w:ascii="Calibri" w:hAnsi="Calibri" w:cs="Calibri"/>
                <w:b/>
              </w:rPr>
              <w:t>:</w:t>
            </w:r>
          </w:p>
        </w:tc>
        <w:tc>
          <w:tcPr>
            <w:tcW w:w="1377" w:type="dxa"/>
            <w:vAlign w:val="center"/>
          </w:tcPr>
          <w:p w14:paraId="0B295DF6" w14:textId="77777777" w:rsidR="00F6784A" w:rsidRPr="00C22790" w:rsidRDefault="00F6784A" w:rsidP="004D5204">
            <w:pPr>
              <w:widowControl w:val="0"/>
              <w:tabs>
                <w:tab w:val="left" w:pos="851"/>
              </w:tabs>
              <w:jc w:val="center"/>
              <w:rPr>
                <w:rFonts w:ascii="Calibri" w:hAnsi="Calibri" w:cs="Calibri"/>
              </w:rPr>
            </w:pPr>
          </w:p>
        </w:tc>
        <w:tc>
          <w:tcPr>
            <w:tcW w:w="1680" w:type="dxa"/>
            <w:vAlign w:val="center"/>
          </w:tcPr>
          <w:p w14:paraId="4D066036" w14:textId="2C0A57EF" w:rsidR="00F6784A" w:rsidRPr="00C22790" w:rsidRDefault="00F6784A" w:rsidP="008B7BB2">
            <w:pPr>
              <w:widowControl w:val="0"/>
              <w:tabs>
                <w:tab w:val="left" w:pos="851"/>
              </w:tabs>
              <w:jc w:val="center"/>
              <w:rPr>
                <w:rFonts w:ascii="Calibri" w:hAnsi="Calibri" w:cs="Calibri"/>
              </w:rPr>
            </w:pPr>
            <w:r w:rsidRPr="00C22790">
              <w:rPr>
                <w:rFonts w:ascii="Calibri" w:hAnsi="Calibri" w:cs="Calibri"/>
              </w:rPr>
              <w:t>Y</w:t>
            </w:r>
            <w:r w:rsidR="00AF16F3" w:rsidRPr="00C22790">
              <w:rPr>
                <w:rFonts w:ascii="Calibri" w:hAnsi="Calibri" w:cs="Calibri"/>
              </w:rPr>
              <w:t xml:space="preserve"> </w:t>
            </w:r>
            <w:r w:rsidRPr="00C22790">
              <w:rPr>
                <w:rFonts w:ascii="Calibri" w:hAnsi="Calibri" w:cs="Calibri"/>
              </w:rPr>
              <w:t>=</w:t>
            </w:r>
            <w:r w:rsidR="00AF16F3" w:rsidRPr="00C22790">
              <w:rPr>
                <w:rFonts w:ascii="Calibri" w:hAnsi="Calibri" w:cs="Calibri"/>
              </w:rPr>
              <w:t xml:space="preserve"> </w:t>
            </w:r>
            <w:r w:rsidRPr="00C22790">
              <w:rPr>
                <w:rFonts w:ascii="Calibri" w:hAnsi="Calibri" w:cs="Calibri"/>
              </w:rPr>
              <w:t>60</w:t>
            </w:r>
          </w:p>
        </w:tc>
      </w:tr>
      <w:tr w:rsidR="00F6784A" w:rsidRPr="00C22790" w14:paraId="058D1B79" w14:textId="77777777" w:rsidTr="001E676F">
        <w:trPr>
          <w:trHeight w:val="374"/>
        </w:trPr>
        <w:tc>
          <w:tcPr>
            <w:tcW w:w="436" w:type="dxa"/>
          </w:tcPr>
          <w:p w14:paraId="5DAEB82C" w14:textId="77777777" w:rsidR="00F6784A" w:rsidRPr="00C22790" w:rsidRDefault="00F6784A" w:rsidP="004D5204">
            <w:pPr>
              <w:widowControl w:val="0"/>
              <w:tabs>
                <w:tab w:val="left" w:pos="851"/>
              </w:tabs>
              <w:jc w:val="both"/>
              <w:rPr>
                <w:rFonts w:ascii="Calibri" w:hAnsi="Calibri" w:cs="Calibri"/>
              </w:rPr>
            </w:pPr>
            <w:r w:rsidRPr="00C22790">
              <w:rPr>
                <w:rFonts w:ascii="Calibri" w:hAnsi="Calibri" w:cs="Calibri"/>
              </w:rPr>
              <w:t>1.</w:t>
            </w:r>
          </w:p>
        </w:tc>
        <w:tc>
          <w:tcPr>
            <w:tcW w:w="6369" w:type="dxa"/>
          </w:tcPr>
          <w:p w14:paraId="12DC5E0F" w14:textId="6E1EF550" w:rsidR="00F6784A" w:rsidRPr="00C22790" w:rsidRDefault="00F6784A" w:rsidP="00781D68">
            <w:pPr>
              <w:widowControl w:val="0"/>
              <w:tabs>
                <w:tab w:val="left" w:pos="851"/>
              </w:tabs>
              <w:rPr>
                <w:rFonts w:ascii="Calibri" w:hAnsi="Calibri" w:cs="Calibri"/>
              </w:rPr>
            </w:pPr>
            <w:r w:rsidRPr="00C22790">
              <w:rPr>
                <w:rFonts w:ascii="Calibri" w:hAnsi="Calibri" w:cs="Calibri"/>
                <w:i/>
              </w:rPr>
              <w:t>Pirmas parametras –</w:t>
            </w:r>
            <w:r w:rsidRPr="00C22790">
              <w:rPr>
                <w:rFonts w:ascii="Calibri" w:hAnsi="Calibri" w:cs="Calibri"/>
              </w:rPr>
              <w:t xml:space="preserve"> </w:t>
            </w:r>
            <w:r w:rsidR="00E63B9D" w:rsidRPr="00C22790">
              <w:rPr>
                <w:rFonts w:ascii="Calibri" w:hAnsi="Calibri" w:cs="Calibri"/>
              </w:rPr>
              <w:t xml:space="preserve">leidinio tiražas (vienetais) platinamas Mažeikių rajone </w:t>
            </w:r>
            <w:r w:rsidRPr="00C22790">
              <w:rPr>
                <w:rFonts w:ascii="Calibri" w:hAnsi="Calibri" w:cs="Calibri"/>
              </w:rPr>
              <w:t>(vnt</w:t>
            </w:r>
            <w:r w:rsidR="00AF16F3" w:rsidRPr="00C22790">
              <w:rPr>
                <w:rFonts w:ascii="Calibri" w:hAnsi="Calibri" w:cs="Calibri"/>
              </w:rPr>
              <w:t>.</w:t>
            </w:r>
            <w:r w:rsidRPr="00C22790">
              <w:rPr>
                <w:rFonts w:ascii="Calibri" w:hAnsi="Calibri" w:cs="Calibri"/>
              </w:rPr>
              <w:t>) (</w:t>
            </w:r>
            <w:r w:rsidR="0094655D" w:rsidRPr="00C22790">
              <w:rPr>
                <w:rFonts w:ascii="Calibri" w:hAnsi="Calibri" w:cs="Calibri"/>
              </w:rPr>
              <w:t>K</w:t>
            </w:r>
            <w:r w:rsidRPr="00C22790">
              <w:rPr>
                <w:rFonts w:ascii="Calibri" w:hAnsi="Calibri" w:cs="Calibri"/>
              </w:rPr>
              <w:t>1)</w:t>
            </w:r>
          </w:p>
        </w:tc>
        <w:tc>
          <w:tcPr>
            <w:tcW w:w="1377" w:type="dxa"/>
            <w:vAlign w:val="center"/>
          </w:tcPr>
          <w:p w14:paraId="2B111268" w14:textId="51A63C3E" w:rsidR="00F6784A" w:rsidRPr="00C22790" w:rsidRDefault="00F6784A" w:rsidP="00FE6168">
            <w:pPr>
              <w:widowControl w:val="0"/>
              <w:tabs>
                <w:tab w:val="left" w:pos="851"/>
              </w:tabs>
              <w:jc w:val="center"/>
              <w:rPr>
                <w:rFonts w:ascii="Calibri" w:hAnsi="Calibri" w:cs="Calibri"/>
              </w:rPr>
            </w:pPr>
            <w:r w:rsidRPr="00C22790">
              <w:rPr>
                <w:rFonts w:ascii="Calibri" w:hAnsi="Calibri" w:cs="Calibri"/>
              </w:rPr>
              <w:t>L</w:t>
            </w:r>
            <w:r w:rsidR="00FE6168" w:rsidRPr="00C22790">
              <w:rPr>
                <w:rFonts w:ascii="Calibri" w:hAnsi="Calibri" w:cs="Calibri"/>
              </w:rPr>
              <w:t>1</w:t>
            </w:r>
            <w:r w:rsidR="00AF16F3" w:rsidRPr="00C22790">
              <w:rPr>
                <w:rFonts w:ascii="Calibri" w:hAnsi="Calibri" w:cs="Calibri"/>
              </w:rPr>
              <w:t xml:space="preserve"> </w:t>
            </w:r>
            <w:r w:rsidRPr="00C22790">
              <w:rPr>
                <w:rFonts w:ascii="Calibri" w:hAnsi="Calibri" w:cs="Calibri"/>
              </w:rPr>
              <w:t>=</w:t>
            </w:r>
            <w:r w:rsidR="00AF16F3" w:rsidRPr="00C22790">
              <w:rPr>
                <w:rFonts w:ascii="Calibri" w:hAnsi="Calibri" w:cs="Calibri"/>
              </w:rPr>
              <w:t xml:space="preserve"> </w:t>
            </w:r>
            <w:r w:rsidRPr="00C22790">
              <w:rPr>
                <w:rFonts w:ascii="Calibri" w:hAnsi="Calibri" w:cs="Calibri"/>
              </w:rPr>
              <w:t>0,3</w:t>
            </w:r>
          </w:p>
        </w:tc>
        <w:tc>
          <w:tcPr>
            <w:tcW w:w="1680" w:type="dxa"/>
            <w:vAlign w:val="center"/>
          </w:tcPr>
          <w:p w14:paraId="48FBF905" w14:textId="77777777" w:rsidR="00F6784A" w:rsidRPr="00C22790" w:rsidRDefault="00F6784A" w:rsidP="004D5204">
            <w:pPr>
              <w:widowControl w:val="0"/>
              <w:tabs>
                <w:tab w:val="left" w:pos="851"/>
              </w:tabs>
              <w:jc w:val="center"/>
              <w:rPr>
                <w:rFonts w:ascii="Calibri" w:hAnsi="Calibri" w:cs="Calibri"/>
              </w:rPr>
            </w:pPr>
          </w:p>
        </w:tc>
      </w:tr>
      <w:tr w:rsidR="00F6784A" w:rsidRPr="00C22790" w14:paraId="1234978A" w14:textId="77777777" w:rsidTr="00A0291B">
        <w:trPr>
          <w:trHeight w:val="364"/>
        </w:trPr>
        <w:tc>
          <w:tcPr>
            <w:tcW w:w="436" w:type="dxa"/>
          </w:tcPr>
          <w:p w14:paraId="11639E97" w14:textId="77777777" w:rsidR="00F6784A" w:rsidRPr="00C22790" w:rsidRDefault="00F6784A" w:rsidP="004D5204">
            <w:pPr>
              <w:widowControl w:val="0"/>
              <w:tabs>
                <w:tab w:val="left" w:pos="851"/>
              </w:tabs>
              <w:jc w:val="both"/>
              <w:rPr>
                <w:rFonts w:ascii="Calibri" w:hAnsi="Calibri" w:cs="Calibri"/>
              </w:rPr>
            </w:pPr>
            <w:r w:rsidRPr="00C22790">
              <w:rPr>
                <w:rFonts w:ascii="Calibri" w:hAnsi="Calibri" w:cs="Calibri"/>
              </w:rPr>
              <w:t>2.</w:t>
            </w:r>
          </w:p>
        </w:tc>
        <w:tc>
          <w:tcPr>
            <w:tcW w:w="6369" w:type="dxa"/>
          </w:tcPr>
          <w:p w14:paraId="35C7D216" w14:textId="1E5611F2" w:rsidR="00F6784A" w:rsidRPr="00C22790" w:rsidRDefault="00F6784A" w:rsidP="00781D68">
            <w:pPr>
              <w:widowControl w:val="0"/>
              <w:tabs>
                <w:tab w:val="left" w:pos="851"/>
              </w:tabs>
              <w:rPr>
                <w:rFonts w:ascii="Calibri" w:hAnsi="Calibri" w:cs="Calibri"/>
              </w:rPr>
            </w:pPr>
            <w:r w:rsidRPr="00C22790">
              <w:rPr>
                <w:rFonts w:ascii="Calibri" w:hAnsi="Calibri" w:cs="Calibri"/>
                <w:i/>
              </w:rPr>
              <w:t>Antras parametras –</w:t>
            </w:r>
            <w:r w:rsidRPr="00C22790">
              <w:rPr>
                <w:rFonts w:ascii="Calibri" w:hAnsi="Calibri" w:cs="Calibri"/>
              </w:rPr>
              <w:t xml:space="preserve"> </w:t>
            </w:r>
            <w:r w:rsidR="00E63B9D" w:rsidRPr="00C22790">
              <w:rPr>
                <w:rFonts w:ascii="Calibri" w:hAnsi="Calibri" w:cs="Calibri"/>
              </w:rPr>
              <w:t xml:space="preserve">rajoninio laikraščio prenumeratorių Mažeikių rajone skaičius  </w:t>
            </w:r>
            <w:r w:rsidRPr="00C22790">
              <w:rPr>
                <w:rFonts w:ascii="Calibri" w:hAnsi="Calibri" w:cs="Calibri"/>
              </w:rPr>
              <w:t>(vnt</w:t>
            </w:r>
            <w:r w:rsidR="00AF16F3" w:rsidRPr="00C22790">
              <w:rPr>
                <w:rFonts w:ascii="Calibri" w:hAnsi="Calibri" w:cs="Calibri"/>
              </w:rPr>
              <w:t>.</w:t>
            </w:r>
            <w:r w:rsidRPr="00C22790">
              <w:rPr>
                <w:rFonts w:ascii="Calibri" w:hAnsi="Calibri" w:cs="Calibri"/>
              </w:rPr>
              <w:t>)</w:t>
            </w:r>
            <w:r w:rsidRPr="00C22790" w:rsidDel="004C135C">
              <w:rPr>
                <w:rFonts w:ascii="Calibri" w:hAnsi="Calibri" w:cs="Calibri"/>
              </w:rPr>
              <w:t xml:space="preserve"> </w:t>
            </w:r>
            <w:r w:rsidR="0094655D" w:rsidRPr="00C22790">
              <w:rPr>
                <w:rFonts w:ascii="Calibri" w:hAnsi="Calibri" w:cs="Calibri"/>
              </w:rPr>
              <w:t>(K</w:t>
            </w:r>
            <w:r w:rsidRPr="00C22790">
              <w:rPr>
                <w:rFonts w:ascii="Calibri" w:hAnsi="Calibri" w:cs="Calibri"/>
              </w:rPr>
              <w:t>2)</w:t>
            </w:r>
          </w:p>
        </w:tc>
        <w:tc>
          <w:tcPr>
            <w:tcW w:w="1377" w:type="dxa"/>
            <w:vAlign w:val="center"/>
          </w:tcPr>
          <w:p w14:paraId="4DD3578E" w14:textId="57B0560A" w:rsidR="00F6784A" w:rsidRPr="00C22790" w:rsidRDefault="00F6784A" w:rsidP="0094655D">
            <w:pPr>
              <w:widowControl w:val="0"/>
              <w:tabs>
                <w:tab w:val="left" w:pos="851"/>
              </w:tabs>
              <w:jc w:val="center"/>
              <w:rPr>
                <w:rFonts w:ascii="Calibri" w:hAnsi="Calibri" w:cs="Calibri"/>
              </w:rPr>
            </w:pPr>
            <w:r w:rsidRPr="00C22790">
              <w:rPr>
                <w:rFonts w:ascii="Calibri" w:hAnsi="Calibri" w:cs="Calibri"/>
              </w:rPr>
              <w:t>L</w:t>
            </w:r>
            <w:r w:rsidR="0094655D" w:rsidRPr="00C22790">
              <w:rPr>
                <w:rFonts w:ascii="Calibri" w:hAnsi="Calibri" w:cs="Calibri"/>
              </w:rPr>
              <w:t>2</w:t>
            </w:r>
            <w:r w:rsidR="00AF16F3" w:rsidRPr="00C22790">
              <w:rPr>
                <w:rFonts w:ascii="Calibri" w:hAnsi="Calibri" w:cs="Calibri"/>
              </w:rPr>
              <w:t xml:space="preserve"> </w:t>
            </w:r>
            <w:r w:rsidRPr="00C22790">
              <w:rPr>
                <w:rFonts w:ascii="Calibri" w:hAnsi="Calibri" w:cs="Calibri"/>
              </w:rPr>
              <w:t>=</w:t>
            </w:r>
            <w:r w:rsidR="00AF16F3" w:rsidRPr="00C22790">
              <w:rPr>
                <w:rFonts w:ascii="Calibri" w:hAnsi="Calibri" w:cs="Calibri"/>
              </w:rPr>
              <w:t xml:space="preserve"> </w:t>
            </w:r>
            <w:r w:rsidRPr="00C22790">
              <w:rPr>
                <w:rFonts w:ascii="Calibri" w:hAnsi="Calibri" w:cs="Calibri"/>
              </w:rPr>
              <w:t>0,7</w:t>
            </w:r>
          </w:p>
        </w:tc>
        <w:tc>
          <w:tcPr>
            <w:tcW w:w="1680" w:type="dxa"/>
            <w:vAlign w:val="center"/>
          </w:tcPr>
          <w:p w14:paraId="3FD2B9F4" w14:textId="77777777" w:rsidR="00F6784A" w:rsidRPr="00C22790" w:rsidRDefault="00F6784A" w:rsidP="004D5204">
            <w:pPr>
              <w:widowControl w:val="0"/>
              <w:tabs>
                <w:tab w:val="left" w:pos="851"/>
              </w:tabs>
              <w:jc w:val="center"/>
              <w:rPr>
                <w:rFonts w:ascii="Calibri" w:hAnsi="Calibri" w:cs="Calibri"/>
              </w:rPr>
            </w:pPr>
          </w:p>
        </w:tc>
      </w:tr>
    </w:tbl>
    <w:p w14:paraId="06A65111" w14:textId="77777777" w:rsidR="0094655D" w:rsidRDefault="0094655D" w:rsidP="0094655D">
      <w:pPr>
        <w:pStyle w:val="Antrat2"/>
        <w:numPr>
          <w:ilvl w:val="0"/>
          <w:numId w:val="0"/>
        </w:numPr>
        <w:tabs>
          <w:tab w:val="left" w:pos="851"/>
        </w:tabs>
        <w:ind w:right="60"/>
        <w:rPr>
          <w:szCs w:val="24"/>
        </w:rPr>
      </w:pPr>
    </w:p>
    <w:p w14:paraId="3580BB0A" w14:textId="77777777" w:rsidR="00941666" w:rsidRPr="005E307B" w:rsidRDefault="00941666" w:rsidP="002F4B38">
      <w:pPr>
        <w:pStyle w:val="Antrat2"/>
        <w:numPr>
          <w:ilvl w:val="0"/>
          <w:numId w:val="5"/>
        </w:numPr>
        <w:tabs>
          <w:tab w:val="left" w:pos="851"/>
        </w:tabs>
        <w:ind w:left="0" w:firstLine="851"/>
        <w:rPr>
          <w:rFonts w:asciiTheme="minorHAnsi" w:hAnsiTheme="minorHAnsi" w:cstheme="minorHAnsi"/>
          <w:sz w:val="22"/>
          <w:szCs w:val="22"/>
        </w:rPr>
      </w:pPr>
      <w:r w:rsidRPr="005E307B">
        <w:rPr>
          <w:rFonts w:asciiTheme="minorHAnsi" w:hAnsiTheme="minorHAnsi" w:cstheme="minorHAnsi"/>
          <w:sz w:val="22"/>
          <w:szCs w:val="22"/>
        </w:rPr>
        <w:t>Ekonominis naudingumas (S) apskaičiuojamas sudedant Paslaugų teikėjo pasiūlymo kainos C ir kitų kriterijų (</w:t>
      </w:r>
      <w:r w:rsidR="0012201B" w:rsidRPr="005E307B">
        <w:rPr>
          <w:rFonts w:asciiTheme="minorHAnsi" w:hAnsiTheme="minorHAnsi" w:cstheme="minorHAnsi"/>
          <w:sz w:val="22"/>
          <w:szCs w:val="22"/>
        </w:rPr>
        <w:t>V</w:t>
      </w:r>
      <w:r w:rsidRPr="005E307B">
        <w:rPr>
          <w:rFonts w:asciiTheme="minorHAnsi" w:hAnsiTheme="minorHAnsi" w:cstheme="minorHAnsi"/>
          <w:sz w:val="22"/>
          <w:szCs w:val="22"/>
        </w:rPr>
        <w:t>) balus:</w:t>
      </w:r>
    </w:p>
    <w:p w14:paraId="26943B83" w14:textId="77777777" w:rsidR="0094655D" w:rsidRPr="005E307B" w:rsidRDefault="0012201B" w:rsidP="0094655D">
      <w:pPr>
        <w:pStyle w:val="Antrat2"/>
        <w:numPr>
          <w:ilvl w:val="0"/>
          <w:numId w:val="0"/>
        </w:numPr>
        <w:jc w:val="center"/>
        <w:rPr>
          <w:rFonts w:asciiTheme="minorHAnsi" w:hAnsiTheme="minorHAnsi" w:cstheme="minorHAnsi"/>
          <w:sz w:val="22"/>
          <w:szCs w:val="22"/>
        </w:rPr>
      </w:pPr>
      <w:r w:rsidRPr="005E307B">
        <w:rPr>
          <w:rFonts w:asciiTheme="minorHAnsi" w:hAnsiTheme="minorHAnsi" w:cstheme="minorHAnsi"/>
          <w:position w:val="-6"/>
          <w:sz w:val="22"/>
          <w:szCs w:val="22"/>
        </w:rPr>
        <w:object w:dxaOrig="999" w:dyaOrig="279" w14:anchorId="05D49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7.5pt" o:ole="" fillcolor="window">
            <v:imagedata r:id="rId8" o:title=""/>
          </v:shape>
          <o:OLEObject Type="Embed" ProgID="Equation.3" ShapeID="_x0000_i1025" DrawAspect="Content" ObjectID="_1800685073" r:id="rId9"/>
        </w:object>
      </w:r>
    </w:p>
    <w:p w14:paraId="1FBBD201" w14:textId="77777777" w:rsidR="00941666" w:rsidRPr="005E307B" w:rsidRDefault="00941666" w:rsidP="00AE7B95">
      <w:pPr>
        <w:pStyle w:val="Antrat2"/>
        <w:numPr>
          <w:ilvl w:val="0"/>
          <w:numId w:val="5"/>
        </w:numPr>
        <w:ind w:left="0" w:firstLine="851"/>
        <w:jc w:val="left"/>
        <w:rPr>
          <w:rFonts w:asciiTheme="minorHAnsi" w:hAnsiTheme="minorHAnsi" w:cstheme="minorHAnsi"/>
          <w:sz w:val="22"/>
          <w:szCs w:val="22"/>
        </w:rPr>
      </w:pPr>
      <w:r w:rsidRPr="005E307B">
        <w:rPr>
          <w:rFonts w:asciiTheme="minorHAnsi" w:hAnsiTheme="minorHAnsi" w:cstheme="minorHAnsi"/>
          <w:sz w:val="22"/>
          <w:szCs w:val="22"/>
        </w:rPr>
        <w:t>Pasiūlymo kaina (C) balai apskaičiuojami mažiausios pasiūlytos kainos (C</w:t>
      </w:r>
      <w:r w:rsidRPr="005E307B">
        <w:rPr>
          <w:rFonts w:asciiTheme="minorHAnsi" w:hAnsiTheme="minorHAnsi" w:cstheme="minorHAnsi"/>
          <w:sz w:val="22"/>
          <w:szCs w:val="22"/>
          <w:vertAlign w:val="subscript"/>
        </w:rPr>
        <w:t>min</w:t>
      </w:r>
      <w:r w:rsidRPr="005E307B">
        <w:rPr>
          <w:rFonts w:asciiTheme="minorHAnsi" w:hAnsiTheme="minorHAnsi" w:cstheme="minorHAnsi"/>
          <w:sz w:val="22"/>
          <w:szCs w:val="22"/>
        </w:rPr>
        <w:t>) ir vertinamo pasiūlymo kainos (C</w:t>
      </w:r>
      <w:r w:rsidRPr="005E307B">
        <w:rPr>
          <w:rFonts w:asciiTheme="minorHAnsi" w:hAnsiTheme="minorHAnsi" w:cstheme="minorHAnsi"/>
          <w:sz w:val="22"/>
          <w:szCs w:val="22"/>
          <w:vertAlign w:val="subscript"/>
        </w:rPr>
        <w:t>p</w:t>
      </w:r>
      <w:r w:rsidRPr="005E307B">
        <w:rPr>
          <w:rFonts w:asciiTheme="minorHAnsi" w:hAnsiTheme="minorHAnsi" w:cstheme="minorHAnsi"/>
          <w:sz w:val="22"/>
          <w:szCs w:val="22"/>
        </w:rPr>
        <w:t>) santykį padauginant iš kainos lyginamojo svorio (X):</w:t>
      </w:r>
    </w:p>
    <w:p w14:paraId="037439CC" w14:textId="77777777" w:rsidR="0094655D" w:rsidRPr="005E307B" w:rsidRDefault="00941666" w:rsidP="0094655D">
      <w:pPr>
        <w:tabs>
          <w:tab w:val="left" w:pos="851"/>
        </w:tabs>
        <w:ind w:right="60"/>
        <w:jc w:val="center"/>
        <w:rPr>
          <w:rFonts w:cstheme="minorHAnsi"/>
        </w:rPr>
      </w:pPr>
      <w:r w:rsidRPr="005E307B">
        <w:rPr>
          <w:rFonts w:cstheme="minorHAnsi"/>
        </w:rPr>
        <w:object w:dxaOrig="1300" w:dyaOrig="720" w14:anchorId="471EC02C">
          <v:shape id="_x0000_i1026" type="#_x0000_t75" style="width:65.5pt;height:36pt" o:ole="" fillcolor="window">
            <v:imagedata r:id="rId10" o:title=""/>
          </v:shape>
          <o:OLEObject Type="Embed" ProgID="Equation.3" ShapeID="_x0000_i1026" DrawAspect="Content" ObjectID="_1800685074" r:id="rId11"/>
        </w:object>
      </w:r>
    </w:p>
    <w:p w14:paraId="1CD9FAE3" w14:textId="77777777" w:rsidR="00941666" w:rsidRPr="005E307B" w:rsidRDefault="00941666" w:rsidP="00AE7B95">
      <w:pPr>
        <w:pStyle w:val="Sraopastraipa"/>
        <w:numPr>
          <w:ilvl w:val="0"/>
          <w:numId w:val="5"/>
        </w:numPr>
        <w:tabs>
          <w:tab w:val="left" w:pos="851"/>
        </w:tabs>
        <w:spacing w:after="0"/>
        <w:ind w:left="0" w:firstLine="851"/>
        <w:rPr>
          <w:rFonts w:cstheme="minorHAnsi"/>
        </w:rPr>
      </w:pPr>
      <w:r w:rsidRPr="005E307B">
        <w:rPr>
          <w:rFonts w:cstheme="minorHAnsi"/>
        </w:rPr>
        <w:t>Kriterijaus (</w:t>
      </w:r>
      <w:r w:rsidR="0012201B" w:rsidRPr="005E307B">
        <w:rPr>
          <w:rFonts w:cstheme="minorHAnsi"/>
        </w:rPr>
        <w:t>V</w:t>
      </w:r>
      <w:r w:rsidRPr="005E307B">
        <w:rPr>
          <w:rFonts w:cstheme="minorHAnsi"/>
        </w:rPr>
        <w:t xml:space="preserve">) balai apskaičiuojami šio kriterijaus parametrų </w:t>
      </w:r>
      <w:r w:rsidR="0094655D" w:rsidRPr="005E307B">
        <w:rPr>
          <w:rFonts w:cstheme="minorHAnsi"/>
        </w:rPr>
        <w:t>įvertinimų (K1+K</w:t>
      </w:r>
      <w:r w:rsidR="008B7BB2" w:rsidRPr="005E307B">
        <w:rPr>
          <w:rFonts w:cstheme="minorHAnsi"/>
        </w:rPr>
        <w:t>2</w:t>
      </w:r>
      <w:r w:rsidRPr="005E307B">
        <w:rPr>
          <w:rFonts w:cstheme="minorHAnsi"/>
        </w:rPr>
        <w:t>) sumą padauginant iš vertinamo kriterijaus lyginamojo svorio (Y):</w:t>
      </w:r>
    </w:p>
    <w:p w14:paraId="717A9DA5" w14:textId="77777777" w:rsidR="00FE6168" w:rsidRPr="005E307B" w:rsidRDefault="00FE6168" w:rsidP="00FE6168">
      <w:pPr>
        <w:pStyle w:val="Sraopastraipa"/>
        <w:ind w:left="1069"/>
        <w:rPr>
          <w:rFonts w:cstheme="minorHAnsi"/>
          <w:lang w:eastAsia="lt-LT"/>
        </w:rPr>
      </w:pPr>
    </w:p>
    <w:p w14:paraId="07FEB237" w14:textId="77777777" w:rsidR="00941666" w:rsidRPr="005E307B" w:rsidRDefault="00000000" w:rsidP="00FE6168">
      <w:pPr>
        <w:tabs>
          <w:tab w:val="left" w:pos="851"/>
        </w:tabs>
        <w:ind w:right="60"/>
        <w:rPr>
          <w:rFonts w:cstheme="minorHAnsi"/>
        </w:rPr>
      </w:pPr>
      <w:r w:rsidRPr="005E307B">
        <w:rPr>
          <w:rFonts w:cstheme="minorHAnsi"/>
          <w:noProof/>
        </w:rPr>
        <w:object w:dxaOrig="1440" w:dyaOrig="1440" w14:anchorId="01BF32E0">
          <v:shape id="_x0000_s1033" type="#_x0000_t75" style="position:absolute;margin-left:201pt;margin-top:0;width:90.85pt;height:17pt;z-index:251660288" fillcolor="window">
            <v:imagedata r:id="rId12" o:title=""/>
            <w10:wrap type="square" side="right"/>
          </v:shape>
          <o:OLEObject Type="Embed" ProgID="Equation.3" ShapeID="_x0000_s1033" DrawAspect="Content" ObjectID="_1800685077" r:id="rId13"/>
        </w:object>
      </w:r>
      <w:r w:rsidR="00FE6168" w:rsidRPr="005E307B">
        <w:rPr>
          <w:rFonts w:cstheme="minorHAnsi"/>
        </w:rPr>
        <w:br w:type="textWrapping" w:clear="all"/>
      </w:r>
    </w:p>
    <w:p w14:paraId="5107916A" w14:textId="77777777" w:rsidR="00941666" w:rsidRPr="005E307B" w:rsidRDefault="00941666" w:rsidP="00AE7B95">
      <w:pPr>
        <w:pStyle w:val="Antrat2"/>
        <w:numPr>
          <w:ilvl w:val="0"/>
          <w:numId w:val="5"/>
        </w:numPr>
        <w:tabs>
          <w:tab w:val="left" w:pos="851"/>
        </w:tabs>
        <w:ind w:left="0" w:firstLine="851"/>
        <w:rPr>
          <w:rFonts w:asciiTheme="minorHAnsi" w:hAnsiTheme="minorHAnsi" w:cstheme="minorHAnsi"/>
          <w:sz w:val="22"/>
          <w:szCs w:val="22"/>
        </w:rPr>
      </w:pPr>
      <w:bookmarkStart w:id="0" w:name="_Ref60482388"/>
      <w:bookmarkStart w:id="1" w:name="_Ref60441219"/>
      <w:r w:rsidRPr="005E307B">
        <w:rPr>
          <w:rFonts w:asciiTheme="minorHAnsi" w:hAnsiTheme="minorHAnsi" w:cstheme="minorHAnsi"/>
          <w:sz w:val="22"/>
          <w:szCs w:val="22"/>
        </w:rPr>
        <w:t>Kri</w:t>
      </w:r>
      <w:r w:rsidR="00FE6168" w:rsidRPr="005E307B">
        <w:rPr>
          <w:rFonts w:asciiTheme="minorHAnsi" w:hAnsiTheme="minorHAnsi" w:cstheme="minorHAnsi"/>
          <w:sz w:val="22"/>
          <w:szCs w:val="22"/>
        </w:rPr>
        <w:t xml:space="preserve">terijaus parametro įvertinimas </w:t>
      </w:r>
      <w:r w:rsidR="0094655D" w:rsidRPr="005E307B">
        <w:rPr>
          <w:rFonts w:asciiTheme="minorHAnsi" w:hAnsiTheme="minorHAnsi" w:cstheme="minorHAnsi"/>
          <w:sz w:val="22"/>
          <w:szCs w:val="22"/>
        </w:rPr>
        <w:t>K</w:t>
      </w:r>
      <w:r w:rsidR="00FE6168" w:rsidRPr="005E307B">
        <w:rPr>
          <w:rFonts w:asciiTheme="minorHAnsi" w:hAnsiTheme="minorHAnsi" w:cstheme="minorHAnsi"/>
          <w:sz w:val="22"/>
          <w:szCs w:val="22"/>
        </w:rPr>
        <w:t xml:space="preserve">1 </w:t>
      </w:r>
      <w:r w:rsidRPr="005E307B">
        <w:rPr>
          <w:rFonts w:asciiTheme="minorHAnsi" w:hAnsiTheme="minorHAnsi" w:cstheme="minorHAnsi"/>
          <w:sz w:val="22"/>
          <w:szCs w:val="22"/>
        </w:rPr>
        <w:t>apsk</w:t>
      </w:r>
      <w:r w:rsidR="00FE6168" w:rsidRPr="005E307B">
        <w:rPr>
          <w:rFonts w:asciiTheme="minorHAnsi" w:hAnsiTheme="minorHAnsi" w:cstheme="minorHAnsi"/>
          <w:sz w:val="22"/>
          <w:szCs w:val="22"/>
        </w:rPr>
        <w:t>aičiuojamas pasiūlyto tiražo (T</w:t>
      </w:r>
      <w:r w:rsidR="00FE6168" w:rsidRPr="005E307B">
        <w:rPr>
          <w:rFonts w:asciiTheme="minorHAnsi" w:hAnsiTheme="minorHAnsi" w:cstheme="minorHAnsi"/>
          <w:sz w:val="22"/>
          <w:szCs w:val="22"/>
          <w:vertAlign w:val="subscript"/>
        </w:rPr>
        <w:t>p</w:t>
      </w:r>
      <w:r w:rsidR="00FE6168" w:rsidRPr="005E307B">
        <w:rPr>
          <w:rFonts w:asciiTheme="minorHAnsi" w:hAnsiTheme="minorHAnsi" w:cstheme="minorHAnsi"/>
          <w:sz w:val="22"/>
          <w:szCs w:val="22"/>
        </w:rPr>
        <w:t>)</w:t>
      </w:r>
      <w:r w:rsidR="0094655D" w:rsidRPr="005E307B">
        <w:rPr>
          <w:rFonts w:asciiTheme="minorHAnsi" w:hAnsiTheme="minorHAnsi" w:cstheme="minorHAnsi"/>
          <w:sz w:val="22"/>
          <w:szCs w:val="22"/>
        </w:rPr>
        <w:t xml:space="preserve"> </w:t>
      </w:r>
      <w:r w:rsidR="00781D68" w:rsidRPr="005E307B">
        <w:rPr>
          <w:rFonts w:asciiTheme="minorHAnsi" w:hAnsiTheme="minorHAnsi" w:cstheme="minorHAnsi"/>
          <w:sz w:val="22"/>
          <w:szCs w:val="22"/>
        </w:rPr>
        <w:t>ir</w:t>
      </w:r>
      <w:r w:rsidR="00FE6168" w:rsidRPr="005E307B">
        <w:rPr>
          <w:rFonts w:asciiTheme="minorHAnsi" w:hAnsiTheme="minorHAnsi" w:cstheme="minorHAnsi"/>
          <w:sz w:val="22"/>
          <w:szCs w:val="22"/>
        </w:rPr>
        <w:t xml:space="preserve"> didžiausi</w:t>
      </w:r>
      <w:r w:rsidR="007B1107" w:rsidRPr="005E307B">
        <w:rPr>
          <w:rFonts w:asciiTheme="minorHAnsi" w:hAnsiTheme="minorHAnsi" w:cstheme="minorHAnsi"/>
          <w:sz w:val="22"/>
          <w:szCs w:val="22"/>
        </w:rPr>
        <w:t>u pasiūlyto ti</w:t>
      </w:r>
      <w:r w:rsidR="00781D68" w:rsidRPr="005E307B">
        <w:rPr>
          <w:rFonts w:asciiTheme="minorHAnsi" w:hAnsiTheme="minorHAnsi" w:cstheme="minorHAnsi"/>
          <w:sz w:val="22"/>
          <w:szCs w:val="22"/>
        </w:rPr>
        <w:t>ražo</w:t>
      </w:r>
      <w:r w:rsidR="00FE6168" w:rsidRPr="005E307B">
        <w:rPr>
          <w:rFonts w:asciiTheme="minorHAnsi" w:hAnsiTheme="minorHAnsi" w:cstheme="minorHAnsi"/>
          <w:sz w:val="22"/>
          <w:szCs w:val="22"/>
        </w:rPr>
        <w:t xml:space="preserve"> (T</w:t>
      </w:r>
      <w:r w:rsidR="00FE6168" w:rsidRPr="005E307B">
        <w:rPr>
          <w:rFonts w:asciiTheme="minorHAnsi" w:hAnsiTheme="minorHAnsi" w:cstheme="minorHAnsi"/>
          <w:sz w:val="22"/>
          <w:szCs w:val="22"/>
          <w:vertAlign w:val="subscript"/>
        </w:rPr>
        <w:t>max</w:t>
      </w:r>
      <w:r w:rsidR="00FE6168" w:rsidRPr="005E307B">
        <w:rPr>
          <w:rFonts w:asciiTheme="minorHAnsi" w:hAnsiTheme="minorHAnsi" w:cstheme="minorHAnsi"/>
          <w:sz w:val="22"/>
          <w:szCs w:val="22"/>
        </w:rPr>
        <w:t>) santykį</w:t>
      </w:r>
      <w:r w:rsidR="0094655D" w:rsidRPr="005E307B">
        <w:rPr>
          <w:rFonts w:asciiTheme="minorHAnsi" w:hAnsiTheme="minorHAnsi" w:cstheme="minorHAnsi"/>
          <w:sz w:val="22"/>
          <w:szCs w:val="22"/>
        </w:rPr>
        <w:t xml:space="preserve"> </w:t>
      </w:r>
      <w:r w:rsidRPr="005E307B">
        <w:rPr>
          <w:rFonts w:asciiTheme="minorHAnsi" w:hAnsiTheme="minorHAnsi" w:cstheme="minorHAnsi"/>
          <w:sz w:val="22"/>
          <w:szCs w:val="22"/>
        </w:rPr>
        <w:t>padauginant iš vertinamo kriterijaus parametro lyginamojo svorio (L</w:t>
      </w:r>
      <w:r w:rsidR="00FE6168" w:rsidRPr="005E307B">
        <w:rPr>
          <w:rFonts w:asciiTheme="minorHAnsi" w:hAnsiTheme="minorHAnsi" w:cstheme="minorHAnsi"/>
          <w:sz w:val="22"/>
          <w:szCs w:val="22"/>
        </w:rPr>
        <w:t>1</w:t>
      </w:r>
      <w:r w:rsidRPr="005E307B">
        <w:rPr>
          <w:rFonts w:asciiTheme="minorHAnsi" w:hAnsiTheme="minorHAnsi" w:cstheme="minorHAnsi"/>
          <w:sz w:val="22"/>
          <w:szCs w:val="22"/>
        </w:rPr>
        <w:t>)</w:t>
      </w:r>
      <w:bookmarkEnd w:id="0"/>
      <w:bookmarkEnd w:id="1"/>
      <w:r w:rsidRPr="005E307B">
        <w:rPr>
          <w:rFonts w:asciiTheme="minorHAnsi" w:hAnsiTheme="minorHAnsi" w:cstheme="minorHAnsi"/>
          <w:sz w:val="22"/>
          <w:szCs w:val="22"/>
        </w:rPr>
        <w:t>:</w:t>
      </w:r>
    </w:p>
    <w:p w14:paraId="2A627A82" w14:textId="77777777" w:rsidR="00941666" w:rsidRPr="005E307B" w:rsidRDefault="0094655D" w:rsidP="00941666">
      <w:pPr>
        <w:tabs>
          <w:tab w:val="left" w:pos="851"/>
        </w:tabs>
        <w:ind w:right="60"/>
        <w:jc w:val="center"/>
        <w:rPr>
          <w:rFonts w:cstheme="minorHAnsi"/>
        </w:rPr>
      </w:pPr>
      <w:r w:rsidRPr="005E307B">
        <w:rPr>
          <w:rFonts w:cstheme="minorHAnsi"/>
          <w:position w:val="-30"/>
        </w:rPr>
        <w:object w:dxaOrig="1400" w:dyaOrig="720" w14:anchorId="1F0F7B84">
          <v:shape id="_x0000_i1028" type="#_x0000_t75" style="width:69.5pt;height:36pt" o:ole="" fillcolor="window">
            <v:imagedata r:id="rId14" o:title=""/>
          </v:shape>
          <o:OLEObject Type="Embed" ProgID="Equation.3" ShapeID="_x0000_i1028" DrawAspect="Content" ObjectID="_1800685075" r:id="rId15"/>
        </w:object>
      </w:r>
      <w:r w:rsidR="00941666" w:rsidRPr="005E307B">
        <w:rPr>
          <w:rFonts w:cstheme="minorHAnsi"/>
        </w:rPr>
        <w:t>.</w:t>
      </w:r>
    </w:p>
    <w:p w14:paraId="4043B1B7" w14:textId="77777777" w:rsidR="0094655D" w:rsidRPr="005E307B" w:rsidRDefault="0094655D" w:rsidP="00AE7B95">
      <w:pPr>
        <w:pStyle w:val="Antrat2"/>
        <w:numPr>
          <w:ilvl w:val="0"/>
          <w:numId w:val="5"/>
        </w:numPr>
        <w:tabs>
          <w:tab w:val="left" w:pos="851"/>
        </w:tabs>
        <w:ind w:left="0" w:firstLine="851"/>
        <w:rPr>
          <w:rFonts w:asciiTheme="minorHAnsi" w:hAnsiTheme="minorHAnsi" w:cstheme="minorHAnsi"/>
          <w:sz w:val="22"/>
          <w:szCs w:val="22"/>
        </w:rPr>
      </w:pPr>
      <w:r w:rsidRPr="005E307B">
        <w:rPr>
          <w:rFonts w:asciiTheme="minorHAnsi" w:hAnsiTheme="minorHAnsi" w:cstheme="minorHAnsi"/>
          <w:sz w:val="22"/>
          <w:szCs w:val="22"/>
        </w:rPr>
        <w:t>Kriterijaus parametro įvertinimas K2 apskaičiuojamas pasiūlyto prenumeruojamų leidinių skaičių (P</w:t>
      </w:r>
      <w:r w:rsidRPr="005E307B">
        <w:rPr>
          <w:rFonts w:asciiTheme="minorHAnsi" w:hAnsiTheme="minorHAnsi" w:cstheme="minorHAnsi"/>
          <w:sz w:val="22"/>
          <w:szCs w:val="22"/>
          <w:vertAlign w:val="subscript"/>
        </w:rPr>
        <w:t>p</w:t>
      </w:r>
      <w:r w:rsidRPr="005E307B">
        <w:rPr>
          <w:rFonts w:asciiTheme="minorHAnsi" w:hAnsiTheme="minorHAnsi" w:cstheme="minorHAnsi"/>
          <w:sz w:val="22"/>
          <w:szCs w:val="22"/>
        </w:rPr>
        <w:t xml:space="preserve">) </w:t>
      </w:r>
      <w:r w:rsidR="00781D68" w:rsidRPr="005E307B">
        <w:rPr>
          <w:rFonts w:asciiTheme="minorHAnsi" w:hAnsiTheme="minorHAnsi" w:cstheme="minorHAnsi"/>
          <w:sz w:val="22"/>
          <w:szCs w:val="22"/>
        </w:rPr>
        <w:t>ir</w:t>
      </w:r>
      <w:r w:rsidRPr="005E307B">
        <w:rPr>
          <w:rFonts w:asciiTheme="minorHAnsi" w:hAnsiTheme="minorHAnsi" w:cstheme="minorHAnsi"/>
          <w:sz w:val="22"/>
          <w:szCs w:val="22"/>
        </w:rPr>
        <w:t xml:space="preserve"> di</w:t>
      </w:r>
      <w:r w:rsidR="00781D68" w:rsidRPr="005E307B">
        <w:rPr>
          <w:rFonts w:asciiTheme="minorHAnsi" w:hAnsiTheme="minorHAnsi" w:cstheme="minorHAnsi"/>
          <w:sz w:val="22"/>
          <w:szCs w:val="22"/>
        </w:rPr>
        <w:t>džiausio</w:t>
      </w:r>
      <w:r w:rsidRPr="005E307B">
        <w:rPr>
          <w:rFonts w:asciiTheme="minorHAnsi" w:hAnsiTheme="minorHAnsi" w:cstheme="minorHAnsi"/>
          <w:sz w:val="22"/>
          <w:szCs w:val="22"/>
        </w:rPr>
        <w:t xml:space="preserve"> pasiūly</w:t>
      </w:r>
      <w:r w:rsidR="00781D68" w:rsidRPr="005E307B">
        <w:rPr>
          <w:rFonts w:asciiTheme="minorHAnsi" w:hAnsiTheme="minorHAnsi" w:cstheme="minorHAnsi"/>
          <w:sz w:val="22"/>
          <w:szCs w:val="22"/>
        </w:rPr>
        <w:t>to</w:t>
      </w:r>
      <w:r w:rsidRPr="005E307B">
        <w:rPr>
          <w:rFonts w:asciiTheme="minorHAnsi" w:hAnsiTheme="minorHAnsi" w:cstheme="minorHAnsi"/>
          <w:sz w:val="22"/>
          <w:szCs w:val="22"/>
        </w:rPr>
        <w:t xml:space="preserve"> </w:t>
      </w:r>
      <w:r w:rsidR="00781D68" w:rsidRPr="005E307B">
        <w:rPr>
          <w:rFonts w:asciiTheme="minorHAnsi" w:hAnsiTheme="minorHAnsi" w:cstheme="minorHAnsi"/>
          <w:sz w:val="22"/>
          <w:szCs w:val="22"/>
        </w:rPr>
        <w:t>prenumeruojamų leidinių skaičiaus</w:t>
      </w:r>
      <w:r w:rsidRPr="005E307B">
        <w:rPr>
          <w:rFonts w:asciiTheme="minorHAnsi" w:hAnsiTheme="minorHAnsi" w:cstheme="minorHAnsi"/>
          <w:sz w:val="22"/>
          <w:szCs w:val="22"/>
        </w:rPr>
        <w:t xml:space="preserve"> (P</w:t>
      </w:r>
      <w:r w:rsidRPr="005E307B">
        <w:rPr>
          <w:rFonts w:asciiTheme="minorHAnsi" w:hAnsiTheme="minorHAnsi" w:cstheme="minorHAnsi"/>
          <w:sz w:val="22"/>
          <w:szCs w:val="22"/>
          <w:vertAlign w:val="subscript"/>
        </w:rPr>
        <w:t>max</w:t>
      </w:r>
      <w:r w:rsidRPr="005E307B">
        <w:rPr>
          <w:rFonts w:asciiTheme="minorHAnsi" w:hAnsiTheme="minorHAnsi" w:cstheme="minorHAnsi"/>
          <w:sz w:val="22"/>
          <w:szCs w:val="22"/>
        </w:rPr>
        <w:t>)</w:t>
      </w:r>
      <w:r w:rsidR="00781D68" w:rsidRPr="005E307B">
        <w:rPr>
          <w:rFonts w:asciiTheme="minorHAnsi" w:hAnsiTheme="minorHAnsi" w:cstheme="minorHAnsi"/>
          <w:sz w:val="22"/>
          <w:szCs w:val="22"/>
        </w:rPr>
        <w:t xml:space="preserve"> santykį</w:t>
      </w:r>
      <w:r w:rsidRPr="005E307B">
        <w:rPr>
          <w:rFonts w:asciiTheme="minorHAnsi" w:hAnsiTheme="minorHAnsi" w:cstheme="minorHAnsi"/>
          <w:sz w:val="22"/>
          <w:szCs w:val="22"/>
        </w:rPr>
        <w:t xml:space="preserve"> padauginant iš vertinamo kriterijaus parametro lyginamojo svorio (L2):</w:t>
      </w:r>
    </w:p>
    <w:p w14:paraId="000590C7" w14:textId="77777777" w:rsidR="0094655D" w:rsidRDefault="0094655D" w:rsidP="0094655D">
      <w:pPr>
        <w:tabs>
          <w:tab w:val="left" w:pos="851"/>
        </w:tabs>
        <w:ind w:right="60"/>
        <w:jc w:val="center"/>
        <w:rPr>
          <w:rFonts w:cstheme="minorHAnsi"/>
        </w:rPr>
      </w:pPr>
      <w:r w:rsidRPr="005E307B">
        <w:rPr>
          <w:rFonts w:cstheme="minorHAnsi"/>
          <w:position w:val="-30"/>
        </w:rPr>
        <w:object w:dxaOrig="1480" w:dyaOrig="720" w14:anchorId="30023D04">
          <v:shape id="_x0000_i1029" type="#_x0000_t75" style="width:73.5pt;height:36pt" o:ole="" fillcolor="window">
            <v:imagedata r:id="rId16" o:title=""/>
          </v:shape>
          <o:OLEObject Type="Embed" ProgID="Equation.3" ShapeID="_x0000_i1029" DrawAspect="Content" ObjectID="_1800685076" r:id="rId17"/>
        </w:object>
      </w:r>
      <w:r w:rsidRPr="005E307B">
        <w:rPr>
          <w:rFonts w:cstheme="minorHAnsi"/>
        </w:rPr>
        <w:t>.</w:t>
      </w:r>
    </w:p>
    <w:p w14:paraId="362116D5" w14:textId="77777777" w:rsidR="005B4620" w:rsidRDefault="005B4620" w:rsidP="005B4620">
      <w:pPr>
        <w:tabs>
          <w:tab w:val="left" w:pos="851"/>
        </w:tabs>
        <w:spacing w:after="0" w:line="240" w:lineRule="auto"/>
        <w:ind w:firstLine="851"/>
        <w:jc w:val="center"/>
        <w:rPr>
          <w:rFonts w:cstheme="minorHAnsi"/>
        </w:rPr>
      </w:pPr>
    </w:p>
    <w:p w14:paraId="615EE2E5" w14:textId="5F08405F" w:rsidR="005B4620" w:rsidRDefault="005B4620" w:rsidP="005B4620">
      <w:pPr>
        <w:pStyle w:val="Sraopastraipa"/>
        <w:numPr>
          <w:ilvl w:val="0"/>
          <w:numId w:val="5"/>
        </w:numPr>
        <w:tabs>
          <w:tab w:val="left" w:pos="709"/>
        </w:tabs>
        <w:spacing w:after="0" w:line="240" w:lineRule="auto"/>
        <w:ind w:left="0" w:firstLine="851"/>
        <w:jc w:val="both"/>
      </w:pPr>
      <w:r>
        <w:t>K</w:t>
      </w:r>
      <w:r w:rsidRPr="00E76ECD">
        <w:t>artu su pasiūlymu privalo pateikti</w:t>
      </w:r>
      <w:r>
        <w:t xml:space="preserve"> </w:t>
      </w:r>
      <w:r w:rsidRPr="00DE6121">
        <w:t xml:space="preserve">patvirtinimą, kad </w:t>
      </w:r>
      <w:r w:rsidRPr="00FB6CF1">
        <w:t>prekei pagaminti, paslaugai teikti ar darbams atlikti naudojama mažiau ar nenaudojama pavojingųjų cheminių medžiagų, neteršiama aplinka ir nekeliamas pavojus sveikatai</w:t>
      </w:r>
      <w:r>
        <w:t xml:space="preserve"> (</w:t>
      </w:r>
      <w:r w:rsidRPr="00A577DB">
        <w:rPr>
          <w:rFonts w:eastAsia="Calibri" w:cstheme="minorHAnsi"/>
        </w:rPr>
        <w:t xml:space="preserve">specialiųjų pirkimo sąlygų </w:t>
      </w:r>
      <w:r>
        <w:t>2 priedo 1 priedas);</w:t>
      </w:r>
    </w:p>
    <w:p w14:paraId="10334FE6" w14:textId="3FF0CBC7" w:rsidR="005B4620" w:rsidRPr="00DE17A3" w:rsidRDefault="005B4620" w:rsidP="005B4620">
      <w:pPr>
        <w:pStyle w:val="Sraopastraipa"/>
        <w:numPr>
          <w:ilvl w:val="0"/>
          <w:numId w:val="5"/>
        </w:numPr>
        <w:tabs>
          <w:tab w:val="left" w:pos="993"/>
        </w:tabs>
        <w:spacing w:after="0" w:line="240" w:lineRule="auto"/>
        <w:ind w:left="0" w:firstLine="851"/>
        <w:jc w:val="both"/>
        <w:rPr>
          <w:rFonts w:eastAsia="Calibri" w:cstheme="minorHAnsi"/>
          <w:color w:val="FF0000"/>
        </w:rPr>
      </w:pPr>
      <w:r w:rsidRPr="00AE7B95">
        <w:rPr>
          <w:iCs/>
        </w:rPr>
        <w:t xml:space="preserve">Tiekėjai, </w:t>
      </w:r>
      <w:r w:rsidRPr="00DE17A3">
        <w:rPr>
          <w:iCs/>
        </w:rPr>
        <w:t xml:space="preserve">kartu su pasiūlymu privalo pateikti </w:t>
      </w:r>
      <w:r w:rsidRPr="00DE17A3">
        <w:rPr>
          <w:rFonts w:cstheme="minorHAnsi"/>
        </w:rPr>
        <w:t>nustatytus tiekėjų kvalifikacijos reikalavimų atitiktį patvirtinančius dokumentus</w:t>
      </w:r>
      <w:r w:rsidRPr="00DE17A3">
        <w:rPr>
          <w:rFonts w:eastAsia="Calibri" w:cstheme="minorHAnsi"/>
        </w:rPr>
        <w:t xml:space="preserve"> (specialiųjų pirkimo sąlygų 4 priedas)</w:t>
      </w:r>
      <w:r w:rsidRPr="00DE17A3">
        <w:rPr>
          <w:rFonts w:cstheme="minorHAnsi"/>
        </w:rPr>
        <w:t>.</w:t>
      </w:r>
      <w:r w:rsidRPr="00DE17A3">
        <w:t xml:space="preserve"> Nepateikus </w:t>
      </w:r>
      <w:r w:rsidRPr="00DE17A3">
        <w:rPr>
          <w:rFonts w:cstheme="minorHAnsi"/>
        </w:rPr>
        <w:t>nustatytų tiekėjų kvalifikacijos reikalavimų atitiktį patvirtinančių dokumentų kartu su pasiūlymu</w:t>
      </w:r>
      <w:r w:rsidRPr="00DE17A3">
        <w:t>,</w:t>
      </w:r>
      <w:r w:rsidRPr="00DE17A3">
        <w:rPr>
          <w:rFonts w:cstheme="minorHAnsi"/>
        </w:rPr>
        <w:t xml:space="preserve"> vadovaujantis Lietuvos Respublikos viešųjų pirkimų įstatymo 45 straipsnio 1 dalies 3 punkto ir specialiųjų pirkimo sąlygų 9.3. punkto nuostatomis, tiekėjų pasiūlymai bus laikomi nepriimtini ir perkančiosios organizacijos atmesti.</w:t>
      </w:r>
    </w:p>
    <w:p w14:paraId="74FD61F7" w14:textId="77777777" w:rsidR="005B4620" w:rsidRDefault="005B4620" w:rsidP="005B4620">
      <w:pPr>
        <w:tabs>
          <w:tab w:val="left" w:pos="851"/>
        </w:tabs>
        <w:ind w:right="60"/>
        <w:rPr>
          <w:rFonts w:cstheme="minorHAnsi"/>
        </w:rPr>
      </w:pPr>
    </w:p>
    <w:p w14:paraId="69BEA1AC" w14:textId="2869E612" w:rsidR="006F1314" w:rsidRPr="005E307B" w:rsidRDefault="006F1314" w:rsidP="0094655D">
      <w:pPr>
        <w:tabs>
          <w:tab w:val="left" w:pos="851"/>
        </w:tabs>
        <w:ind w:right="60"/>
        <w:jc w:val="center"/>
        <w:rPr>
          <w:rFonts w:cstheme="minorHAnsi"/>
        </w:rPr>
      </w:pPr>
      <w:r>
        <w:rPr>
          <w:rFonts w:cstheme="minorHAnsi"/>
        </w:rPr>
        <w:t>__________________________</w:t>
      </w:r>
    </w:p>
    <w:p w14:paraId="56CCB1F9" w14:textId="77777777" w:rsidR="00743BD6" w:rsidRPr="00743BD6" w:rsidRDefault="00743BD6">
      <w:pPr>
        <w:rPr>
          <w:rFonts w:ascii="Times New Roman" w:hAnsi="Times New Roman" w:cs="Times New Roman"/>
        </w:rPr>
      </w:pPr>
    </w:p>
    <w:sectPr w:rsidR="00743BD6" w:rsidRPr="00743BD6" w:rsidSect="00B11C05">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4EE1" w14:textId="77777777" w:rsidR="007029F4" w:rsidRDefault="007029F4" w:rsidP="00964CDE">
      <w:pPr>
        <w:spacing w:after="0" w:line="240" w:lineRule="auto"/>
      </w:pPr>
      <w:r>
        <w:separator/>
      </w:r>
    </w:p>
  </w:endnote>
  <w:endnote w:type="continuationSeparator" w:id="0">
    <w:p w14:paraId="2FD37BB3" w14:textId="77777777" w:rsidR="007029F4" w:rsidRDefault="007029F4" w:rsidP="0096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A20C" w14:textId="77777777" w:rsidR="007029F4" w:rsidRDefault="007029F4" w:rsidP="00964CDE">
      <w:pPr>
        <w:spacing w:after="0" w:line="240" w:lineRule="auto"/>
      </w:pPr>
      <w:r>
        <w:separator/>
      </w:r>
    </w:p>
  </w:footnote>
  <w:footnote w:type="continuationSeparator" w:id="0">
    <w:p w14:paraId="1A4A4E42" w14:textId="77777777" w:rsidR="007029F4" w:rsidRDefault="007029F4" w:rsidP="00964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525CAC"/>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EB4242F"/>
    <w:multiLevelType w:val="multilevel"/>
    <w:tmpl w:val="AC02682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374B7D"/>
    <w:multiLevelType w:val="hybridMultilevel"/>
    <w:tmpl w:val="14F8BDBA"/>
    <w:lvl w:ilvl="0" w:tplc="14A0ADE0">
      <w:start w:val="1"/>
      <w:numFmt w:val="decimal"/>
      <w:lvlText w:val="%1."/>
      <w:lvlJc w:val="left"/>
      <w:pPr>
        <w:ind w:left="720" w:hanging="360"/>
      </w:pPr>
      <w:rPr>
        <w:rFonts w:cs="Times New Roman" w:hint="default"/>
        <w:b w:val="0"/>
        <w:bCs/>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7A2902"/>
    <w:multiLevelType w:val="hybridMultilevel"/>
    <w:tmpl w:val="3692E480"/>
    <w:lvl w:ilvl="0" w:tplc="6156A8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B587E4B"/>
    <w:multiLevelType w:val="hybridMultilevel"/>
    <w:tmpl w:val="3692E480"/>
    <w:lvl w:ilvl="0" w:tplc="6156A8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1804130"/>
    <w:multiLevelType w:val="hybridMultilevel"/>
    <w:tmpl w:val="2C480C28"/>
    <w:lvl w:ilvl="0" w:tplc="C6A8940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BB142F"/>
    <w:multiLevelType w:val="multilevel"/>
    <w:tmpl w:val="3D5C8394"/>
    <w:lvl w:ilvl="0">
      <w:start w:val="1"/>
      <w:numFmt w:val="decimal"/>
      <w:pStyle w:val="Antrate1"/>
      <w:lvlText w:val="%1."/>
      <w:lvlJc w:val="left"/>
      <w:pPr>
        <w:ind w:left="360" w:hanging="360"/>
      </w:pPr>
      <w:rPr>
        <w:rFonts w:hint="default"/>
        <w:b/>
        <w:color w:val="auto"/>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0A35A79"/>
    <w:multiLevelType w:val="multilevel"/>
    <w:tmpl w:val="2C006264"/>
    <w:lvl w:ilvl="0">
      <w:start w:val="1"/>
      <w:numFmt w:val="decimal"/>
      <w:suff w:val="space"/>
      <w:lvlText w:val="%1."/>
      <w:lvlJc w:val="left"/>
      <w:pPr>
        <w:ind w:left="0" w:firstLine="720"/>
      </w:pPr>
      <w:rPr>
        <w:rFonts w:ascii="Times New Roman" w:eastAsiaTheme="minorHAnsi" w:hAnsi="Times New Roman" w:cs="Times New Roman"/>
      </w:rPr>
    </w:lvl>
    <w:lvl w:ilvl="1">
      <w:start w:val="1"/>
      <w:numFmt w:val="lowerLetter"/>
      <w:suff w:val="space"/>
      <w:lvlText w:val="%2)"/>
      <w:lvlJc w:val="left"/>
      <w:pPr>
        <w:ind w:left="0" w:firstLine="72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96D0B68"/>
    <w:multiLevelType w:val="multilevel"/>
    <w:tmpl w:val="7C1A70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720" w:firstLine="720"/>
      </w:pPr>
      <w:rPr>
        <w:b w:val="0"/>
        <w:i w:val="0"/>
      </w:rPr>
    </w:lvl>
    <w:lvl w:ilvl="2">
      <w:start w:val="1"/>
      <w:numFmt w:val="decimal"/>
      <w:pStyle w:val="Antrat3"/>
      <w:suff w:val="space"/>
      <w:lvlText w:val="%1.%2.%3."/>
      <w:lvlJc w:val="left"/>
      <w:pPr>
        <w:ind w:left="-72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17068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736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359193">
    <w:abstractNumId w:val="4"/>
  </w:num>
  <w:num w:numId="4" w16cid:durableId="1513107886">
    <w:abstractNumId w:val="3"/>
  </w:num>
  <w:num w:numId="5" w16cid:durableId="1048263932">
    <w:abstractNumId w:val="5"/>
  </w:num>
  <w:num w:numId="6" w16cid:durableId="333919152">
    <w:abstractNumId w:val="6"/>
  </w:num>
  <w:num w:numId="7" w16cid:durableId="1975676249">
    <w:abstractNumId w:val="1"/>
  </w:num>
  <w:num w:numId="8" w16cid:durableId="1948006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98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D6"/>
    <w:rsid w:val="00057685"/>
    <w:rsid w:val="0011150A"/>
    <w:rsid w:val="00117835"/>
    <w:rsid w:val="0012201B"/>
    <w:rsid w:val="001B012A"/>
    <w:rsid w:val="00241871"/>
    <w:rsid w:val="0025021F"/>
    <w:rsid w:val="002F4B38"/>
    <w:rsid w:val="003514DD"/>
    <w:rsid w:val="003B7BA8"/>
    <w:rsid w:val="003E2FEA"/>
    <w:rsid w:val="003E378C"/>
    <w:rsid w:val="0045763E"/>
    <w:rsid w:val="004D47B3"/>
    <w:rsid w:val="00515B0F"/>
    <w:rsid w:val="005620AD"/>
    <w:rsid w:val="0057073B"/>
    <w:rsid w:val="0058341C"/>
    <w:rsid w:val="0059479C"/>
    <w:rsid w:val="005B4620"/>
    <w:rsid w:val="005E307B"/>
    <w:rsid w:val="005F40A6"/>
    <w:rsid w:val="005F6E61"/>
    <w:rsid w:val="00641E61"/>
    <w:rsid w:val="00687509"/>
    <w:rsid w:val="006D1EA1"/>
    <w:rsid w:val="006F1314"/>
    <w:rsid w:val="0070004A"/>
    <w:rsid w:val="00700A88"/>
    <w:rsid w:val="007029F4"/>
    <w:rsid w:val="00711443"/>
    <w:rsid w:val="007236CD"/>
    <w:rsid w:val="00740477"/>
    <w:rsid w:val="00743BD6"/>
    <w:rsid w:val="00781749"/>
    <w:rsid w:val="00781D68"/>
    <w:rsid w:val="007A7B14"/>
    <w:rsid w:val="007B1107"/>
    <w:rsid w:val="007B7FD9"/>
    <w:rsid w:val="007D68FB"/>
    <w:rsid w:val="007E64BB"/>
    <w:rsid w:val="0084023C"/>
    <w:rsid w:val="008B7BB2"/>
    <w:rsid w:val="008C250C"/>
    <w:rsid w:val="009026BB"/>
    <w:rsid w:val="00937508"/>
    <w:rsid w:val="00941666"/>
    <w:rsid w:val="00943000"/>
    <w:rsid w:val="0094655D"/>
    <w:rsid w:val="00964CDE"/>
    <w:rsid w:val="009D24FA"/>
    <w:rsid w:val="009D5193"/>
    <w:rsid w:val="009F7EA1"/>
    <w:rsid w:val="00AE7B95"/>
    <w:rsid w:val="00AF16F3"/>
    <w:rsid w:val="00AF4FC3"/>
    <w:rsid w:val="00B11C05"/>
    <w:rsid w:val="00B27821"/>
    <w:rsid w:val="00B83E85"/>
    <w:rsid w:val="00C021BD"/>
    <w:rsid w:val="00C22790"/>
    <w:rsid w:val="00C24FB0"/>
    <w:rsid w:val="00C9177A"/>
    <w:rsid w:val="00CB777C"/>
    <w:rsid w:val="00D0035E"/>
    <w:rsid w:val="00D31249"/>
    <w:rsid w:val="00DE17A3"/>
    <w:rsid w:val="00E2225F"/>
    <w:rsid w:val="00E626D2"/>
    <w:rsid w:val="00E63B9D"/>
    <w:rsid w:val="00EA72A5"/>
    <w:rsid w:val="00EF3A25"/>
    <w:rsid w:val="00F6784A"/>
    <w:rsid w:val="00F777A4"/>
    <w:rsid w:val="00F9480F"/>
    <w:rsid w:val="00FB4CA7"/>
    <w:rsid w:val="00FE6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43A4591"/>
  <w15:docId w15:val="{8CC64A4B-C47E-4D13-9DC2-AD6DDCD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25F"/>
  </w:style>
  <w:style w:type="paragraph" w:styleId="Antrat1">
    <w:name w:val="heading 1"/>
    <w:basedOn w:val="prastasis"/>
    <w:next w:val="prastasis"/>
    <w:link w:val="Antrat1Diagrama"/>
    <w:qFormat/>
    <w:rsid w:val="00941666"/>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basedOn w:val="prastasis"/>
    <w:next w:val="prastasis"/>
    <w:link w:val="Antrat2Diagrama"/>
    <w:semiHidden/>
    <w:unhideWhenUsed/>
    <w:qFormat/>
    <w:rsid w:val="00941666"/>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semiHidden/>
    <w:unhideWhenUsed/>
    <w:qFormat/>
    <w:rsid w:val="00941666"/>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semiHidden/>
    <w:unhideWhenUsed/>
    <w:qFormat/>
    <w:rsid w:val="00941666"/>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semiHidden/>
    <w:unhideWhenUsed/>
    <w:qFormat/>
    <w:rsid w:val="00941666"/>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941666"/>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941666"/>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941666"/>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semiHidden/>
    <w:unhideWhenUsed/>
    <w:qFormat/>
    <w:rsid w:val="00941666"/>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43BD6"/>
    <w:pPr>
      <w:ind w:left="720"/>
      <w:contextualSpacing/>
    </w:pPr>
  </w:style>
  <w:style w:type="paragraph" w:styleId="Antrats">
    <w:name w:val="header"/>
    <w:basedOn w:val="prastasis"/>
    <w:link w:val="AntratsDiagrama"/>
    <w:unhideWhenUsed/>
    <w:rsid w:val="00964CDE"/>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964CDE"/>
  </w:style>
  <w:style w:type="paragraph" w:styleId="Porat">
    <w:name w:val="footer"/>
    <w:basedOn w:val="prastasis"/>
    <w:link w:val="PoratDiagrama"/>
    <w:uiPriority w:val="99"/>
    <w:unhideWhenUsed/>
    <w:rsid w:val="00964C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4CDE"/>
  </w:style>
  <w:style w:type="character" w:customStyle="1" w:styleId="Antrat1Diagrama">
    <w:name w:val="Antraštė 1 Diagrama"/>
    <w:basedOn w:val="Numatytasispastraiposriftas"/>
    <w:link w:val="Antrat1"/>
    <w:rsid w:val="00941666"/>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semiHidden/>
    <w:rsid w:val="00941666"/>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semiHidden/>
    <w:rsid w:val="00941666"/>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semiHidden/>
    <w:rsid w:val="00941666"/>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94166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94166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94166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94166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94166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semiHidden/>
    <w:unhideWhenUsed/>
    <w:rsid w:val="009465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655D"/>
    <w:rPr>
      <w:rFonts w:ascii="Tahoma" w:hAnsi="Tahoma" w:cs="Tahoma"/>
      <w:sz w:val="16"/>
      <w:szCs w:val="16"/>
    </w:rPr>
  </w:style>
  <w:style w:type="paragraph" w:customStyle="1" w:styleId="Antrate1">
    <w:name w:val="Antrašte 1"/>
    <w:basedOn w:val="Sraopastraipa"/>
    <w:link w:val="Antrate1Diagrama"/>
    <w:qFormat/>
    <w:rsid w:val="009026BB"/>
    <w:pPr>
      <w:numPr>
        <w:numId w:val="6"/>
      </w:numPr>
      <w:spacing w:after="0" w:line="240" w:lineRule="auto"/>
      <w:jc w:val="both"/>
      <w:outlineLvl w:val="0"/>
    </w:pPr>
    <w:rPr>
      <w:rFonts w:ascii="Times New Roman" w:eastAsia="Calibri" w:hAnsi="Times New Roman" w:cs="Times New Roman"/>
      <w:b/>
      <w:lang w:val="x-none" w:eastAsia="x-none"/>
    </w:rPr>
  </w:style>
  <w:style w:type="character" w:customStyle="1" w:styleId="Antrate1Diagrama">
    <w:name w:val="Antrašte 1 Diagrama"/>
    <w:link w:val="Antrate1"/>
    <w:rsid w:val="009026BB"/>
    <w:rPr>
      <w:rFonts w:ascii="Times New Roman" w:eastAsia="Calibri" w:hAnsi="Times New Roman" w:cs="Times New Roman"/>
      <w:b/>
      <w:lang w:val="x-none" w:eastAsia="x-none"/>
    </w:rPr>
  </w:style>
  <w:style w:type="paragraph" w:customStyle="1" w:styleId="Default">
    <w:name w:val="Default"/>
    <w:rsid w:val="003E378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40A6"/>
  </w:style>
  <w:style w:type="character" w:styleId="Grietas">
    <w:name w:val="Strong"/>
    <w:basedOn w:val="Numatytasispastraiposriftas"/>
    <w:uiPriority w:val="99"/>
    <w:qFormat/>
    <w:rsid w:val="005F4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AE37-C0B7-46A2-AC06-FD03B61D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3037</Words>
  <Characters>1732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Almat</dc:creator>
  <cp:lastModifiedBy>irina.kumslytiene@mazeikiai.lt</cp:lastModifiedBy>
  <cp:revision>32</cp:revision>
  <cp:lastPrinted>2024-01-31T09:16:00Z</cp:lastPrinted>
  <dcterms:created xsi:type="dcterms:W3CDTF">2025-02-05T09:40:00Z</dcterms:created>
  <dcterms:modified xsi:type="dcterms:W3CDTF">2025-02-10T07:30:00Z</dcterms:modified>
</cp:coreProperties>
</file>