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014586" w:rsidP="0001458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14586">
        <w:rPr>
          <w:b/>
          <w:bCs/>
        </w:rPr>
        <w:t xml:space="preserve">MAŽOS VERTĖS </w:t>
      </w:r>
      <w:r w:rsidR="009A265C">
        <w:rPr>
          <w:b/>
          <w:bCs/>
        </w:rPr>
        <w:t xml:space="preserve">VIEŠOJO PIRKIMO DĖL </w:t>
      </w:r>
      <w:r w:rsidR="007C046B">
        <w:rPr>
          <w:b/>
          <w:bCs/>
        </w:rPr>
        <w:t xml:space="preserve">BIOTUALETŲ NUOMOS, PRIEŽIŪROS IR VALYMO </w:t>
      </w:r>
      <w:r w:rsidR="009A265C" w:rsidRPr="009A265C">
        <w:rPr>
          <w:b/>
          <w:bCs/>
        </w:rPr>
        <w:t xml:space="preserve"> </w:t>
      </w:r>
      <w:r w:rsidR="007C046B">
        <w:rPr>
          <w:b/>
          <w:bCs/>
        </w:rPr>
        <w:t>PASLAUGŲ</w:t>
      </w: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SKELBIAMA APKLAUSA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31BE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>
        <w:rPr>
          <w:bCs/>
        </w:rPr>
        <w:t>mų katalogu, nes tokių paslaugų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910D54" w:rsidRDefault="00D26DB1" w:rsidP="00CC528A">
      <w:pPr>
        <w:pStyle w:val="NormalWeb"/>
        <w:spacing w:before="0" w:beforeAutospacing="0" w:after="0" w:afterAutospacing="0"/>
        <w:jc w:val="both"/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910D54">
        <w:rPr>
          <w:bCs/>
        </w:rPr>
        <w:t>o patvirtinimo“ 4 punkto 4.3.</w:t>
      </w:r>
      <w:r w:rsidR="00E0499B">
        <w:rPr>
          <w:bCs/>
        </w:rPr>
        <w:t xml:space="preserve"> papunkčio sąlygą</w:t>
      </w:r>
      <w:r w:rsidRPr="00D26DB1">
        <w:rPr>
          <w:bCs/>
        </w:rPr>
        <w:t xml:space="preserve">. </w:t>
      </w:r>
      <w:r w:rsidR="00910D54">
        <w:t>Nėra produktų sąraše, bet perkamai paslaugai ar darbui tiekėjas taiko aplinkos apsaugos vadybos sistemos reikalavimus pagal standartą LST EN ISO 14001 „Aplinkos vadybos sistemos. Reikalavimai ir naudojimo gairės“ (toliau – LST EN ISO 14001)</w:t>
      </w:r>
    </w:p>
    <w:p w:rsidR="00D26DB1" w:rsidRDefault="00910D54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 </w:t>
      </w:r>
      <w:r w:rsidR="00B963EE">
        <w:rPr>
          <w:bCs/>
        </w:rPr>
        <w:t>1.5</w:t>
      </w:r>
      <w:r w:rsidR="00B963EE"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B963EE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1735F5" w:rsidRPr="001735F5">
        <w:rPr>
          <w:b/>
          <w:bCs/>
        </w:rPr>
        <w:t xml:space="preserve"> </w:t>
      </w:r>
      <w:r w:rsidR="00910D54" w:rsidRPr="00910D54">
        <w:rPr>
          <w:b/>
          <w:color w:val="000000"/>
          <w:lang w:eastAsia="en-US"/>
        </w:rPr>
        <w:t>6 vnt. biotualetų nuomos, priežiūros ir valymo paslaugas</w:t>
      </w:r>
      <w:r w:rsidR="00910D54">
        <w:rPr>
          <w:color w:val="000000"/>
          <w:lang w:eastAsia="en-US"/>
        </w:rPr>
        <w:t xml:space="preserve"> (Lietuvos kariuomenės KASP-6 padalinyje, </w:t>
      </w:r>
      <w:proofErr w:type="spellStart"/>
      <w:r w:rsidR="00910D54">
        <w:rPr>
          <w:color w:val="000000"/>
          <w:lang w:eastAsia="en-US"/>
        </w:rPr>
        <w:t>Užmarkijos</w:t>
      </w:r>
      <w:proofErr w:type="spellEnd"/>
      <w:r w:rsidR="00910D54">
        <w:rPr>
          <w:color w:val="000000"/>
          <w:lang w:eastAsia="en-US"/>
        </w:rPr>
        <w:t xml:space="preserve"> k. 3 D, Telšių r. (Divizijos generolo Edvardo </w:t>
      </w:r>
      <w:proofErr w:type="spellStart"/>
      <w:r w:rsidR="00910D54">
        <w:rPr>
          <w:color w:val="000000"/>
          <w:lang w:eastAsia="en-US"/>
        </w:rPr>
        <w:t>Adamkevičiaus</w:t>
      </w:r>
      <w:proofErr w:type="spellEnd"/>
      <w:r w:rsidR="00910D54">
        <w:rPr>
          <w:color w:val="000000"/>
          <w:lang w:eastAsia="en-US"/>
        </w:rPr>
        <w:t xml:space="preserve"> poligonas) ir KASP-6 padalinyje, Strazdų k. 3, Šiaulių </w:t>
      </w:r>
      <w:proofErr w:type="spellStart"/>
      <w:r w:rsidR="00910D54">
        <w:rPr>
          <w:color w:val="000000"/>
          <w:lang w:eastAsia="en-US"/>
        </w:rPr>
        <w:t>r.sav</w:t>
      </w:r>
      <w:proofErr w:type="spellEnd"/>
      <w:r w:rsidR="00910D54">
        <w:rPr>
          <w:color w:val="000000"/>
          <w:lang w:eastAsia="en-US"/>
        </w:rPr>
        <w:t xml:space="preserve">.) ir </w:t>
      </w:r>
      <w:r w:rsidR="00910D54" w:rsidRPr="00910D54">
        <w:rPr>
          <w:b/>
          <w:color w:val="000000"/>
          <w:lang w:eastAsia="en-US"/>
        </w:rPr>
        <w:t>2 vnt. biotualetų priežiūros ir valymo paslaugas</w:t>
      </w:r>
      <w:r w:rsidR="00910D54">
        <w:rPr>
          <w:color w:val="000000"/>
          <w:lang w:eastAsia="en-US"/>
        </w:rPr>
        <w:t xml:space="preserve"> (Lietuvos kariuomenės KASP-6 padalinyje, </w:t>
      </w:r>
      <w:proofErr w:type="spellStart"/>
      <w:r w:rsidR="00910D54">
        <w:rPr>
          <w:color w:val="000000"/>
          <w:lang w:eastAsia="en-US"/>
        </w:rPr>
        <w:t>Užmarkijos</w:t>
      </w:r>
      <w:proofErr w:type="spellEnd"/>
      <w:r w:rsidR="00910D54">
        <w:rPr>
          <w:color w:val="000000"/>
          <w:lang w:eastAsia="en-US"/>
        </w:rPr>
        <w:t xml:space="preserve"> k. 3 D, Telšių r. (Divizijos generolo Edvardo </w:t>
      </w:r>
      <w:proofErr w:type="spellStart"/>
      <w:r w:rsidR="00910D54">
        <w:rPr>
          <w:color w:val="000000"/>
          <w:lang w:eastAsia="en-US"/>
        </w:rPr>
        <w:t>Adamkevičiaus</w:t>
      </w:r>
      <w:proofErr w:type="spellEnd"/>
      <w:r w:rsidR="00910D54">
        <w:rPr>
          <w:color w:val="000000"/>
          <w:lang w:eastAsia="en-US"/>
        </w:rPr>
        <w:t xml:space="preserve"> poligonas) ir KASP-6 padalinyje, Strazdų k. 3, Šiaulių </w:t>
      </w:r>
      <w:proofErr w:type="spellStart"/>
      <w:r w:rsidR="00910D54">
        <w:rPr>
          <w:color w:val="000000"/>
          <w:lang w:eastAsia="en-US"/>
        </w:rPr>
        <w:t>r.sav</w:t>
      </w:r>
      <w:proofErr w:type="spellEnd"/>
      <w:r w:rsidR="00910D54">
        <w:rPr>
          <w:color w:val="000000"/>
          <w:lang w:eastAsia="en-US"/>
        </w:rPr>
        <w:t xml:space="preserve">.). </w:t>
      </w:r>
      <w:r w:rsidRPr="00B963EE">
        <w:rPr>
          <w:bCs/>
        </w:rPr>
        <w:t xml:space="preserve">Reikalavimai pirkimo objektui nustatyti specialiųjų pirkimo </w:t>
      </w:r>
      <w:r w:rsidR="00B71E96" w:rsidRPr="00CC2685">
        <w:rPr>
          <w:bCs/>
        </w:rPr>
        <w:t xml:space="preserve">sąlygų </w:t>
      </w:r>
      <w:r w:rsidR="00B71E96" w:rsidRPr="00CC2685">
        <w:rPr>
          <w:b/>
          <w:bCs/>
        </w:rPr>
        <w:t>7</w:t>
      </w:r>
      <w:r w:rsidRPr="00CC2685">
        <w:rPr>
          <w:b/>
          <w:bCs/>
        </w:rPr>
        <w:t xml:space="preserve"> priede.</w:t>
      </w:r>
    </w:p>
    <w:p w:rsidR="00B963EE" w:rsidRPr="00A767CF" w:rsidRDefault="00A767C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A767CF">
        <w:rPr>
          <w:bCs/>
        </w:rPr>
        <w:t xml:space="preserve">2.2. Pirkimo objektas į dalis neskaidomas. Pirkimo apimtys, reikalavimai ir techninė specifikacija apibrėžti specialiųjų pirkimo sąlygų </w:t>
      </w:r>
      <w:r w:rsidR="00B71E96" w:rsidRPr="00CC2685">
        <w:rPr>
          <w:b/>
          <w:bCs/>
        </w:rPr>
        <w:t>7</w:t>
      </w:r>
      <w:r w:rsidRPr="00CC2685">
        <w:rPr>
          <w:b/>
          <w:bCs/>
        </w:rPr>
        <w:t xml:space="preserve"> priede.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CC2685">
        <w:rPr>
          <w:b/>
          <w:bCs/>
        </w:rPr>
        <w:t>2</w:t>
      </w:r>
      <w:bookmarkStart w:id="0" w:name="_GoBack"/>
      <w:bookmarkEnd w:id="0"/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EF352B" w:rsidRPr="00EF352B">
        <w:rPr>
          <w:b/>
          <w:bCs/>
        </w:rPr>
        <w:t>8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D21EC4" w:rsidRPr="00D21EC4">
        <w:rPr>
          <w:b/>
          <w:bCs/>
        </w:rPr>
        <w:t>8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B963EE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 xml:space="preserve">5.1. CVP IS pasiūlymo lango eilutėje „Prisegti dokumentus“ pateikiamas tiekėjo pasirašytas pasiūlymas, parengtas pagal specialiųjų pirkimo </w:t>
      </w:r>
      <w:r w:rsidR="00B71E96" w:rsidRPr="00B71E96">
        <w:rPr>
          <w:bCs/>
        </w:rPr>
        <w:t xml:space="preserve">sąlygų </w:t>
      </w:r>
      <w:r w:rsidR="00B71E96" w:rsidRPr="00EF352B">
        <w:rPr>
          <w:b/>
          <w:bCs/>
        </w:rPr>
        <w:t>3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 ir pasiūlymo formoje nurodyti ir kiti, tiekėjo nuomone, būtini dokumentai (jų kopijos).</w:t>
      </w:r>
    </w:p>
    <w:p w:rsidR="0098180F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5.2.1. pateikiami kvalifikuotu elektroniniu parašu pasirašyti elektroninėmis priemonėmis suformuoti dokumentai;</w:t>
      </w:r>
    </w:p>
    <w:p w:rsidR="00B963EE" w:rsidRPr="0098180F" w:rsidRDefault="0098180F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98180F">
        <w:rPr>
          <w:bCs/>
        </w:rPr>
        <w:t>5.2.2.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Pr="005A3280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EF352B">
        <w:rPr>
          <w:b/>
          <w:bCs/>
        </w:rPr>
        <w:t>3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Pr="00C85BEA" w:rsidRDefault="00C85BEA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B71E96" w:rsidRPr="00EF352B">
        <w:rPr>
          <w:b/>
          <w:bCs/>
        </w:rPr>
        <w:t>5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E0" w:rsidRDefault="00831BE0" w:rsidP="008B40DB">
      <w:pPr>
        <w:spacing w:after="0" w:line="240" w:lineRule="auto"/>
      </w:pPr>
      <w:r>
        <w:separator/>
      </w:r>
    </w:p>
  </w:endnote>
  <w:endnote w:type="continuationSeparator" w:id="0">
    <w:p w:rsidR="00831BE0" w:rsidRDefault="00831BE0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6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E0" w:rsidRDefault="00831BE0" w:rsidP="008B40DB">
      <w:pPr>
        <w:spacing w:after="0" w:line="240" w:lineRule="auto"/>
      </w:pPr>
      <w:r>
        <w:separator/>
      </w:r>
    </w:p>
  </w:footnote>
  <w:footnote w:type="continuationSeparator" w:id="0">
    <w:p w:rsidR="00831BE0" w:rsidRDefault="00831BE0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5F5"/>
    <w:rsid w:val="00173B97"/>
    <w:rsid w:val="00173BCD"/>
    <w:rsid w:val="00182455"/>
    <w:rsid w:val="0019106A"/>
    <w:rsid w:val="00191B32"/>
    <w:rsid w:val="001D743A"/>
    <w:rsid w:val="001E533C"/>
    <w:rsid w:val="001E7CD2"/>
    <w:rsid w:val="001F3CF4"/>
    <w:rsid w:val="00204249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C0D19"/>
    <w:rsid w:val="002D17F0"/>
    <w:rsid w:val="002D394D"/>
    <w:rsid w:val="002E148D"/>
    <w:rsid w:val="00301F4F"/>
    <w:rsid w:val="0031556E"/>
    <w:rsid w:val="00315E87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502D7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46E2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46B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1BE0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10D54"/>
    <w:rsid w:val="00944CB3"/>
    <w:rsid w:val="00972CF8"/>
    <w:rsid w:val="0098180F"/>
    <w:rsid w:val="00981A03"/>
    <w:rsid w:val="009828C7"/>
    <w:rsid w:val="00982A0C"/>
    <w:rsid w:val="0099076C"/>
    <w:rsid w:val="009A265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1340"/>
    <w:rsid w:val="00C251A1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2685"/>
    <w:rsid w:val="00CC3E51"/>
    <w:rsid w:val="00CC4122"/>
    <w:rsid w:val="00CC46CC"/>
    <w:rsid w:val="00CC528A"/>
    <w:rsid w:val="00CD12FF"/>
    <w:rsid w:val="00CD1BAB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7EC4"/>
    <w:rsid w:val="00EF324E"/>
    <w:rsid w:val="00EF352B"/>
    <w:rsid w:val="00EF5BDA"/>
    <w:rsid w:val="00F07423"/>
    <w:rsid w:val="00F10652"/>
    <w:rsid w:val="00F2252C"/>
    <w:rsid w:val="00F30994"/>
    <w:rsid w:val="00F32163"/>
    <w:rsid w:val="00F3748B"/>
    <w:rsid w:val="00F44774"/>
    <w:rsid w:val="00F4563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5C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0251-C49B-4EA4-BBEE-F8707B64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4156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Raminta Kaledinskaite</cp:lastModifiedBy>
  <cp:revision>4</cp:revision>
  <cp:lastPrinted>2019-12-04T08:00:00Z</cp:lastPrinted>
  <dcterms:created xsi:type="dcterms:W3CDTF">2025-02-11T08:48:00Z</dcterms:created>
  <dcterms:modified xsi:type="dcterms:W3CDTF">2025-02-12T12:06:00Z</dcterms:modified>
</cp:coreProperties>
</file>