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C527" w14:textId="77777777" w:rsidR="00773886" w:rsidRDefault="00773886" w:rsidP="007325A0">
      <w:pPr>
        <w:spacing w:line="300" w:lineRule="atLeast"/>
        <w:jc w:val="both"/>
        <w:rPr>
          <w:lang w:val="lt-LT"/>
        </w:rPr>
      </w:pPr>
    </w:p>
    <w:p w14:paraId="16E844A9" w14:textId="77777777" w:rsidR="00773886" w:rsidRDefault="00773886" w:rsidP="007325A0">
      <w:pPr>
        <w:spacing w:line="300" w:lineRule="atLeast"/>
        <w:jc w:val="both"/>
        <w:rPr>
          <w:lang w:val="lt-LT"/>
        </w:rPr>
      </w:pPr>
    </w:p>
    <w:p w14:paraId="13CD3674" w14:textId="45743A2A" w:rsidR="00543F22" w:rsidRPr="00796B32" w:rsidRDefault="00ED6F2E" w:rsidP="007325A0">
      <w:pPr>
        <w:spacing w:line="300" w:lineRule="atLeast"/>
        <w:jc w:val="both"/>
        <w:rPr>
          <w:i/>
          <w:iCs/>
          <w:color w:val="000000"/>
          <w:bdr w:val="none" w:sz="0" w:space="0" w:color="auto" w:frame="1"/>
          <w:lang w:val="lt-LT"/>
        </w:rPr>
      </w:pPr>
      <w:r w:rsidRPr="00796B32">
        <w:rPr>
          <w:i/>
          <w:iCs/>
          <w:color w:val="000000"/>
          <w:bdr w:val="none" w:sz="0" w:space="0" w:color="auto" w:frame="1"/>
          <w:lang w:val="lt-LT"/>
        </w:rPr>
        <w:t>Siunčiama CVP IS</w:t>
      </w:r>
    </w:p>
    <w:p w14:paraId="42AEB052" w14:textId="77777777" w:rsidR="00543F22" w:rsidRPr="00796B32" w:rsidRDefault="00543F22" w:rsidP="00543F22">
      <w:pPr>
        <w:widowControl w:val="0"/>
        <w:jc w:val="both"/>
        <w:rPr>
          <w:rFonts w:asciiTheme="majorBidi" w:eastAsia="Times New Roman" w:hAnsiTheme="majorBidi" w:cstheme="majorBidi"/>
          <w:b/>
          <w:lang w:val="lt-LT" w:eastAsia="lt-LT"/>
        </w:rPr>
      </w:pPr>
    </w:p>
    <w:p w14:paraId="42AF0BC3" w14:textId="26117430" w:rsidR="00543F22" w:rsidRPr="00796B32" w:rsidRDefault="00543F22" w:rsidP="00543F22">
      <w:pPr>
        <w:widowControl w:val="0"/>
        <w:jc w:val="both"/>
        <w:rPr>
          <w:rFonts w:asciiTheme="majorBidi" w:eastAsia="Times New Roman" w:hAnsiTheme="majorBidi" w:cstheme="majorBidi"/>
          <w:b/>
          <w:lang w:val="lt-LT" w:eastAsia="lt-LT"/>
        </w:rPr>
      </w:pPr>
      <w:r w:rsidRPr="00796B32">
        <w:rPr>
          <w:rFonts w:asciiTheme="majorBidi" w:eastAsia="Times New Roman" w:hAnsiTheme="majorBidi" w:cstheme="majorBidi"/>
          <w:b/>
          <w:lang w:val="lt-LT" w:eastAsia="lt-LT"/>
        </w:rPr>
        <w:t xml:space="preserve">DĖL </w:t>
      </w:r>
      <w:r w:rsidR="00AE563F" w:rsidRPr="00796B32">
        <w:rPr>
          <w:rFonts w:asciiTheme="majorBidi" w:eastAsia="Times New Roman" w:hAnsiTheme="majorBidi" w:cstheme="majorBidi"/>
          <w:b/>
          <w:lang w:val="lt-LT" w:eastAsia="lt-LT"/>
        </w:rPr>
        <w:t xml:space="preserve">ATSAKYMO Į </w:t>
      </w:r>
      <w:r w:rsidR="000D537D" w:rsidRPr="00796B32">
        <w:rPr>
          <w:rFonts w:asciiTheme="majorBidi" w:eastAsia="Times New Roman" w:hAnsiTheme="majorBidi" w:cstheme="majorBidi"/>
          <w:b/>
          <w:lang w:val="lt-LT" w:eastAsia="lt-LT"/>
        </w:rPr>
        <w:t xml:space="preserve">KLAUSIMĄ DĖL </w:t>
      </w:r>
      <w:r w:rsidR="00AE563F" w:rsidRPr="00796B32">
        <w:rPr>
          <w:rFonts w:asciiTheme="majorBidi" w:eastAsia="Times New Roman" w:hAnsiTheme="majorBidi" w:cstheme="majorBidi"/>
          <w:b/>
          <w:lang w:val="lt-LT" w:eastAsia="lt-LT"/>
        </w:rPr>
        <w:t>PIRKIMO SĄLYG</w:t>
      </w:r>
      <w:r w:rsidR="000D537D" w:rsidRPr="00796B32">
        <w:rPr>
          <w:rFonts w:asciiTheme="majorBidi" w:eastAsia="Times New Roman" w:hAnsiTheme="majorBidi" w:cstheme="majorBidi"/>
          <w:b/>
          <w:lang w:val="lt-LT" w:eastAsia="lt-LT"/>
        </w:rPr>
        <w:t>Ų</w:t>
      </w:r>
      <w:r w:rsidRPr="00796B32">
        <w:rPr>
          <w:rFonts w:asciiTheme="majorBidi" w:eastAsia="Times New Roman" w:hAnsiTheme="majorBidi" w:cstheme="majorBidi"/>
          <w:b/>
          <w:lang w:val="lt-LT" w:eastAsia="lt-LT"/>
        </w:rPr>
        <w:t xml:space="preserve"> </w:t>
      </w:r>
    </w:p>
    <w:p w14:paraId="0F35FE9E" w14:textId="77777777" w:rsidR="007D7EF6" w:rsidRPr="00796B32" w:rsidRDefault="007D7EF6" w:rsidP="00033DB3">
      <w:pPr>
        <w:jc w:val="both"/>
        <w:rPr>
          <w:lang w:val="lt-LT" w:eastAsia="en-GB"/>
        </w:rPr>
      </w:pPr>
    </w:p>
    <w:p w14:paraId="26D0C666" w14:textId="3C8B4F7A" w:rsidR="00543F22" w:rsidRPr="00796B32" w:rsidRDefault="00130F22" w:rsidP="00543F22">
      <w:pPr>
        <w:widowControl w:val="0"/>
        <w:ind w:firstLine="851"/>
        <w:jc w:val="both"/>
        <w:rPr>
          <w:rFonts w:asciiTheme="majorBidi" w:eastAsia="Times New Roman" w:hAnsiTheme="majorBidi" w:cstheme="majorBidi"/>
          <w:bCs/>
          <w:lang w:val="lt-LT" w:eastAsia="lt-LT"/>
        </w:rPr>
      </w:pPr>
      <w:r w:rsidRPr="00796B32">
        <w:rPr>
          <w:lang w:val="lt-LT" w:eastAsia="en-GB"/>
        </w:rPr>
        <w:t>Viešoji įstaiga CPO LT, atviro konkurso (</w:t>
      </w:r>
      <w:r w:rsidR="007325A0" w:rsidRPr="00796B32">
        <w:rPr>
          <w:lang w:val="lt-LT" w:eastAsia="en-GB"/>
        </w:rPr>
        <w:t>tarptautinio</w:t>
      </w:r>
      <w:r w:rsidRPr="00796B32">
        <w:rPr>
          <w:lang w:val="lt-LT" w:eastAsia="en-GB"/>
        </w:rPr>
        <w:t xml:space="preserve">) būdu </w:t>
      </w:r>
      <w:r w:rsidRPr="00796B32">
        <w:rPr>
          <w:rFonts w:asciiTheme="majorBidi" w:eastAsia="Times New Roman" w:hAnsiTheme="majorBidi" w:cstheme="majorBidi"/>
          <w:bCs/>
          <w:lang w:val="lt-LT" w:eastAsia="lt-LT"/>
        </w:rPr>
        <w:t>vykdo „</w:t>
      </w:r>
      <w:r w:rsidR="007325A0" w:rsidRPr="00796B32">
        <w:rPr>
          <w:color w:val="000000"/>
          <w:lang w:val="lt-LT"/>
        </w:rPr>
        <w:t>Konsultacinių paslaugų dėl viešųjų pirkimų vykdymo ir techninių specifikacijų, kvalifikacijos reikalavimų, pasiūlymų vertinimo kriterijų ir sutarties sąlygų rengimo paslaugų pirkimas</w:t>
      </w:r>
      <w:r w:rsidR="00033DB3" w:rsidRPr="00796B32">
        <w:rPr>
          <w:color w:val="000000"/>
          <w:lang w:val="lt-LT"/>
        </w:rPr>
        <w:t xml:space="preserve">“ </w:t>
      </w:r>
      <w:r w:rsidRPr="00796B32">
        <w:rPr>
          <w:color w:val="000000"/>
          <w:lang w:val="lt-LT"/>
        </w:rPr>
        <w:t>viešąjį pirkimą</w:t>
      </w:r>
      <w:r w:rsidR="00543F22" w:rsidRPr="00796B32">
        <w:rPr>
          <w:rFonts w:asciiTheme="majorBidi" w:eastAsia="Times New Roman" w:hAnsiTheme="majorBidi" w:cstheme="majorBidi"/>
          <w:bCs/>
          <w:lang w:val="lt-LT" w:eastAsia="lt-LT"/>
        </w:rPr>
        <w:t xml:space="preserve"> (toliau – pirkimas) (Pirkimo </w:t>
      </w:r>
      <w:r w:rsidR="007325A0" w:rsidRPr="00796B32">
        <w:rPr>
          <w:rFonts w:asciiTheme="majorBidi" w:eastAsia="Times New Roman" w:hAnsiTheme="majorBidi" w:cstheme="majorBidi"/>
          <w:bCs/>
          <w:lang w:val="lt-LT" w:eastAsia="lt-LT"/>
        </w:rPr>
        <w:t>ID</w:t>
      </w:r>
      <w:r w:rsidR="00543F22" w:rsidRPr="00796B32">
        <w:rPr>
          <w:rFonts w:asciiTheme="majorBidi" w:eastAsia="Times New Roman" w:hAnsiTheme="majorBidi" w:cstheme="majorBidi"/>
          <w:bCs/>
          <w:lang w:val="lt-LT" w:eastAsia="lt-LT"/>
        </w:rPr>
        <w:t xml:space="preserve"> </w:t>
      </w:r>
      <w:r w:rsidR="007325A0" w:rsidRPr="00796B32">
        <w:rPr>
          <w:rFonts w:asciiTheme="majorBidi" w:eastAsia="Times New Roman" w:hAnsiTheme="majorBidi" w:cstheme="majorBidi"/>
          <w:bCs/>
          <w:lang w:val="lt-LT" w:eastAsia="lt-LT"/>
        </w:rPr>
        <w:t>971867</w:t>
      </w:r>
      <w:r w:rsidR="00543F22" w:rsidRPr="00796B32">
        <w:rPr>
          <w:rFonts w:asciiTheme="majorBidi" w:eastAsia="Times New Roman" w:hAnsiTheme="majorBidi" w:cstheme="majorBidi"/>
          <w:bCs/>
          <w:lang w:val="lt-LT" w:eastAsia="lt-LT"/>
        </w:rPr>
        <w:t xml:space="preserve">). </w:t>
      </w:r>
    </w:p>
    <w:p w14:paraId="325802E2" w14:textId="2A834B30" w:rsidR="00543F22" w:rsidRPr="00796B32" w:rsidRDefault="00543F22" w:rsidP="00543F22">
      <w:pPr>
        <w:ind w:firstLine="851"/>
        <w:jc w:val="both"/>
        <w:rPr>
          <w:lang w:val="lt-LT" w:eastAsia="en-GB"/>
        </w:rPr>
      </w:pPr>
      <w:r w:rsidRPr="00796B32">
        <w:rPr>
          <w:lang w:val="lt-LT" w:eastAsia="en-GB"/>
        </w:rPr>
        <w:t>Informuojame, kad 202</w:t>
      </w:r>
      <w:r w:rsidR="007325A0" w:rsidRPr="00796B32">
        <w:rPr>
          <w:lang w:val="lt-LT" w:eastAsia="en-GB"/>
        </w:rPr>
        <w:t>5</w:t>
      </w:r>
      <w:r w:rsidRPr="00796B32">
        <w:rPr>
          <w:lang w:val="lt-LT" w:eastAsia="en-GB"/>
        </w:rPr>
        <w:t>-</w:t>
      </w:r>
      <w:r w:rsidR="007325A0" w:rsidRPr="00796B32">
        <w:rPr>
          <w:lang w:val="lt-LT" w:eastAsia="en-GB"/>
        </w:rPr>
        <w:t>02</w:t>
      </w:r>
      <w:r w:rsidRPr="00796B32">
        <w:rPr>
          <w:lang w:val="lt-LT" w:eastAsia="en-GB"/>
        </w:rPr>
        <w:t>-</w:t>
      </w:r>
      <w:r w:rsidR="007325A0" w:rsidRPr="00796B32">
        <w:rPr>
          <w:lang w:val="lt-LT" w:eastAsia="en-GB"/>
        </w:rPr>
        <w:t>1</w:t>
      </w:r>
      <w:r w:rsidR="00DC431A">
        <w:rPr>
          <w:lang w:val="lt-LT" w:eastAsia="en-GB"/>
        </w:rPr>
        <w:t>1</w:t>
      </w:r>
      <w:r w:rsidRPr="00796B32">
        <w:rPr>
          <w:lang w:val="lt-LT" w:eastAsia="en-GB"/>
        </w:rPr>
        <w:t xml:space="preserve"> Centrinės viešųjų pirkimų informacinės sistemos priemonėmis gautas vieno iš tiekėjų </w:t>
      </w:r>
      <w:r w:rsidR="007325A0" w:rsidRPr="00796B32">
        <w:rPr>
          <w:lang w:val="lt-LT" w:eastAsia="en-GB"/>
        </w:rPr>
        <w:t>pa</w:t>
      </w:r>
      <w:r w:rsidR="00A744F7" w:rsidRPr="00796B32">
        <w:rPr>
          <w:lang w:val="lt-LT" w:eastAsia="en-GB"/>
        </w:rPr>
        <w:t xml:space="preserve">klausimas dėl </w:t>
      </w:r>
      <w:r w:rsidRPr="00796B32">
        <w:rPr>
          <w:lang w:val="lt-LT" w:eastAsia="en-GB"/>
        </w:rPr>
        <w:t>pirkimo sąlyg</w:t>
      </w:r>
      <w:r w:rsidR="00A744F7" w:rsidRPr="00796B32">
        <w:rPr>
          <w:lang w:val="lt-LT" w:eastAsia="en-GB"/>
        </w:rPr>
        <w:t>ų.</w:t>
      </w:r>
    </w:p>
    <w:p w14:paraId="391A7B14" w14:textId="6D317695" w:rsidR="00130F22" w:rsidRPr="00796B32" w:rsidRDefault="00543F22" w:rsidP="007325A0">
      <w:pPr>
        <w:ind w:firstLine="851"/>
        <w:jc w:val="both"/>
        <w:rPr>
          <w:lang w:val="lt-LT"/>
        </w:rPr>
      </w:pPr>
      <w:r w:rsidRPr="00796B32">
        <w:rPr>
          <w:lang w:val="lt-LT" w:eastAsia="en-GB"/>
        </w:rPr>
        <w:t xml:space="preserve">Vadovaudamiesi </w:t>
      </w:r>
      <w:bookmarkStart w:id="0" w:name="_Hlk98232754"/>
      <w:r w:rsidRPr="00796B32">
        <w:rPr>
          <w:lang w:val="lt-LT" w:eastAsia="en-GB"/>
        </w:rPr>
        <w:t>Bendrųjų pirkimo sąlygų 5.2 pun</w:t>
      </w:r>
      <w:bookmarkEnd w:id="0"/>
      <w:r w:rsidRPr="00796B32">
        <w:rPr>
          <w:lang w:val="lt-LT" w:eastAsia="en-GB"/>
        </w:rPr>
        <w:t>ktu,</w:t>
      </w:r>
      <w:r w:rsidRPr="00796B32">
        <w:rPr>
          <w:lang w:val="lt-LT"/>
        </w:rPr>
        <w:t xml:space="preserve"> teikiame atsakym</w:t>
      </w:r>
      <w:r w:rsidR="00AE563F" w:rsidRPr="00796B32">
        <w:rPr>
          <w:lang w:val="lt-LT"/>
        </w:rPr>
        <w:t>ą</w:t>
      </w:r>
      <w:r w:rsidRPr="00796B32">
        <w:rPr>
          <w:lang w:val="lt-LT"/>
        </w:rPr>
        <w:t>:</w:t>
      </w:r>
    </w:p>
    <w:p w14:paraId="7A8E0B92" w14:textId="77777777" w:rsidR="00AE563F" w:rsidRPr="00796B32" w:rsidRDefault="00AE563F" w:rsidP="00543F22">
      <w:pPr>
        <w:ind w:firstLine="851"/>
        <w:jc w:val="both"/>
        <w:rPr>
          <w:lang w:val="lt-LT"/>
        </w:rPr>
      </w:pPr>
    </w:p>
    <w:tbl>
      <w:tblPr>
        <w:tblStyle w:val="TableGrid"/>
        <w:tblW w:w="13750" w:type="dxa"/>
        <w:tblInd w:w="-5" w:type="dxa"/>
        <w:tblLook w:val="04A0" w:firstRow="1" w:lastRow="0" w:firstColumn="1" w:lastColumn="0" w:noHBand="0" w:noVBand="1"/>
      </w:tblPr>
      <w:tblGrid>
        <w:gridCol w:w="570"/>
        <w:gridCol w:w="3966"/>
        <w:gridCol w:w="9214"/>
      </w:tblGrid>
      <w:tr w:rsidR="00A744F7" w:rsidRPr="00796B32" w14:paraId="27FC20B8" w14:textId="77777777" w:rsidTr="00773886">
        <w:tc>
          <w:tcPr>
            <w:tcW w:w="570" w:type="dxa"/>
          </w:tcPr>
          <w:p w14:paraId="4E0DCFFE" w14:textId="77777777" w:rsidR="00A744F7" w:rsidRPr="00796B32" w:rsidRDefault="00A744F7" w:rsidP="00405EDB">
            <w:pPr>
              <w:pStyle w:val="Default"/>
              <w:rPr>
                <w:sz w:val="24"/>
                <w:szCs w:val="24"/>
              </w:rPr>
            </w:pPr>
            <w:r w:rsidRPr="00796B32">
              <w:rPr>
                <w:rFonts w:asciiTheme="majorBidi" w:hAnsiTheme="majorBidi" w:cstheme="majorBidi"/>
                <w:b/>
                <w:bCs/>
                <w:i/>
                <w:iCs/>
                <w:sz w:val="24"/>
                <w:szCs w:val="24"/>
              </w:rPr>
              <w:t>Eil. Nr.</w:t>
            </w:r>
          </w:p>
        </w:tc>
        <w:tc>
          <w:tcPr>
            <w:tcW w:w="3966" w:type="dxa"/>
            <w:vAlign w:val="center"/>
          </w:tcPr>
          <w:p w14:paraId="02F12E33" w14:textId="77777777" w:rsidR="00A744F7" w:rsidRPr="00796B32" w:rsidRDefault="00A744F7" w:rsidP="00405EDB">
            <w:pPr>
              <w:pStyle w:val="Default"/>
              <w:jc w:val="center"/>
              <w:rPr>
                <w:sz w:val="24"/>
                <w:szCs w:val="24"/>
              </w:rPr>
            </w:pPr>
            <w:r w:rsidRPr="00796B32">
              <w:rPr>
                <w:rFonts w:asciiTheme="majorBidi" w:hAnsiTheme="majorBidi" w:cstheme="majorBidi"/>
                <w:b/>
                <w:bCs/>
                <w:i/>
                <w:iCs/>
                <w:sz w:val="24"/>
                <w:szCs w:val="24"/>
              </w:rPr>
              <w:t>Klausimas</w:t>
            </w:r>
          </w:p>
        </w:tc>
        <w:tc>
          <w:tcPr>
            <w:tcW w:w="9214" w:type="dxa"/>
            <w:vAlign w:val="center"/>
          </w:tcPr>
          <w:p w14:paraId="798615B8" w14:textId="45FDE4CC" w:rsidR="00A744F7" w:rsidRPr="00796B32" w:rsidRDefault="00A744F7" w:rsidP="00405EDB">
            <w:pPr>
              <w:pStyle w:val="Default"/>
              <w:jc w:val="center"/>
              <w:rPr>
                <w:sz w:val="24"/>
                <w:szCs w:val="24"/>
              </w:rPr>
            </w:pPr>
            <w:r w:rsidRPr="00796B32">
              <w:rPr>
                <w:rFonts w:asciiTheme="majorBidi" w:hAnsiTheme="majorBidi" w:cstheme="majorBidi"/>
                <w:b/>
                <w:bCs/>
                <w:i/>
                <w:iCs/>
                <w:sz w:val="24"/>
                <w:szCs w:val="24"/>
              </w:rPr>
              <w:t>Perkančios</w:t>
            </w:r>
            <w:r w:rsidR="00767A88">
              <w:rPr>
                <w:rFonts w:asciiTheme="majorBidi" w:hAnsiTheme="majorBidi" w:cstheme="majorBidi"/>
                <w:b/>
                <w:bCs/>
                <w:i/>
                <w:iCs/>
                <w:sz w:val="24"/>
                <w:szCs w:val="24"/>
              </w:rPr>
              <w:t>ios</w:t>
            </w:r>
            <w:r w:rsidRPr="00796B32">
              <w:rPr>
                <w:rFonts w:asciiTheme="majorBidi" w:hAnsiTheme="majorBidi" w:cstheme="majorBidi"/>
                <w:b/>
                <w:bCs/>
                <w:i/>
                <w:iCs/>
                <w:sz w:val="24"/>
                <w:szCs w:val="24"/>
              </w:rPr>
              <w:t xml:space="preserve"> organizacijos atsakymas</w:t>
            </w:r>
          </w:p>
        </w:tc>
      </w:tr>
      <w:tr w:rsidR="00713195" w:rsidRPr="00773886" w14:paraId="5FB271D8" w14:textId="77777777" w:rsidTr="00773886">
        <w:tc>
          <w:tcPr>
            <w:tcW w:w="570" w:type="dxa"/>
            <w:shd w:val="clear" w:color="auto" w:fill="auto"/>
          </w:tcPr>
          <w:p w14:paraId="0E7FFA67" w14:textId="77777777" w:rsidR="00713195" w:rsidRPr="00796B32" w:rsidRDefault="00713195" w:rsidP="00713195">
            <w:pPr>
              <w:pStyle w:val="Default"/>
              <w:rPr>
                <w:rFonts w:asciiTheme="majorBidi" w:hAnsiTheme="majorBidi" w:cstheme="majorBidi"/>
                <w:b/>
                <w:bCs/>
                <w:sz w:val="24"/>
                <w:szCs w:val="24"/>
              </w:rPr>
            </w:pPr>
            <w:r w:rsidRPr="00796B32">
              <w:rPr>
                <w:rFonts w:asciiTheme="majorBidi" w:hAnsiTheme="majorBidi" w:cstheme="majorBidi"/>
                <w:b/>
                <w:bCs/>
                <w:sz w:val="24"/>
                <w:szCs w:val="24"/>
              </w:rPr>
              <w:t>1.</w:t>
            </w:r>
          </w:p>
        </w:tc>
        <w:tc>
          <w:tcPr>
            <w:tcW w:w="3966" w:type="dxa"/>
            <w:shd w:val="clear" w:color="auto" w:fill="auto"/>
          </w:tcPr>
          <w:p w14:paraId="082FC7F5" w14:textId="7C23EA2D" w:rsidR="00713195" w:rsidRPr="00796B32" w:rsidRDefault="00713195" w:rsidP="00713195">
            <w:pPr>
              <w:pStyle w:val="NormalWeb"/>
              <w:shd w:val="clear" w:color="auto" w:fill="FFFFFF"/>
              <w:spacing w:before="0" w:beforeAutospacing="0" w:after="0" w:afterAutospacing="0"/>
              <w:jc w:val="both"/>
              <w:rPr>
                <w:rFonts w:asciiTheme="majorBidi" w:eastAsiaTheme="minorHAnsi" w:hAnsiTheme="majorBidi" w:cstheme="majorBidi"/>
                <w:color w:val="000000"/>
              </w:rPr>
            </w:pPr>
            <w:r w:rsidRPr="00796B32">
              <w:rPr>
                <w:rFonts w:cs="Arial"/>
              </w:rPr>
              <w:t>Prašome paaiškinti, patikslinti Sutarties 2 priedo Techninės specifikacijos 3.2 p. ir 5 priedo „Kvalifikacijos ir kiti reikalavimai“ 1 reikalavimą, taip, kad sąvoka „</w:t>
            </w:r>
            <w:r w:rsidRPr="00796B32">
              <w:rPr>
                <w:rFonts w:cs="Arial"/>
                <w:i/>
                <w:iCs/>
              </w:rPr>
              <w:t>rengti technines specifikacijas</w:t>
            </w:r>
            <w:r w:rsidRPr="00796B32">
              <w:rPr>
                <w:rFonts w:cs="Arial"/>
              </w:rPr>
              <w:t>“ yra suprantama ne kaip viso techninių parametrų rengimas, o kaip Perkančiosios organizacijos tos srities specialistų parengtų Techninės specifikacijos dokumentų teisinis įvertinimas dėl atitikimo viešuosius pirkimus reguliuojantiems teisės aktams.</w:t>
            </w:r>
          </w:p>
        </w:tc>
        <w:tc>
          <w:tcPr>
            <w:tcW w:w="9214" w:type="dxa"/>
          </w:tcPr>
          <w:p w14:paraId="6497795C" w14:textId="77777777" w:rsidR="00713195" w:rsidRPr="00CE15F0" w:rsidRDefault="00713195" w:rsidP="00713195">
            <w:pPr>
              <w:pStyle w:val="Default"/>
              <w:jc w:val="both"/>
              <w:rPr>
                <w:rFonts w:asciiTheme="majorBidi" w:hAnsiTheme="majorBidi" w:cstheme="majorBidi"/>
                <w:sz w:val="24"/>
                <w:szCs w:val="24"/>
              </w:rPr>
            </w:pPr>
            <w:r w:rsidRPr="00CE15F0">
              <w:rPr>
                <w:rFonts w:asciiTheme="majorBidi" w:hAnsiTheme="majorBidi" w:cstheme="majorBidi"/>
                <w:sz w:val="24"/>
                <w:szCs w:val="24"/>
              </w:rPr>
              <w:t>Norime atkreipti dėmesį, kad perkančioji organizacija šiuo pirkimu perka ne tik teisinį techninių specifikacijų vertinimą, bet ir pačių techninių specifikacijų rengimo paslaugas. Šis reikalavimas yra aiškiai apibrėžtas pirkimo sąlygų 2 priede „Konsultacinių paslaugų dėl viešųjų pirkimų vykdymo ir techninių specifikacijų, kvalifikacijos reikalavimų, pasiūlymų vertinimo kriterijų ir sutarties sąlygų rengimo techninė specifikacija“ 3.2 punkte.</w:t>
            </w:r>
          </w:p>
          <w:p w14:paraId="2217B4E3" w14:textId="77777777" w:rsidR="00713195" w:rsidRPr="00CE15F0" w:rsidRDefault="00713195" w:rsidP="00713195">
            <w:pPr>
              <w:pStyle w:val="Default"/>
              <w:jc w:val="both"/>
              <w:rPr>
                <w:rFonts w:asciiTheme="majorBidi" w:hAnsiTheme="majorBidi" w:cstheme="majorBidi"/>
                <w:sz w:val="24"/>
                <w:szCs w:val="24"/>
              </w:rPr>
            </w:pPr>
            <w:r w:rsidRPr="00CE15F0">
              <w:rPr>
                <w:rFonts w:asciiTheme="majorBidi" w:hAnsiTheme="majorBidi" w:cstheme="majorBidi"/>
                <w:sz w:val="24"/>
                <w:szCs w:val="24"/>
              </w:rPr>
              <w:t>Perkančiajai organizacijai yra reikalingos būtent tokios paslaugos – tiek teisinis vertinimas, tiek ir pačių techninių specifikacijų parengimas. Perkančioji organizacija siekia įsigyti konsultacines paslaugas, apimančias ne tik teisinius, bet ir su pirkimų objektų specifikacijomis susijusius klausimus, kurie gali būti tiek teisinio, tiek techninio pobūdžio.</w:t>
            </w:r>
          </w:p>
          <w:p w14:paraId="000BCC8A" w14:textId="09E83C7E" w:rsidR="00713195" w:rsidRPr="00796B32" w:rsidRDefault="00713195" w:rsidP="00713195">
            <w:pPr>
              <w:pStyle w:val="Default"/>
              <w:jc w:val="both"/>
              <w:rPr>
                <w:rFonts w:asciiTheme="majorBidi" w:hAnsiTheme="majorBidi" w:cstheme="majorBidi"/>
                <w:sz w:val="24"/>
                <w:szCs w:val="24"/>
              </w:rPr>
            </w:pPr>
            <w:r w:rsidRPr="00CE15F0">
              <w:rPr>
                <w:rFonts w:asciiTheme="majorBidi" w:hAnsiTheme="majorBidi" w:cstheme="majorBidi"/>
                <w:sz w:val="24"/>
                <w:szCs w:val="24"/>
              </w:rPr>
              <w:t>Atskaitos taškui ir aiškumo sumetimais perkančioji organizacija pirkimo sąlygose yra pateikusi numatomų pirkimų sąrašą, kuris yra orientacinio pobūdžio. Pažymime, kad tik daliai iš šių pirkimų gali būti reikalingas techninių specifikacijų parengimas, todėl ši paslauga gali būti reikšminga tik tam tikrais atvejais.</w:t>
            </w:r>
            <w:r>
              <w:rPr>
                <w:rFonts w:asciiTheme="majorBidi" w:hAnsiTheme="majorBidi" w:cstheme="majorBidi"/>
                <w:sz w:val="24"/>
                <w:szCs w:val="24"/>
              </w:rPr>
              <w:t xml:space="preserve"> </w:t>
            </w:r>
            <w:r w:rsidRPr="00CE15F0">
              <w:rPr>
                <w:rFonts w:asciiTheme="majorBidi" w:hAnsiTheme="majorBidi" w:cstheme="majorBidi"/>
                <w:sz w:val="24"/>
                <w:szCs w:val="24"/>
              </w:rPr>
              <w:t>Vis dėlto, šiuo pirkimu perkančioji organizacija siekia užtikrinti galimybę gauti tiek teisinį vertinimą, tiek ir techninių specifikacijų rengimo paslaugas pagal poreikį. Atsižvelgdami į tai, negalime sutikti su siūlomu sąvokos „rengti technines specifikacijas“ siaurinimu iki vien teisinio vertinimo, nes perkančiajai organizacijai reikalingos abi šios paslaugos.</w:t>
            </w:r>
          </w:p>
        </w:tc>
      </w:tr>
    </w:tbl>
    <w:p w14:paraId="48B956F2" w14:textId="23E5E6F7" w:rsidR="00AE563F" w:rsidRPr="00796B32" w:rsidRDefault="00AE563F" w:rsidP="00AE563F">
      <w:pPr>
        <w:ind w:firstLine="993"/>
        <w:jc w:val="both"/>
        <w:rPr>
          <w:b/>
          <w:bCs/>
          <w:i/>
          <w:iCs/>
          <w:u w:val="single"/>
          <w:lang w:val="lt-LT"/>
        </w:rPr>
      </w:pPr>
    </w:p>
    <w:p w14:paraId="534522B6" w14:textId="77777777" w:rsidR="00773886" w:rsidRDefault="00773886" w:rsidP="007325A0">
      <w:pPr>
        <w:rPr>
          <w:lang w:val="lt-LT"/>
        </w:rPr>
      </w:pPr>
    </w:p>
    <w:p w14:paraId="396C9EE6" w14:textId="77777777" w:rsidR="00773886" w:rsidRDefault="00773886" w:rsidP="007325A0">
      <w:pPr>
        <w:rPr>
          <w:lang w:val="lt-LT"/>
        </w:rPr>
      </w:pPr>
    </w:p>
    <w:p w14:paraId="5835831E" w14:textId="1E518BCB" w:rsidR="00543F22" w:rsidRPr="00796B32" w:rsidRDefault="00ED6F2E" w:rsidP="007325A0">
      <w:pPr>
        <w:rPr>
          <w:rFonts w:eastAsiaTheme="minorHAnsi"/>
          <w:kern w:val="2"/>
          <w:lang w:val="lt-LT"/>
          <w14:ligatures w14:val="standardContextual"/>
        </w:rPr>
      </w:pPr>
      <w:r w:rsidRPr="00796B32">
        <w:rPr>
          <w:lang w:val="lt-LT"/>
        </w:rPr>
        <w:t>Viešųjų pirkimų komisija</w:t>
      </w:r>
    </w:p>
    <w:sectPr w:rsidR="00543F22" w:rsidRPr="00796B32" w:rsidSect="00773886">
      <w:pgSz w:w="15840" w:h="12240" w:orient="landscape"/>
      <w:pgMar w:top="567" w:right="109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781F" w14:textId="77777777" w:rsidR="003A063F" w:rsidRDefault="003A063F" w:rsidP="00BA5E4A">
      <w:r>
        <w:separator/>
      </w:r>
    </w:p>
  </w:endnote>
  <w:endnote w:type="continuationSeparator" w:id="0">
    <w:p w14:paraId="6E74AFB7" w14:textId="77777777" w:rsidR="003A063F" w:rsidRDefault="003A063F"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85B0" w14:textId="77777777" w:rsidR="003A063F" w:rsidRDefault="003A063F" w:rsidP="00BA5E4A">
      <w:r>
        <w:separator/>
      </w:r>
    </w:p>
  </w:footnote>
  <w:footnote w:type="continuationSeparator" w:id="0">
    <w:p w14:paraId="1D39E839" w14:textId="77777777" w:rsidR="003A063F" w:rsidRDefault="003A063F"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5A13"/>
    <w:rsid w:val="00023BDD"/>
    <w:rsid w:val="00033DB3"/>
    <w:rsid w:val="00081778"/>
    <w:rsid w:val="00093926"/>
    <w:rsid w:val="000B7905"/>
    <w:rsid w:val="000C3348"/>
    <w:rsid w:val="000C6C72"/>
    <w:rsid w:val="000D537D"/>
    <w:rsid w:val="000E7685"/>
    <w:rsid w:val="00105C05"/>
    <w:rsid w:val="00130F22"/>
    <w:rsid w:val="00131F54"/>
    <w:rsid w:val="00164C53"/>
    <w:rsid w:val="0017187D"/>
    <w:rsid w:val="00186FEF"/>
    <w:rsid w:val="001B7B63"/>
    <w:rsid w:val="001D034C"/>
    <w:rsid w:val="001D7074"/>
    <w:rsid w:val="001E06BA"/>
    <w:rsid w:val="001F35BA"/>
    <w:rsid w:val="00201EF7"/>
    <w:rsid w:val="0021354B"/>
    <w:rsid w:val="002154DA"/>
    <w:rsid w:val="00232146"/>
    <w:rsid w:val="0027075B"/>
    <w:rsid w:val="002A7394"/>
    <w:rsid w:val="002B7579"/>
    <w:rsid w:val="002C6B18"/>
    <w:rsid w:val="002F6081"/>
    <w:rsid w:val="003714CA"/>
    <w:rsid w:val="003A063F"/>
    <w:rsid w:val="003E18FB"/>
    <w:rsid w:val="003E3DA5"/>
    <w:rsid w:val="00401FD4"/>
    <w:rsid w:val="004260C6"/>
    <w:rsid w:val="0044158F"/>
    <w:rsid w:val="004A1611"/>
    <w:rsid w:val="004C5E10"/>
    <w:rsid w:val="004E7FE2"/>
    <w:rsid w:val="00511B2A"/>
    <w:rsid w:val="005436F4"/>
    <w:rsid w:val="00543F22"/>
    <w:rsid w:val="0056180F"/>
    <w:rsid w:val="00566392"/>
    <w:rsid w:val="005840AA"/>
    <w:rsid w:val="00591304"/>
    <w:rsid w:val="005A38F2"/>
    <w:rsid w:val="005A75FF"/>
    <w:rsid w:val="005E6B3E"/>
    <w:rsid w:val="005E7A89"/>
    <w:rsid w:val="005F345E"/>
    <w:rsid w:val="00630A0D"/>
    <w:rsid w:val="0065461B"/>
    <w:rsid w:val="00654A93"/>
    <w:rsid w:val="006A35CD"/>
    <w:rsid w:val="006C0772"/>
    <w:rsid w:val="00713195"/>
    <w:rsid w:val="007152FE"/>
    <w:rsid w:val="00726311"/>
    <w:rsid w:val="007325A0"/>
    <w:rsid w:val="007411FE"/>
    <w:rsid w:val="00741D25"/>
    <w:rsid w:val="00767A88"/>
    <w:rsid w:val="00772038"/>
    <w:rsid w:val="00773886"/>
    <w:rsid w:val="007826B9"/>
    <w:rsid w:val="00792BDF"/>
    <w:rsid w:val="00796B32"/>
    <w:rsid w:val="007A2F9F"/>
    <w:rsid w:val="007A3CA5"/>
    <w:rsid w:val="007B3CBC"/>
    <w:rsid w:val="007C3F0A"/>
    <w:rsid w:val="007D7EF6"/>
    <w:rsid w:val="00800DA9"/>
    <w:rsid w:val="008041FF"/>
    <w:rsid w:val="00812B5A"/>
    <w:rsid w:val="008142DA"/>
    <w:rsid w:val="008172CA"/>
    <w:rsid w:val="00835927"/>
    <w:rsid w:val="0084323F"/>
    <w:rsid w:val="00847F61"/>
    <w:rsid w:val="0086144B"/>
    <w:rsid w:val="00875445"/>
    <w:rsid w:val="0088076F"/>
    <w:rsid w:val="008B7612"/>
    <w:rsid w:val="008C7AD0"/>
    <w:rsid w:val="008E37C9"/>
    <w:rsid w:val="008F2246"/>
    <w:rsid w:val="00904FE2"/>
    <w:rsid w:val="00913A03"/>
    <w:rsid w:val="00927CA9"/>
    <w:rsid w:val="00934547"/>
    <w:rsid w:val="0093681D"/>
    <w:rsid w:val="009374D2"/>
    <w:rsid w:val="00943ED9"/>
    <w:rsid w:val="00955C67"/>
    <w:rsid w:val="00976A63"/>
    <w:rsid w:val="009A00C7"/>
    <w:rsid w:val="009B1366"/>
    <w:rsid w:val="009B47A6"/>
    <w:rsid w:val="009B6461"/>
    <w:rsid w:val="009F09FE"/>
    <w:rsid w:val="009F53DB"/>
    <w:rsid w:val="00A105EF"/>
    <w:rsid w:val="00A112DB"/>
    <w:rsid w:val="00A33D2E"/>
    <w:rsid w:val="00A438A0"/>
    <w:rsid w:val="00A51003"/>
    <w:rsid w:val="00A65D6D"/>
    <w:rsid w:val="00A73267"/>
    <w:rsid w:val="00A744F7"/>
    <w:rsid w:val="00A755B1"/>
    <w:rsid w:val="00AA54EC"/>
    <w:rsid w:val="00AB4AB9"/>
    <w:rsid w:val="00AC193B"/>
    <w:rsid w:val="00AE563F"/>
    <w:rsid w:val="00AF50A1"/>
    <w:rsid w:val="00B07757"/>
    <w:rsid w:val="00B25247"/>
    <w:rsid w:val="00B60326"/>
    <w:rsid w:val="00B7269A"/>
    <w:rsid w:val="00B879D2"/>
    <w:rsid w:val="00B91A5A"/>
    <w:rsid w:val="00B92EE0"/>
    <w:rsid w:val="00BA2C81"/>
    <w:rsid w:val="00BA4591"/>
    <w:rsid w:val="00BA4CB2"/>
    <w:rsid w:val="00BA5E4A"/>
    <w:rsid w:val="00BB1215"/>
    <w:rsid w:val="00BB3D11"/>
    <w:rsid w:val="00BB45C5"/>
    <w:rsid w:val="00BC2E62"/>
    <w:rsid w:val="00C224AB"/>
    <w:rsid w:val="00C24BEF"/>
    <w:rsid w:val="00C37AC3"/>
    <w:rsid w:val="00C466B6"/>
    <w:rsid w:val="00C5168A"/>
    <w:rsid w:val="00C55DE5"/>
    <w:rsid w:val="00C66271"/>
    <w:rsid w:val="00C85556"/>
    <w:rsid w:val="00C85D01"/>
    <w:rsid w:val="00C92F58"/>
    <w:rsid w:val="00C9438F"/>
    <w:rsid w:val="00C949A4"/>
    <w:rsid w:val="00CA6E78"/>
    <w:rsid w:val="00CC24BF"/>
    <w:rsid w:val="00CD1268"/>
    <w:rsid w:val="00D04D50"/>
    <w:rsid w:val="00D05AD6"/>
    <w:rsid w:val="00D15ED3"/>
    <w:rsid w:val="00D2702E"/>
    <w:rsid w:val="00D505E3"/>
    <w:rsid w:val="00D62F9E"/>
    <w:rsid w:val="00D73C8D"/>
    <w:rsid w:val="00D767CB"/>
    <w:rsid w:val="00D81B88"/>
    <w:rsid w:val="00D82207"/>
    <w:rsid w:val="00D91808"/>
    <w:rsid w:val="00DA1346"/>
    <w:rsid w:val="00DB12F8"/>
    <w:rsid w:val="00DB1B08"/>
    <w:rsid w:val="00DB5A73"/>
    <w:rsid w:val="00DC431A"/>
    <w:rsid w:val="00DC74D6"/>
    <w:rsid w:val="00E006F0"/>
    <w:rsid w:val="00E01731"/>
    <w:rsid w:val="00E16015"/>
    <w:rsid w:val="00E224DF"/>
    <w:rsid w:val="00E34D40"/>
    <w:rsid w:val="00E650B5"/>
    <w:rsid w:val="00E9488C"/>
    <w:rsid w:val="00EB25FA"/>
    <w:rsid w:val="00ED2308"/>
    <w:rsid w:val="00ED4ABF"/>
    <w:rsid w:val="00ED6F2E"/>
    <w:rsid w:val="00EF69E2"/>
    <w:rsid w:val="00F05597"/>
    <w:rsid w:val="00F27A84"/>
    <w:rsid w:val="00F63046"/>
    <w:rsid w:val="00F91E34"/>
    <w:rsid w:val="00FE0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Sub-Clause Sub-paragraph"/>
    <w:basedOn w:val="Normal"/>
    <w:next w:val="Normal"/>
    <w:link w:val="Heading4Char"/>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Diagrama"/>
    <w:basedOn w:val="Normal"/>
    <w:next w:val="Normal"/>
    <w:link w:val="Heading5Char"/>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Sub-Clause Sub-paragraph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Diagrama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uiPriority w:val="99"/>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uiPriority w:val="99"/>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uiPriority w:val="99"/>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customStyle="1" w:styleId="prastasis1">
    <w:name w:val="Įprastasis1"/>
    <w:rsid w:val="00B07757"/>
    <w:pPr>
      <w:suppressAutoHyphens/>
      <w:autoSpaceDN w:val="0"/>
      <w:spacing w:line="256" w:lineRule="auto"/>
      <w:textAlignment w:val="baseline"/>
    </w:pPr>
    <w:rPr>
      <w:rFonts w:ascii="Calibri" w:eastAsia="Calibri" w:hAnsi="Calibri" w:cs="Times New Roman"/>
      <w:lang w:val="lt-LT"/>
    </w:rPr>
  </w:style>
  <w:style w:type="paragraph" w:styleId="NormalWeb">
    <w:name w:val="Normal (Web)"/>
    <w:basedOn w:val="Normal"/>
    <w:uiPriority w:val="99"/>
    <w:unhideWhenUsed/>
    <w:rsid w:val="00AE563F"/>
    <w:pPr>
      <w:spacing w:before="100" w:beforeAutospacing="1" w:after="100" w:afterAutospacing="1"/>
    </w:pPr>
    <w:rPr>
      <w:rFonts w:eastAsia="Times New Roman"/>
    </w:rPr>
  </w:style>
  <w:style w:type="character" w:styleId="Strong">
    <w:name w:val="Strong"/>
    <w:basedOn w:val="DefaultParagraphFont"/>
    <w:uiPriority w:val="22"/>
    <w:qFormat/>
    <w:rsid w:val="00AE563F"/>
    <w:rPr>
      <w:b/>
      <w:bCs/>
    </w:rPr>
  </w:style>
  <w:style w:type="table" w:styleId="TableGrid">
    <w:name w:val="Table Grid"/>
    <w:basedOn w:val="TableNormal"/>
    <w:uiPriority w:val="39"/>
    <w:rsid w:val="00033DB3"/>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445"/>
    <w:pPr>
      <w:spacing w:after="0" w:line="240" w:lineRule="auto"/>
    </w:pPr>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B91A5A"/>
    <w:rPr>
      <w:sz w:val="16"/>
      <w:szCs w:val="16"/>
    </w:rPr>
  </w:style>
  <w:style w:type="paragraph" w:styleId="CommentText">
    <w:name w:val="annotation text"/>
    <w:basedOn w:val="Normal"/>
    <w:link w:val="CommentTextChar"/>
    <w:uiPriority w:val="99"/>
    <w:unhideWhenUsed/>
    <w:rsid w:val="00B91A5A"/>
    <w:rPr>
      <w:sz w:val="20"/>
      <w:szCs w:val="20"/>
    </w:rPr>
  </w:style>
  <w:style w:type="character" w:customStyle="1" w:styleId="CommentTextChar">
    <w:name w:val="Comment Text Char"/>
    <w:basedOn w:val="DefaultParagraphFont"/>
    <w:link w:val="CommentText"/>
    <w:uiPriority w:val="99"/>
    <w:rsid w:val="00B91A5A"/>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A5A"/>
    <w:rPr>
      <w:b/>
      <w:bCs/>
    </w:rPr>
  </w:style>
  <w:style w:type="character" w:customStyle="1" w:styleId="CommentSubjectChar">
    <w:name w:val="Comment Subject Char"/>
    <w:basedOn w:val="CommentTextChar"/>
    <w:link w:val="CommentSubject"/>
    <w:uiPriority w:val="99"/>
    <w:semiHidden/>
    <w:rsid w:val="00B91A5A"/>
    <w:rPr>
      <w:rFonts w:ascii="Times New Roman" w:eastAsia="Arial Unicode M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191116096">
      <w:bodyDiv w:val="1"/>
      <w:marLeft w:val="0"/>
      <w:marRight w:val="0"/>
      <w:marTop w:val="0"/>
      <w:marBottom w:val="0"/>
      <w:divBdr>
        <w:top w:val="none" w:sz="0" w:space="0" w:color="auto"/>
        <w:left w:val="none" w:sz="0" w:space="0" w:color="auto"/>
        <w:bottom w:val="none" w:sz="0" w:space="0" w:color="auto"/>
        <w:right w:val="none" w:sz="0" w:space="0" w:color="auto"/>
      </w:divBdr>
    </w:div>
    <w:div w:id="294070031">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663699486">
      <w:bodyDiv w:val="1"/>
      <w:marLeft w:val="0"/>
      <w:marRight w:val="0"/>
      <w:marTop w:val="0"/>
      <w:marBottom w:val="0"/>
      <w:divBdr>
        <w:top w:val="none" w:sz="0" w:space="0" w:color="auto"/>
        <w:left w:val="none" w:sz="0" w:space="0" w:color="auto"/>
        <w:bottom w:val="none" w:sz="0" w:space="0" w:color="auto"/>
        <w:right w:val="none" w:sz="0" w:space="0" w:color="auto"/>
      </w:divBdr>
    </w:div>
    <w:div w:id="795880086">
      <w:bodyDiv w:val="1"/>
      <w:marLeft w:val="0"/>
      <w:marRight w:val="0"/>
      <w:marTop w:val="0"/>
      <w:marBottom w:val="0"/>
      <w:divBdr>
        <w:top w:val="none" w:sz="0" w:space="0" w:color="auto"/>
        <w:left w:val="none" w:sz="0" w:space="0" w:color="auto"/>
        <w:bottom w:val="none" w:sz="0" w:space="0" w:color="auto"/>
        <w:right w:val="none" w:sz="0" w:space="0" w:color="auto"/>
      </w:divBdr>
    </w:div>
    <w:div w:id="847478106">
      <w:bodyDiv w:val="1"/>
      <w:marLeft w:val="0"/>
      <w:marRight w:val="0"/>
      <w:marTop w:val="0"/>
      <w:marBottom w:val="0"/>
      <w:divBdr>
        <w:top w:val="none" w:sz="0" w:space="0" w:color="auto"/>
        <w:left w:val="none" w:sz="0" w:space="0" w:color="auto"/>
        <w:bottom w:val="none" w:sz="0" w:space="0" w:color="auto"/>
        <w:right w:val="none" w:sz="0" w:space="0" w:color="auto"/>
      </w:divBdr>
    </w:div>
    <w:div w:id="1188831542">
      <w:bodyDiv w:val="1"/>
      <w:marLeft w:val="0"/>
      <w:marRight w:val="0"/>
      <w:marTop w:val="0"/>
      <w:marBottom w:val="0"/>
      <w:divBdr>
        <w:top w:val="none" w:sz="0" w:space="0" w:color="auto"/>
        <w:left w:val="none" w:sz="0" w:space="0" w:color="auto"/>
        <w:bottom w:val="none" w:sz="0" w:space="0" w:color="auto"/>
        <w:right w:val="none" w:sz="0" w:space="0" w:color="auto"/>
      </w:divBdr>
    </w:div>
    <w:div w:id="1209955533">
      <w:bodyDiv w:val="1"/>
      <w:marLeft w:val="0"/>
      <w:marRight w:val="0"/>
      <w:marTop w:val="0"/>
      <w:marBottom w:val="0"/>
      <w:divBdr>
        <w:top w:val="none" w:sz="0" w:space="0" w:color="auto"/>
        <w:left w:val="none" w:sz="0" w:space="0" w:color="auto"/>
        <w:bottom w:val="none" w:sz="0" w:space="0" w:color="auto"/>
        <w:right w:val="none" w:sz="0" w:space="0" w:color="auto"/>
      </w:divBdr>
    </w:div>
    <w:div w:id="1263760873">
      <w:bodyDiv w:val="1"/>
      <w:marLeft w:val="0"/>
      <w:marRight w:val="0"/>
      <w:marTop w:val="0"/>
      <w:marBottom w:val="0"/>
      <w:divBdr>
        <w:top w:val="none" w:sz="0" w:space="0" w:color="auto"/>
        <w:left w:val="none" w:sz="0" w:space="0" w:color="auto"/>
        <w:bottom w:val="none" w:sz="0" w:space="0" w:color="auto"/>
        <w:right w:val="none" w:sz="0" w:space="0" w:color="auto"/>
      </w:divBdr>
    </w:div>
    <w:div w:id="1280335748">
      <w:bodyDiv w:val="1"/>
      <w:marLeft w:val="0"/>
      <w:marRight w:val="0"/>
      <w:marTop w:val="0"/>
      <w:marBottom w:val="0"/>
      <w:divBdr>
        <w:top w:val="none" w:sz="0" w:space="0" w:color="auto"/>
        <w:left w:val="none" w:sz="0" w:space="0" w:color="auto"/>
        <w:bottom w:val="none" w:sz="0" w:space="0" w:color="auto"/>
        <w:right w:val="none" w:sz="0" w:space="0" w:color="auto"/>
      </w:divBdr>
    </w:div>
    <w:div w:id="1294293553">
      <w:bodyDiv w:val="1"/>
      <w:marLeft w:val="0"/>
      <w:marRight w:val="0"/>
      <w:marTop w:val="0"/>
      <w:marBottom w:val="0"/>
      <w:divBdr>
        <w:top w:val="none" w:sz="0" w:space="0" w:color="auto"/>
        <w:left w:val="none" w:sz="0" w:space="0" w:color="auto"/>
        <w:bottom w:val="none" w:sz="0" w:space="0" w:color="auto"/>
        <w:right w:val="none" w:sz="0" w:space="0" w:color="auto"/>
      </w:divBdr>
    </w:div>
    <w:div w:id="1302534738">
      <w:bodyDiv w:val="1"/>
      <w:marLeft w:val="0"/>
      <w:marRight w:val="0"/>
      <w:marTop w:val="0"/>
      <w:marBottom w:val="0"/>
      <w:divBdr>
        <w:top w:val="none" w:sz="0" w:space="0" w:color="auto"/>
        <w:left w:val="none" w:sz="0" w:space="0" w:color="auto"/>
        <w:bottom w:val="none" w:sz="0" w:space="0" w:color="auto"/>
        <w:right w:val="none" w:sz="0" w:space="0" w:color="auto"/>
      </w:divBdr>
    </w:div>
    <w:div w:id="1362439418">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1590574759">
      <w:bodyDiv w:val="1"/>
      <w:marLeft w:val="0"/>
      <w:marRight w:val="0"/>
      <w:marTop w:val="0"/>
      <w:marBottom w:val="0"/>
      <w:divBdr>
        <w:top w:val="none" w:sz="0" w:space="0" w:color="auto"/>
        <w:left w:val="none" w:sz="0" w:space="0" w:color="auto"/>
        <w:bottom w:val="none" w:sz="0" w:space="0" w:color="auto"/>
        <w:right w:val="none" w:sz="0" w:space="0" w:color="auto"/>
      </w:divBdr>
    </w:div>
    <w:div w:id="1688870966">
      <w:bodyDiv w:val="1"/>
      <w:marLeft w:val="0"/>
      <w:marRight w:val="0"/>
      <w:marTop w:val="0"/>
      <w:marBottom w:val="0"/>
      <w:divBdr>
        <w:top w:val="none" w:sz="0" w:space="0" w:color="auto"/>
        <w:left w:val="none" w:sz="0" w:space="0" w:color="auto"/>
        <w:bottom w:val="none" w:sz="0" w:space="0" w:color="auto"/>
        <w:right w:val="none" w:sz="0" w:space="0" w:color="auto"/>
      </w:divBdr>
    </w:div>
    <w:div w:id="18974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8DFA-B2B7-4CA6-84CB-E00C14B7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Raminta Mecelicė</cp:lastModifiedBy>
  <cp:revision>6</cp:revision>
  <dcterms:created xsi:type="dcterms:W3CDTF">2025-02-12T11:21:00Z</dcterms:created>
  <dcterms:modified xsi:type="dcterms:W3CDTF">2025-02-12T11:35:00Z</dcterms:modified>
</cp:coreProperties>
</file>