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6F5D9F" w:rsidRPr="00A21DF5" w14:paraId="45A94346" w14:textId="77777777" w:rsidTr="00271ED9">
        <w:trPr>
          <w:trHeight w:val="1040"/>
        </w:trPr>
        <w:tc>
          <w:tcPr>
            <w:tcW w:w="4788" w:type="dxa"/>
          </w:tcPr>
          <w:p w14:paraId="688106B6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</w:rPr>
            </w:pPr>
          </w:p>
          <w:p w14:paraId="38EB6C3A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</w:rPr>
            </w:pPr>
          </w:p>
          <w:p w14:paraId="3AA3CD6E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</w:rPr>
            </w:pPr>
            <w:r w:rsidRPr="006F5D9F">
              <w:rPr>
                <w:sz w:val="24"/>
                <w:szCs w:val="24"/>
              </w:rPr>
              <w:t>Tiekėjams</w:t>
            </w:r>
          </w:p>
          <w:p w14:paraId="390CBF11" w14:textId="77777777" w:rsidR="006F5D9F" w:rsidRPr="006F5D9F" w:rsidRDefault="006F5D9F" w:rsidP="00271ED9">
            <w:pPr>
              <w:pStyle w:val="Antrats"/>
              <w:spacing w:line="320" w:lineRule="atLeast"/>
              <w:rPr>
                <w:i/>
                <w:iCs/>
                <w:sz w:val="24"/>
                <w:szCs w:val="24"/>
              </w:rPr>
            </w:pPr>
            <w:r w:rsidRPr="006F5D9F"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390ABB4E" w14:textId="77777777" w:rsidR="006F5D9F" w:rsidRPr="006F5D9F" w:rsidRDefault="006F5D9F" w:rsidP="00271ED9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6BC067CA" w14:textId="77777777" w:rsidR="006F5D9F" w:rsidRPr="006F5D9F" w:rsidRDefault="006F5D9F" w:rsidP="00271ED9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4F5AA306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632CF3B8" w14:textId="77777777" w:rsidR="006F5D9F" w:rsidRPr="006F5D9F" w:rsidRDefault="006F5D9F" w:rsidP="00271ED9">
            <w:pPr>
              <w:pStyle w:val="Antrats"/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E8ED22E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5821FD9C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2B0B2DC7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  <w:lang w:eastAsia="en-US"/>
              </w:rPr>
            </w:pPr>
            <w:r w:rsidRPr="006F5D9F">
              <w:rPr>
                <w:sz w:val="24"/>
                <w:szCs w:val="24"/>
                <w:lang w:eastAsia="en-US"/>
              </w:rPr>
              <w:t>2025-02-13</w:t>
            </w:r>
          </w:p>
          <w:p w14:paraId="66E7F88B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6C36D0BF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0DF330F1" w14:textId="77777777" w:rsidR="006F5D9F" w:rsidRPr="006F5D9F" w:rsidRDefault="006F5D9F" w:rsidP="00271ED9">
            <w:pPr>
              <w:pStyle w:val="Antrats"/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</w:tr>
    </w:tbl>
    <w:p w14:paraId="0986B757" w14:textId="0298139F" w:rsidR="006F5D9F" w:rsidRPr="003A79DE" w:rsidRDefault="006F5D9F" w:rsidP="006F5D9F">
      <w:pPr>
        <w:spacing w:line="320" w:lineRule="atLeast"/>
        <w:ind w:firstLine="709"/>
        <w:jc w:val="both"/>
        <w:rPr>
          <w:b/>
          <w:bCs/>
        </w:rPr>
      </w:pPr>
      <w:r w:rsidRPr="003A79DE">
        <w:rPr>
          <w:b/>
          <w:bCs/>
        </w:rPr>
        <w:t>Dėl atsakym</w:t>
      </w:r>
      <w:r>
        <w:rPr>
          <w:b/>
          <w:bCs/>
        </w:rPr>
        <w:t>ų</w:t>
      </w:r>
      <w:r w:rsidRPr="003A79DE">
        <w:rPr>
          <w:b/>
          <w:bCs/>
        </w:rPr>
        <w:t xml:space="preserve"> į tiekėj</w:t>
      </w:r>
      <w:r>
        <w:rPr>
          <w:b/>
          <w:bCs/>
        </w:rPr>
        <w:t>o</w:t>
      </w:r>
      <w:r w:rsidRPr="003A79DE">
        <w:rPr>
          <w:b/>
          <w:bCs/>
        </w:rPr>
        <w:t xml:space="preserve"> klausim</w:t>
      </w:r>
      <w:r>
        <w:rPr>
          <w:b/>
          <w:bCs/>
        </w:rPr>
        <w:t>us</w:t>
      </w:r>
    </w:p>
    <w:p w14:paraId="10342F18" w14:textId="77777777" w:rsidR="006F5D9F" w:rsidRDefault="006F5D9F" w:rsidP="006F5D9F">
      <w:pPr>
        <w:spacing w:line="320" w:lineRule="atLeast"/>
        <w:ind w:firstLine="709"/>
        <w:jc w:val="both"/>
      </w:pPr>
    </w:p>
    <w:p w14:paraId="3CFF5ED2" w14:textId="77777777" w:rsidR="006F5D9F" w:rsidRDefault="006F5D9F" w:rsidP="006F5D9F">
      <w:pPr>
        <w:spacing w:line="320" w:lineRule="atLeast"/>
        <w:ind w:firstLine="709"/>
        <w:jc w:val="both"/>
        <w:rPr>
          <w:b/>
        </w:rPr>
      </w:pPr>
      <w:r w:rsidRPr="00A21DF5">
        <w:t>Kauno rajono savivaldybės administracij</w:t>
      </w:r>
      <w:r>
        <w:t xml:space="preserve">os sudaryta Nuolatinė viešųjų pirkimų komisija (toliau – Komisija) vykdo supaprastinto atviro konkurso </w:t>
      </w:r>
      <w:r w:rsidRPr="007845FE">
        <w:t>„</w:t>
      </w:r>
      <w:r>
        <w:t>Projektų įgyvendinimo planų ir investicinių projektų parengimo</w:t>
      </w:r>
      <w:r w:rsidRPr="00A60482">
        <w:t xml:space="preserve"> </w:t>
      </w:r>
      <w:r>
        <w:t xml:space="preserve">paslaugų </w:t>
      </w:r>
      <w:r>
        <w:rPr>
          <w:bCs/>
        </w:rPr>
        <w:t>viešasis pirkimas</w:t>
      </w:r>
      <w:r>
        <w:t>“</w:t>
      </w:r>
      <w:r w:rsidRPr="007845FE">
        <w:t xml:space="preserve"> (toliau – Pirkimas) procedūras</w:t>
      </w:r>
      <w:r>
        <w:t xml:space="preserve">. </w:t>
      </w:r>
      <w:r w:rsidRPr="007845FE">
        <w:t>202</w:t>
      </w:r>
      <w:r>
        <w:t>5-02-13 buvo</w:t>
      </w:r>
      <w:r w:rsidRPr="007845FE">
        <w:t xml:space="preserve"> nagrinėj</w:t>
      </w:r>
      <w:r>
        <w:t>ami</w:t>
      </w:r>
      <w:r w:rsidRPr="007845FE">
        <w:t xml:space="preserve"> CVP IS elektroninėmis priemonėmis gaut</w:t>
      </w:r>
      <w:r>
        <w:t xml:space="preserve">i </w:t>
      </w:r>
      <w:r w:rsidRPr="007845FE">
        <w:t>tiekėj</w:t>
      </w:r>
      <w:r>
        <w:t>o</w:t>
      </w:r>
      <w:r w:rsidRPr="007845FE">
        <w:t xml:space="preserve"> klausim</w:t>
      </w:r>
      <w:r>
        <w:t>ai</w:t>
      </w:r>
      <w:r w:rsidRPr="007845FE">
        <w:t xml:space="preserve"> ir pateikia</w:t>
      </w:r>
      <w:r>
        <w:t>mi</w:t>
      </w:r>
      <w:r w:rsidRPr="007845FE">
        <w:t xml:space="preserve"> atsakym</w:t>
      </w:r>
      <w:r>
        <w:t>ai</w:t>
      </w:r>
      <w:r w:rsidRPr="007845FE">
        <w:t xml:space="preserve"> į j</w:t>
      </w:r>
      <w:r>
        <w:t>uos</w:t>
      </w:r>
      <w:r w:rsidRPr="007845FE">
        <w:t>:</w:t>
      </w:r>
    </w:p>
    <w:p w14:paraId="2BE5737C" w14:textId="77777777" w:rsidR="006F5D9F" w:rsidRDefault="006F5D9F" w:rsidP="006F5D9F">
      <w:pPr>
        <w:spacing w:line="320" w:lineRule="atLeast"/>
        <w:ind w:firstLine="709"/>
        <w:jc w:val="both"/>
      </w:pPr>
      <w:r w:rsidRPr="00585229">
        <w:rPr>
          <w:b/>
          <w:bCs/>
        </w:rPr>
        <w:t>Tiekėjo klausimas</w:t>
      </w:r>
      <w:r>
        <w:rPr>
          <w:b/>
          <w:bCs/>
        </w:rPr>
        <w:t xml:space="preserve"> (kalba neredaguota) Nr. 1</w:t>
      </w:r>
      <w:r>
        <w:t>: „A</w:t>
      </w:r>
      <w:r w:rsidRPr="00960632">
        <w:t>r nurodyti kiekiai yra unikalūs, t. y. ar reikės parengti 20 unikalių investicijų projektų ir 25 unikalius projektų įgyvendinimo planus, ar pasiūlymo pateikimo lentelėje kiekiai dubliuosis?</w:t>
      </w:r>
      <w:r>
        <w:t>“</w:t>
      </w:r>
    </w:p>
    <w:p w14:paraId="1C8C23AE" w14:textId="77777777" w:rsidR="006F5D9F" w:rsidRDefault="006F5D9F" w:rsidP="006F5D9F">
      <w:pPr>
        <w:spacing w:line="320" w:lineRule="atLeast"/>
        <w:ind w:firstLine="709"/>
        <w:jc w:val="both"/>
        <w:rPr>
          <w:rFonts w:eastAsia="Calibri"/>
        </w:rPr>
      </w:pPr>
      <w:r>
        <w:rPr>
          <w:b/>
          <w:bCs/>
        </w:rPr>
        <w:t>Komisijos a</w:t>
      </w:r>
      <w:r w:rsidRPr="003A79DE">
        <w:rPr>
          <w:b/>
          <w:bCs/>
        </w:rPr>
        <w:t>tsakymas:</w:t>
      </w:r>
      <w:r>
        <w:t xml:space="preserve"> Atsižvelgiant į tai, kad Pirkimo sąlygų 1 priede „Pasiūlymo forma“ esančioje kainų lentelėje informacija pateikta klaidinančiai, Komisija nusprendė ją patikslinti, išbraukiant iš jos eilutę Nr. 3 „</w:t>
      </w:r>
      <w:r w:rsidRPr="00210915">
        <w:rPr>
          <w:rFonts w:eastAsia="Calibri"/>
          <w:i/>
          <w:iCs/>
        </w:rPr>
        <w:t>Projekto įgyvendinimo plano ir investicinio projekto parengimas</w:t>
      </w:r>
      <w:r w:rsidRPr="00210915">
        <w:t xml:space="preserve"> </w:t>
      </w:r>
      <w:r w:rsidRPr="00210915">
        <w:rPr>
          <w:rFonts w:eastAsia="Calibri"/>
        </w:rPr>
        <w:t>(</w:t>
      </w:r>
      <w:r w:rsidRPr="00210915">
        <w:rPr>
          <w:rFonts w:eastAsia="Calibri"/>
          <w:i/>
          <w:iCs/>
        </w:rPr>
        <w:t>nurodomas įkainis, kai užsakomas PĮP ir IP kartu</w:t>
      </w:r>
      <w:r w:rsidRPr="00210915">
        <w:rPr>
          <w:rFonts w:eastAsia="Calibri"/>
        </w:rPr>
        <w:t>)</w:t>
      </w:r>
      <w:r>
        <w:rPr>
          <w:rFonts w:eastAsia="Calibri"/>
        </w:rPr>
        <w:t>“, taip pat patikslinant eilutėje Nr. 1 „</w:t>
      </w:r>
      <w:r w:rsidRPr="00E75411">
        <w:rPr>
          <w:rFonts w:eastAsia="Calibri"/>
          <w:i/>
          <w:iCs/>
        </w:rPr>
        <w:t>Projekto įgyvendinimo plano (PĮP) parengimas</w:t>
      </w:r>
      <w:r>
        <w:rPr>
          <w:rFonts w:eastAsia="Calibri"/>
        </w:rPr>
        <w:t xml:space="preserve">“ nurodytą preliminarų kiekį iš 15 vnt. į 10 vnt. </w:t>
      </w:r>
    </w:p>
    <w:p w14:paraId="47419690" w14:textId="77777777" w:rsidR="006F5D9F" w:rsidRDefault="006F5D9F" w:rsidP="006F5D9F">
      <w:pPr>
        <w:spacing w:line="320" w:lineRule="atLeast"/>
        <w:ind w:firstLine="709"/>
        <w:jc w:val="both"/>
        <w:rPr>
          <w:rFonts w:eastAsia="Calibri"/>
        </w:rPr>
      </w:pPr>
      <w:r>
        <w:rPr>
          <w:rFonts w:eastAsia="Calibri"/>
        </w:rPr>
        <w:t>Patikslintos 4 lentelės „Pasiūlymo kaina“ aktuali redakcija:</w:t>
      </w:r>
    </w:p>
    <w:p w14:paraId="3A39EFAD" w14:textId="77777777" w:rsidR="006F5D9F" w:rsidRDefault="006F5D9F" w:rsidP="006F5D9F">
      <w:pPr>
        <w:spacing w:line="320" w:lineRule="atLeast"/>
        <w:ind w:firstLine="709"/>
        <w:jc w:val="both"/>
        <w:rPr>
          <w:rFonts w:eastAsia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282"/>
        <w:gridCol w:w="763"/>
        <w:gridCol w:w="1617"/>
        <w:gridCol w:w="1706"/>
        <w:gridCol w:w="1980"/>
      </w:tblGrid>
      <w:tr w:rsidR="006F5D9F" w:rsidRPr="00731AEF" w14:paraId="1E54890F" w14:textId="77777777" w:rsidTr="00271ED9">
        <w:trPr>
          <w:trHeight w:val="1459"/>
        </w:trPr>
        <w:tc>
          <w:tcPr>
            <w:tcW w:w="57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7FC3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82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335C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Paslaugų pavadinimai</w:t>
            </w:r>
          </w:p>
        </w:tc>
        <w:tc>
          <w:tcPr>
            <w:tcW w:w="763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09E4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Mato vnt.</w:t>
            </w:r>
          </w:p>
        </w:tc>
        <w:tc>
          <w:tcPr>
            <w:tcW w:w="161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55E1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</w:p>
          <w:p w14:paraId="02B081B8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Preliminarus kiekis (36 mėn.), tik pasiūlymų vertinimui*</w:t>
            </w:r>
          </w:p>
        </w:tc>
        <w:tc>
          <w:tcPr>
            <w:tcW w:w="1706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0F63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</w:p>
          <w:p w14:paraId="1AF434DE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 xml:space="preserve">Vieneto įkainis </w:t>
            </w:r>
            <w:r>
              <w:rPr>
                <w:rFonts w:eastAsia="Calibri"/>
                <w:b/>
                <w:bCs/>
              </w:rPr>
              <w:t>E</w:t>
            </w:r>
            <w:r>
              <w:rPr>
                <w:rFonts w:eastAsia="Calibri"/>
                <w:b/>
              </w:rPr>
              <w:t xml:space="preserve">ur </w:t>
            </w:r>
            <w:r w:rsidRPr="00731AEF">
              <w:rPr>
                <w:rFonts w:eastAsia="Calibri"/>
                <w:b/>
                <w:bCs/>
              </w:rPr>
              <w:t>be PVM</w:t>
            </w:r>
          </w:p>
        </w:tc>
        <w:tc>
          <w:tcPr>
            <w:tcW w:w="198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E258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Bendra kaina</w:t>
            </w:r>
          </w:p>
          <w:p w14:paraId="0EA41E91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Eur be PVM</w:t>
            </w:r>
          </w:p>
          <w:p w14:paraId="493556EC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(4.x5.)</w:t>
            </w:r>
          </w:p>
        </w:tc>
      </w:tr>
      <w:tr w:rsidR="006F5D9F" w:rsidRPr="00731AEF" w14:paraId="7791CF78" w14:textId="77777777" w:rsidTr="00271ED9">
        <w:trPr>
          <w:trHeight w:val="12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B873" w14:textId="77777777" w:rsidR="006F5D9F" w:rsidRPr="00731AEF" w:rsidRDefault="006F5D9F" w:rsidP="00271ED9">
            <w:pPr>
              <w:autoSpaceDE w:val="0"/>
              <w:adjustRightInd w:val="0"/>
              <w:jc w:val="center"/>
              <w:rPr>
                <w:rFonts w:eastAsia="Calibri"/>
              </w:rPr>
            </w:pPr>
            <w:r w:rsidRPr="00731AEF">
              <w:rPr>
                <w:rFonts w:eastAsia="Calibri"/>
              </w:rPr>
              <w:t>1.</w:t>
            </w:r>
          </w:p>
        </w:tc>
        <w:tc>
          <w:tcPr>
            <w:tcW w:w="32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EFDE" w14:textId="77777777" w:rsidR="006F5D9F" w:rsidRPr="00731AEF" w:rsidRDefault="006F5D9F" w:rsidP="00271ED9">
            <w:pPr>
              <w:autoSpaceDE w:val="0"/>
              <w:adjustRightInd w:val="0"/>
              <w:jc w:val="center"/>
              <w:rPr>
                <w:rFonts w:eastAsia="Calibri"/>
              </w:rPr>
            </w:pPr>
            <w:r w:rsidRPr="00731AEF">
              <w:rPr>
                <w:rFonts w:eastAsia="Calibri"/>
              </w:rPr>
              <w:t>2.</w:t>
            </w:r>
          </w:p>
        </w:tc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D432" w14:textId="77777777" w:rsidR="006F5D9F" w:rsidRPr="00731AEF" w:rsidRDefault="006F5D9F" w:rsidP="00271ED9">
            <w:pPr>
              <w:autoSpaceDE w:val="0"/>
              <w:adjustRightInd w:val="0"/>
              <w:jc w:val="center"/>
              <w:rPr>
                <w:rFonts w:eastAsia="Calibri"/>
              </w:rPr>
            </w:pPr>
            <w:r w:rsidRPr="00731AEF">
              <w:rPr>
                <w:rFonts w:eastAsia="Calibri"/>
              </w:rPr>
              <w:t>3.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2CA6" w14:textId="77777777" w:rsidR="006F5D9F" w:rsidRPr="00731AEF" w:rsidRDefault="006F5D9F" w:rsidP="00271ED9">
            <w:pPr>
              <w:autoSpaceDE w:val="0"/>
              <w:adjustRightInd w:val="0"/>
              <w:jc w:val="center"/>
              <w:rPr>
                <w:rFonts w:eastAsia="Calibri"/>
              </w:rPr>
            </w:pPr>
            <w:r w:rsidRPr="00731AEF">
              <w:rPr>
                <w:rFonts w:eastAsia="Calibri"/>
              </w:rPr>
              <w:t>4.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B5C5" w14:textId="77777777" w:rsidR="006F5D9F" w:rsidRPr="00731AEF" w:rsidRDefault="006F5D9F" w:rsidP="00271ED9">
            <w:pPr>
              <w:autoSpaceDE w:val="0"/>
              <w:adjustRightInd w:val="0"/>
              <w:jc w:val="center"/>
              <w:rPr>
                <w:rFonts w:eastAsia="Calibri"/>
              </w:rPr>
            </w:pPr>
            <w:r w:rsidRPr="00731AEF">
              <w:rPr>
                <w:rFonts w:eastAsia="Calibri"/>
              </w:rPr>
              <w:t>5.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1BC2" w14:textId="77777777" w:rsidR="006F5D9F" w:rsidRPr="00731AEF" w:rsidRDefault="006F5D9F" w:rsidP="00271ED9">
            <w:pPr>
              <w:autoSpaceDE w:val="0"/>
              <w:adjustRightInd w:val="0"/>
              <w:jc w:val="center"/>
              <w:rPr>
                <w:rFonts w:eastAsia="Calibri"/>
              </w:rPr>
            </w:pPr>
            <w:r w:rsidRPr="00731AEF">
              <w:rPr>
                <w:rFonts w:eastAsia="Calibri"/>
              </w:rPr>
              <w:t>6.</w:t>
            </w:r>
          </w:p>
        </w:tc>
      </w:tr>
      <w:tr w:rsidR="006F5D9F" w:rsidRPr="00731AEF" w14:paraId="22C52BDA" w14:textId="77777777" w:rsidTr="00271ED9">
        <w:trPr>
          <w:trHeight w:val="644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214F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  <w:r w:rsidRPr="00731AEF">
              <w:rPr>
                <w:rFonts w:eastAsia="Calibri"/>
              </w:rPr>
              <w:t>1.</w:t>
            </w:r>
          </w:p>
        </w:tc>
        <w:tc>
          <w:tcPr>
            <w:tcW w:w="3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B124" w14:textId="77777777" w:rsidR="006F5D9F" w:rsidRDefault="006F5D9F" w:rsidP="00271ED9">
            <w:pPr>
              <w:autoSpaceDE w:val="0"/>
              <w:adjustRightInd w:val="0"/>
              <w:rPr>
                <w:rFonts w:eastAsia="Calibri"/>
              </w:rPr>
            </w:pPr>
            <w:r w:rsidRPr="00731AEF">
              <w:rPr>
                <w:rFonts w:eastAsia="Calibri"/>
              </w:rPr>
              <w:t>Projekto įgyvendinimo plano (PĮP) parengimas</w:t>
            </w:r>
          </w:p>
          <w:p w14:paraId="2D535299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8AF9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</w:p>
          <w:p w14:paraId="0DA47908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  <w:r w:rsidRPr="00731AEF">
              <w:rPr>
                <w:rFonts w:eastAsia="Calibri"/>
              </w:rPr>
              <w:t>Vnt.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E412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  <w:r w:rsidRPr="00731AEF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8145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224A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</w:tr>
      <w:tr w:rsidR="006F5D9F" w:rsidRPr="00731AEF" w14:paraId="30728B2E" w14:textId="77777777" w:rsidTr="00271ED9">
        <w:trPr>
          <w:trHeight w:val="409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222A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  <w:r w:rsidRPr="00731AEF">
              <w:rPr>
                <w:rFonts w:eastAsia="Calibri"/>
              </w:rPr>
              <w:t>2.</w:t>
            </w:r>
          </w:p>
        </w:tc>
        <w:tc>
          <w:tcPr>
            <w:tcW w:w="32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622D" w14:textId="77777777" w:rsidR="006F5D9F" w:rsidRDefault="006F5D9F" w:rsidP="00271ED9">
            <w:pPr>
              <w:autoSpaceDE w:val="0"/>
              <w:adjustRightInd w:val="0"/>
              <w:rPr>
                <w:rFonts w:eastAsia="Calibri"/>
              </w:rPr>
            </w:pPr>
            <w:r w:rsidRPr="00731AEF">
              <w:rPr>
                <w:rFonts w:eastAsia="Calibri"/>
              </w:rPr>
              <w:t>Investicinio projekto (IP) parengimas</w:t>
            </w:r>
          </w:p>
          <w:p w14:paraId="1A1225AD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2E35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  <w:b/>
                <w:bCs/>
              </w:rPr>
            </w:pPr>
          </w:p>
          <w:p w14:paraId="30C58CF8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  <w:r w:rsidRPr="00731AEF">
              <w:rPr>
                <w:rFonts w:eastAsia="Calibri"/>
              </w:rPr>
              <w:t>Vnt.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E2DB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  <w:r w:rsidRPr="00731AEF">
              <w:rPr>
                <w:rFonts w:eastAsia="Calibri"/>
              </w:rPr>
              <w:t>10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C075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F443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</w:tr>
      <w:tr w:rsidR="006F5D9F" w:rsidRPr="00731AEF" w14:paraId="4BDCDAD3" w14:textId="77777777" w:rsidTr="00271ED9">
        <w:trPr>
          <w:trHeight w:val="138"/>
        </w:trPr>
        <w:tc>
          <w:tcPr>
            <w:tcW w:w="793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24B6" w14:textId="77777777" w:rsidR="006F5D9F" w:rsidRPr="00731AEF" w:rsidRDefault="006F5D9F" w:rsidP="00271ED9">
            <w:pPr>
              <w:autoSpaceDE w:val="0"/>
              <w:adjustRightInd w:val="0"/>
              <w:jc w:val="right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Bendra palyginamoji pasiūlymo kaina Eur be PVM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36C5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</w:tr>
      <w:tr w:rsidR="006F5D9F" w:rsidRPr="00731AEF" w14:paraId="021E48FE" w14:textId="77777777" w:rsidTr="00271ED9">
        <w:trPr>
          <w:trHeight w:val="142"/>
        </w:trPr>
        <w:tc>
          <w:tcPr>
            <w:tcW w:w="793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BC22" w14:textId="77777777" w:rsidR="006F5D9F" w:rsidRPr="00731AEF" w:rsidRDefault="006F5D9F" w:rsidP="00271ED9">
            <w:pPr>
              <w:autoSpaceDE w:val="0"/>
              <w:adjustRightInd w:val="0"/>
              <w:jc w:val="right"/>
              <w:rPr>
                <w:rFonts w:eastAsia="Calibri"/>
                <w:b/>
                <w:bCs/>
              </w:rPr>
            </w:pPr>
            <w:r w:rsidRPr="00731AEF">
              <w:rPr>
                <w:rFonts w:eastAsia="Calibri"/>
                <w:b/>
                <w:bCs/>
              </w:rPr>
              <w:t>PVM (</w:t>
            </w:r>
            <w:r w:rsidRPr="00731AEF">
              <w:rPr>
                <w:rFonts w:eastAsia="Calibri"/>
                <w:b/>
                <w:bCs/>
                <w:i/>
                <w:iCs/>
              </w:rPr>
              <w:t>nurodyti</w:t>
            </w:r>
            <w:r w:rsidRPr="00731AEF">
              <w:rPr>
                <w:rFonts w:eastAsia="Calibri"/>
                <w:b/>
                <w:bCs/>
              </w:rPr>
              <w:t xml:space="preserve"> proc.)**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6706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</w:tr>
      <w:tr w:rsidR="006F5D9F" w:rsidRPr="00731AEF" w14:paraId="4ABC62CF" w14:textId="77777777" w:rsidTr="00271ED9">
        <w:trPr>
          <w:trHeight w:val="127"/>
        </w:trPr>
        <w:tc>
          <w:tcPr>
            <w:tcW w:w="793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FCC2" w14:textId="77777777" w:rsidR="006F5D9F" w:rsidRPr="00731AEF" w:rsidRDefault="006F5D9F" w:rsidP="00271ED9">
            <w:pPr>
              <w:autoSpaceDE w:val="0"/>
              <w:adjustRightInd w:val="0"/>
              <w:jc w:val="right"/>
              <w:rPr>
                <w:rFonts w:eastAsia="Calibri"/>
              </w:rPr>
            </w:pPr>
            <w:r w:rsidRPr="00731AEF">
              <w:rPr>
                <w:rFonts w:eastAsia="Calibri"/>
                <w:b/>
                <w:bCs/>
              </w:rPr>
              <w:t>Bendra palyginamoji pasiūlymo kaina Eur su PVM***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7911" w14:textId="77777777" w:rsidR="006F5D9F" w:rsidRPr="00731AEF" w:rsidRDefault="006F5D9F" w:rsidP="00271ED9">
            <w:pPr>
              <w:autoSpaceDE w:val="0"/>
              <w:adjustRightInd w:val="0"/>
              <w:rPr>
                <w:rFonts w:eastAsia="Calibri"/>
              </w:rPr>
            </w:pPr>
          </w:p>
        </w:tc>
      </w:tr>
    </w:tbl>
    <w:p w14:paraId="38276CAD" w14:textId="77777777" w:rsidR="006F5D9F" w:rsidRDefault="006F5D9F" w:rsidP="006F5D9F">
      <w:pPr>
        <w:spacing w:line="320" w:lineRule="atLeast"/>
        <w:jc w:val="both"/>
      </w:pPr>
    </w:p>
    <w:p w14:paraId="5B80FBA4" w14:textId="77777777" w:rsidR="006F5D9F" w:rsidRDefault="006F5D9F" w:rsidP="006F5D9F">
      <w:pPr>
        <w:spacing w:line="320" w:lineRule="atLeast"/>
        <w:ind w:firstLine="709"/>
        <w:jc w:val="both"/>
      </w:pPr>
      <w:r>
        <w:t xml:space="preserve">PRIDEDAMA: patikslintos Pirkimo sąlygos (2025-02-13 redakcija), 22 psl. </w:t>
      </w:r>
    </w:p>
    <w:p w14:paraId="7E42B7C3" w14:textId="77777777" w:rsidR="006F5D9F" w:rsidRDefault="006F5D9F" w:rsidP="006F5D9F">
      <w:pPr>
        <w:spacing w:line="320" w:lineRule="atLeast"/>
        <w:ind w:firstLine="709"/>
        <w:jc w:val="both"/>
        <w:rPr>
          <w:b/>
          <w:bCs/>
        </w:rPr>
      </w:pPr>
      <w:r w:rsidRPr="00585229">
        <w:rPr>
          <w:b/>
          <w:bCs/>
        </w:rPr>
        <w:t>Tiekėjo klausimas</w:t>
      </w:r>
      <w:r>
        <w:rPr>
          <w:b/>
          <w:bCs/>
        </w:rPr>
        <w:t xml:space="preserve"> (kalba neredaguota) Nr. 2: </w:t>
      </w:r>
      <w:r w:rsidRPr="00210915">
        <w:t>„</w:t>
      </w:r>
      <w:r>
        <w:t>P</w:t>
      </w:r>
      <w:r w:rsidRPr="00960632">
        <w:t>rašome patikslinti terminą, per kurį tikitės gauti paslaugų kiekius, nurodytus pasiūlymo pateikimo lentelėje.</w:t>
      </w:r>
      <w:r w:rsidRPr="0030425A">
        <w:t>“</w:t>
      </w:r>
    </w:p>
    <w:p w14:paraId="6090B756" w14:textId="77777777" w:rsidR="006F5D9F" w:rsidRDefault="006F5D9F" w:rsidP="006F5D9F">
      <w:pPr>
        <w:spacing w:line="320" w:lineRule="atLeast"/>
        <w:ind w:firstLine="709"/>
        <w:jc w:val="both"/>
      </w:pPr>
      <w:r>
        <w:rPr>
          <w:b/>
          <w:bCs/>
        </w:rPr>
        <w:t>Komisijos a</w:t>
      </w:r>
      <w:r w:rsidRPr="003A79DE">
        <w:rPr>
          <w:b/>
          <w:bCs/>
        </w:rPr>
        <w:t>tsakymas:</w:t>
      </w:r>
      <w:r>
        <w:t xml:space="preserve"> Pirkimo sąlygų </w:t>
      </w:r>
      <w:r w:rsidRPr="00C65A29">
        <w:t>2.</w:t>
      </w:r>
      <w:r>
        <w:t>5</w:t>
      </w:r>
      <w:r w:rsidRPr="00C65A29">
        <w:t xml:space="preserve">. </w:t>
      </w:r>
      <w:r>
        <w:t>punkte nurodyta, kad „</w:t>
      </w:r>
      <w:r w:rsidRPr="00586F06">
        <w:t xml:space="preserve">Pirkimo sutartis bus </w:t>
      </w:r>
      <w:r w:rsidRPr="00D96C5C">
        <w:t>sudaroma 12 (dvylikai) mėnesių su galimybe</w:t>
      </w:r>
      <w:r w:rsidRPr="00586F06">
        <w:t xml:space="preserve"> pirkimo sutartį pratęsti </w:t>
      </w:r>
      <w:r w:rsidRPr="00CF0A3E">
        <w:t>2 (du) kartus po 12 (dvylika) mėnesių</w:t>
      </w:r>
      <w:r w:rsidRPr="00586F06">
        <w:t>,</w:t>
      </w:r>
      <w:r>
        <w:t xml:space="preserve"> </w:t>
      </w:r>
      <w:r w:rsidRPr="00586F06">
        <w:t xml:space="preserve">bet ne ilgiau nei bus suteikta Paslaugų už </w:t>
      </w:r>
      <w:r>
        <w:t>50 000</w:t>
      </w:r>
      <w:r w:rsidRPr="00586F06">
        <w:t xml:space="preserve">,00 </w:t>
      </w:r>
      <w:r w:rsidRPr="004549FA">
        <w:t>Eur (</w:t>
      </w:r>
      <w:r>
        <w:t>penkiasdešimt</w:t>
      </w:r>
      <w:r w:rsidRPr="004549FA">
        <w:t xml:space="preserve"> tūkstančių eurų) su PVM (jeigu tiekėjas bus ne PVM mokėtojas – už </w:t>
      </w:r>
      <w:r>
        <w:t>5</w:t>
      </w:r>
      <w:r w:rsidRPr="004549FA">
        <w:t xml:space="preserve">0 000,00 Eur sumą), </w:t>
      </w:r>
      <w:r w:rsidRPr="004549FA">
        <w:rPr>
          <w:lang w:eastAsia="ar-SA"/>
        </w:rPr>
        <w:t>priklausomai nuo to, kuri sąlyga įvyks anksčiau.</w:t>
      </w:r>
      <w:r>
        <w:rPr>
          <w:lang w:eastAsia="ar-SA"/>
        </w:rPr>
        <w:t xml:space="preserve">“ Taigi, bendras sutarties trukmės terminas yra 36 mėn. Preliminarūs kiekiai taip pat nurodyti 36 mėn. laikotarpiui. Tačiau kaip ir nurodyta Pirkimo sąlygų 2.3. punkte, </w:t>
      </w:r>
      <w:r w:rsidRPr="009B3041">
        <w:t xml:space="preserve">Paslaugos bus perkamos pagal perkančiosios organizacijos poreikį pagal tiekėjo įkainius, nurodytus tiekėjo pasiūlyme. </w:t>
      </w:r>
      <w:r w:rsidRPr="004A32B7">
        <w:t xml:space="preserve">Galutinė kaina, kurią </w:t>
      </w:r>
      <w:r>
        <w:t>p</w:t>
      </w:r>
      <w:r w:rsidRPr="004A32B7">
        <w:t xml:space="preserve">erkančioji </w:t>
      </w:r>
      <w:r w:rsidRPr="004A32B7">
        <w:lastRenderedPageBreak/>
        <w:t>organizacija turės sumokėti tiekėjui, priklausys nuo vykdant pirkimo sutartį nupirktų Paslaugų kiekio, tačiau ji negali viršyti 2.5. punkte nurodytos sumos</w:t>
      </w:r>
      <w:r>
        <w:t>. Pirkimo sąlygų 2.4. punkte nurodyta, kad p</w:t>
      </w:r>
      <w:r w:rsidRPr="004A32B7">
        <w:t xml:space="preserve">erkamų Paslaugų kiekiai, nurodyti </w:t>
      </w:r>
      <w:r>
        <w:t xml:space="preserve">kainų lentelėje (1 priedas), </w:t>
      </w:r>
      <w:r w:rsidRPr="004A32B7">
        <w:t>yra preliminarūs, bus naudojami</w:t>
      </w:r>
      <w:r w:rsidRPr="00FD16BB">
        <w:t xml:space="preserve"> tik tiekėjų pasiūlymų vertinime ir nebus laikomi maksimaliais. Perkančioji organizacija neįsipareigoja išpirkti viso nurodyto </w:t>
      </w:r>
      <w:r>
        <w:t xml:space="preserve">preliminaraus </w:t>
      </w:r>
      <w:r w:rsidRPr="00FD16BB">
        <w:t>kiekio</w:t>
      </w:r>
      <w:r>
        <w:t xml:space="preserve"> lentelėje. Kitaip sakant, gali pirkti mažiau, gali pirkti daugiau, neviršijant Pirkimo sąlygų 2.5. punkte nurodytos sumos. </w:t>
      </w:r>
    </w:p>
    <w:p w14:paraId="2AD6560E" w14:textId="77777777" w:rsidR="006F5D9F" w:rsidRDefault="006F5D9F" w:rsidP="006F5D9F">
      <w:pPr>
        <w:spacing w:line="320" w:lineRule="atLeast"/>
        <w:ind w:firstLine="709"/>
        <w:jc w:val="both"/>
      </w:pPr>
      <w:r>
        <w:t xml:space="preserve">Taip pat pažymime, kad (kaip ir nurodyta pačiose Pirkimo sąlygose (1 priede „Pasiūlymo forma“), </w:t>
      </w:r>
      <w:r w:rsidRPr="00F26870">
        <w:rPr>
          <w:i/>
        </w:rPr>
        <w:t>bendra palyginamoji pasiūlymo kaina</w:t>
      </w:r>
      <w:r w:rsidRPr="00FA5769">
        <w:rPr>
          <w:iCs/>
        </w:rPr>
        <w:t xml:space="preserve"> naudojama tik tiekėjų pasiūlymų vertinimui ir palyginimui, į sutartį ji nebus įrašoma</w:t>
      </w:r>
      <w:r>
        <w:rPr>
          <w:iCs/>
        </w:rPr>
        <w:t xml:space="preserve">. Tai reiškia, kad </w:t>
      </w:r>
      <w:r w:rsidRPr="004658D6">
        <w:t xml:space="preserve">vertinant, ar pasiūlyme nurodyta </w:t>
      </w:r>
      <w:r>
        <w:t xml:space="preserve">bendra pasiūlymo </w:t>
      </w:r>
      <w:r w:rsidRPr="004658D6">
        <w:t>kaina nėra per didelė ir perkančiajai organizacijai nepriimtin</w:t>
      </w:r>
      <w:r>
        <w:t xml:space="preserve">a, tiekėjo </w:t>
      </w:r>
      <w:r w:rsidRPr="000001AE">
        <w:rPr>
          <w:i/>
          <w:iCs/>
        </w:rPr>
        <w:t>bendra palyginamoji kaina</w:t>
      </w:r>
      <w:r>
        <w:t xml:space="preserve"> neprivalo sutapti su Pirkimui skirta lėšų suma (šiuo atveju – 50 000,00 Eur su PVM), nes tikslūs Paslaugų kiekiai nėra žinomi (vertinant, ar kaina nėra per didelė, perkančioji organizacija tokiu atveju prieš pirkimo procedūrą gali nusistatyti kitą palyginamąją kainą (kuri nėra viešinama). </w:t>
      </w:r>
    </w:p>
    <w:p w14:paraId="38064E89" w14:textId="77777777" w:rsidR="00B21453" w:rsidRDefault="00B21453" w:rsidP="006F5D9F">
      <w:pPr>
        <w:spacing w:line="320" w:lineRule="atLeast"/>
        <w:ind w:firstLine="709"/>
        <w:jc w:val="both"/>
      </w:pPr>
    </w:p>
    <w:p w14:paraId="08285B5D" w14:textId="77777777" w:rsidR="00B21453" w:rsidRPr="004658D6" w:rsidRDefault="00B21453" w:rsidP="00B21453">
      <w:pPr>
        <w:spacing w:line="320" w:lineRule="atLeast"/>
        <w:ind w:firstLine="709"/>
        <w:jc w:val="both"/>
      </w:pPr>
      <w:r>
        <w:t xml:space="preserve">Komisija, vadovaudamasi Pirkimo sąlygų 6.2. punktu, nusprendė nukelti </w:t>
      </w:r>
      <w:r w:rsidRPr="004658D6">
        <w:t xml:space="preserve">pasiūlymų pateikimo terminą </w:t>
      </w:r>
      <w:r w:rsidRPr="00E91247">
        <w:rPr>
          <w:b/>
          <w:bCs/>
        </w:rPr>
        <w:t>iki 2025-02-20 9:00 val.</w:t>
      </w:r>
      <w:r w:rsidRPr="004658D6">
        <w:t xml:space="preserve"> Susipažinimas su tiekėjų pasiūlymais vyks tą pačią dieną 9:30 val. Kauno rajono savivaldybės administracijoje.</w:t>
      </w:r>
    </w:p>
    <w:p w14:paraId="41EBA511" w14:textId="77777777" w:rsidR="00B21453" w:rsidRDefault="00B21453" w:rsidP="006F5D9F">
      <w:pPr>
        <w:spacing w:line="320" w:lineRule="atLeast"/>
        <w:ind w:firstLine="709"/>
        <w:jc w:val="both"/>
        <w:rPr>
          <w:i/>
        </w:rPr>
      </w:pPr>
    </w:p>
    <w:p w14:paraId="7BB01B91" w14:textId="77777777" w:rsidR="006F5D9F" w:rsidRPr="00043A91" w:rsidRDefault="006F5D9F" w:rsidP="006F5D9F">
      <w:pPr>
        <w:spacing w:line="320" w:lineRule="atLeast"/>
        <w:jc w:val="both"/>
      </w:pPr>
    </w:p>
    <w:p w14:paraId="2E1E8AA1" w14:textId="77777777" w:rsidR="006F5D9F" w:rsidRDefault="006F5D9F" w:rsidP="006F5D9F">
      <w:pPr>
        <w:spacing w:line="320" w:lineRule="atLeast"/>
        <w:ind w:firstLine="709"/>
        <w:jc w:val="both"/>
        <w:rPr>
          <w:i/>
          <w:iCs/>
          <w:color w:val="000000"/>
        </w:rPr>
      </w:pPr>
      <w:r w:rsidRPr="00A21DF5">
        <w:rPr>
          <w:i/>
          <w:iCs/>
          <w:color w:val="000000"/>
        </w:rPr>
        <w:t>Šis Pirkimo dokumentų paaiškinimas/patikslinimas yra neatskiriama Pirkimo dokumentų dalis.</w:t>
      </w:r>
    </w:p>
    <w:p w14:paraId="64B90D31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2A3BEE50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583240E9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1AF12049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2F704ABD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01F013AC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722F6D3F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207EF9D6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4243392B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27F509D4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68D811E6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44338955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0828677C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1116BF37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30B2592E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4513F607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29D24CDA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03DB06AA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049B5578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562A886D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38C0A167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50FCC429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0BFE2746" w14:textId="77777777" w:rsidR="006F5D9F" w:rsidRDefault="006F5D9F" w:rsidP="006F5D9F">
      <w:pPr>
        <w:spacing w:line="320" w:lineRule="atLeast"/>
        <w:jc w:val="both"/>
        <w:rPr>
          <w:b/>
        </w:rPr>
      </w:pPr>
    </w:p>
    <w:p w14:paraId="30355BC2" w14:textId="77777777" w:rsidR="006F5D9F" w:rsidRDefault="006F5D9F" w:rsidP="006F5D9F">
      <w:pPr>
        <w:spacing w:line="320" w:lineRule="atLeast"/>
        <w:ind w:firstLine="709"/>
        <w:jc w:val="both"/>
      </w:pPr>
      <w:r>
        <w:t>Viešųjų pirkimų skyriaus vyr. specialistė</w:t>
      </w:r>
    </w:p>
    <w:p w14:paraId="0A0DE537" w14:textId="77777777" w:rsidR="006F5D9F" w:rsidRDefault="006F5D9F" w:rsidP="006F5D9F">
      <w:pPr>
        <w:spacing w:line="320" w:lineRule="atLeast"/>
        <w:ind w:firstLine="709"/>
        <w:jc w:val="both"/>
      </w:pPr>
      <w:r>
        <w:t>Dovilė Kėkštienė</w:t>
      </w:r>
    </w:p>
    <w:p w14:paraId="521F2A3F" w14:textId="77777777" w:rsidR="006F5D9F" w:rsidRPr="004658D6" w:rsidRDefault="006F5D9F" w:rsidP="006F5D9F">
      <w:pPr>
        <w:spacing w:line="320" w:lineRule="atLeast"/>
        <w:ind w:firstLine="709"/>
        <w:jc w:val="both"/>
      </w:pPr>
      <w:r>
        <w:t xml:space="preserve">Tel. +370 37 30 55 53, el. p. </w:t>
      </w:r>
      <w:hyperlink r:id="rId6" w:history="1">
        <w:r w:rsidRPr="00FE69FE">
          <w:rPr>
            <w:rStyle w:val="Hipersaitas"/>
          </w:rPr>
          <w:t>dovile.kekstiene</w:t>
        </w:r>
        <w:r w:rsidRPr="00FE69FE">
          <w:rPr>
            <w:rStyle w:val="Hipersaitas"/>
            <w:lang w:val="en-US"/>
          </w:rPr>
          <w:t>@krs.lt</w:t>
        </w:r>
      </w:hyperlink>
      <w:r>
        <w:rPr>
          <w:lang w:val="en-US"/>
        </w:rPr>
        <w:t xml:space="preserve"> </w:t>
      </w:r>
    </w:p>
    <w:p w14:paraId="7CF04B61" w14:textId="2988CA17" w:rsidR="00D0316C" w:rsidRPr="006F5D9F" w:rsidRDefault="00D0316C" w:rsidP="006F5D9F"/>
    <w:sectPr w:rsidR="00D0316C" w:rsidRPr="006F5D9F" w:rsidSect="006F5D9F">
      <w:pgSz w:w="11906" w:h="16838"/>
      <w:pgMar w:top="907" w:right="567" w:bottom="851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53555"/>
    <w:multiLevelType w:val="hybridMultilevel"/>
    <w:tmpl w:val="DE2A76DA"/>
    <w:lvl w:ilvl="0" w:tplc="8D7440E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F194E7C"/>
    <w:multiLevelType w:val="hybridMultilevel"/>
    <w:tmpl w:val="63EE2830"/>
    <w:lvl w:ilvl="0" w:tplc="F7C2689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1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0E3F93"/>
    <w:multiLevelType w:val="multilevel"/>
    <w:tmpl w:val="5440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15543">
    <w:abstractNumId w:val="8"/>
  </w:num>
  <w:num w:numId="2" w16cid:durableId="67925575">
    <w:abstractNumId w:val="5"/>
  </w:num>
  <w:num w:numId="3" w16cid:durableId="824051681">
    <w:abstractNumId w:val="22"/>
  </w:num>
  <w:num w:numId="4" w16cid:durableId="496579362">
    <w:abstractNumId w:val="6"/>
  </w:num>
  <w:num w:numId="5" w16cid:durableId="1897009313">
    <w:abstractNumId w:val="3"/>
  </w:num>
  <w:num w:numId="6" w16cid:durableId="1869249896">
    <w:abstractNumId w:val="13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6"/>
  </w:num>
  <w:num w:numId="14" w16cid:durableId="2037777683">
    <w:abstractNumId w:val="17"/>
  </w:num>
  <w:num w:numId="15" w16cid:durableId="163782590">
    <w:abstractNumId w:val="7"/>
  </w:num>
  <w:num w:numId="16" w16cid:durableId="767195358">
    <w:abstractNumId w:val="18"/>
  </w:num>
  <w:num w:numId="17" w16cid:durableId="900945271">
    <w:abstractNumId w:val="14"/>
  </w:num>
  <w:num w:numId="18" w16cid:durableId="2009667949">
    <w:abstractNumId w:val="2"/>
  </w:num>
  <w:num w:numId="19" w16cid:durableId="1300913333">
    <w:abstractNumId w:val="12"/>
  </w:num>
  <w:num w:numId="20" w16cid:durableId="1479885542">
    <w:abstractNumId w:val="11"/>
  </w:num>
  <w:num w:numId="21" w16cid:durableId="862014860">
    <w:abstractNumId w:val="9"/>
  </w:num>
  <w:num w:numId="22" w16cid:durableId="67240723">
    <w:abstractNumId w:val="23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3"/>
  </w:num>
  <w:num w:numId="24" w16cid:durableId="1259675443">
    <w:abstractNumId w:val="21"/>
  </w:num>
  <w:num w:numId="25" w16cid:durableId="1845780953">
    <w:abstractNumId w:val="20"/>
  </w:num>
  <w:num w:numId="26" w16cid:durableId="1595212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82729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67F8"/>
    <w:rsid w:val="00013B5B"/>
    <w:rsid w:val="00016325"/>
    <w:rsid w:val="00016F5E"/>
    <w:rsid w:val="00024D5C"/>
    <w:rsid w:val="00027543"/>
    <w:rsid w:val="000309BF"/>
    <w:rsid w:val="000350B8"/>
    <w:rsid w:val="0004377F"/>
    <w:rsid w:val="00043C41"/>
    <w:rsid w:val="00050F0C"/>
    <w:rsid w:val="000518AA"/>
    <w:rsid w:val="000549F0"/>
    <w:rsid w:val="000561B4"/>
    <w:rsid w:val="00060BFD"/>
    <w:rsid w:val="00070095"/>
    <w:rsid w:val="00072B30"/>
    <w:rsid w:val="00074F5F"/>
    <w:rsid w:val="0008002F"/>
    <w:rsid w:val="000818C5"/>
    <w:rsid w:val="00085161"/>
    <w:rsid w:val="00087C46"/>
    <w:rsid w:val="00093FF6"/>
    <w:rsid w:val="000960D8"/>
    <w:rsid w:val="000A331B"/>
    <w:rsid w:val="000B410F"/>
    <w:rsid w:val="000C4753"/>
    <w:rsid w:val="000C57D9"/>
    <w:rsid w:val="000D1C69"/>
    <w:rsid w:val="000D3AA8"/>
    <w:rsid w:val="000E27AC"/>
    <w:rsid w:val="000F4A53"/>
    <w:rsid w:val="000F6378"/>
    <w:rsid w:val="000F656C"/>
    <w:rsid w:val="001005C4"/>
    <w:rsid w:val="00103253"/>
    <w:rsid w:val="00105703"/>
    <w:rsid w:val="001119C2"/>
    <w:rsid w:val="00114327"/>
    <w:rsid w:val="00126C37"/>
    <w:rsid w:val="00130914"/>
    <w:rsid w:val="00132ECF"/>
    <w:rsid w:val="00136F80"/>
    <w:rsid w:val="00137D34"/>
    <w:rsid w:val="00142230"/>
    <w:rsid w:val="00150FBD"/>
    <w:rsid w:val="001525D1"/>
    <w:rsid w:val="0015341E"/>
    <w:rsid w:val="00153882"/>
    <w:rsid w:val="00156B92"/>
    <w:rsid w:val="00171CAB"/>
    <w:rsid w:val="001744D3"/>
    <w:rsid w:val="0018055E"/>
    <w:rsid w:val="001847A3"/>
    <w:rsid w:val="001852A6"/>
    <w:rsid w:val="00187628"/>
    <w:rsid w:val="0019130D"/>
    <w:rsid w:val="0019611D"/>
    <w:rsid w:val="001A0921"/>
    <w:rsid w:val="001A0EDC"/>
    <w:rsid w:val="001A5FE1"/>
    <w:rsid w:val="001A7D9C"/>
    <w:rsid w:val="001B1DF2"/>
    <w:rsid w:val="001C0F68"/>
    <w:rsid w:val="001C6DD6"/>
    <w:rsid w:val="001C71FF"/>
    <w:rsid w:val="001D5A7A"/>
    <w:rsid w:val="001E357C"/>
    <w:rsid w:val="001E362E"/>
    <w:rsid w:val="001F0535"/>
    <w:rsid w:val="001F152F"/>
    <w:rsid w:val="001F52BE"/>
    <w:rsid w:val="0020074F"/>
    <w:rsid w:val="002023A5"/>
    <w:rsid w:val="00204296"/>
    <w:rsid w:val="00206143"/>
    <w:rsid w:val="0021019D"/>
    <w:rsid w:val="002103B1"/>
    <w:rsid w:val="00216221"/>
    <w:rsid w:val="002206BF"/>
    <w:rsid w:val="00222FCE"/>
    <w:rsid w:val="00225362"/>
    <w:rsid w:val="00225EE5"/>
    <w:rsid w:val="00235F37"/>
    <w:rsid w:val="00245430"/>
    <w:rsid w:val="002455EC"/>
    <w:rsid w:val="00251A59"/>
    <w:rsid w:val="00251C3D"/>
    <w:rsid w:val="00251DFF"/>
    <w:rsid w:val="00263B46"/>
    <w:rsid w:val="0026508A"/>
    <w:rsid w:val="00267369"/>
    <w:rsid w:val="00276520"/>
    <w:rsid w:val="00280174"/>
    <w:rsid w:val="0028604E"/>
    <w:rsid w:val="00286D13"/>
    <w:rsid w:val="00294AB5"/>
    <w:rsid w:val="002953DC"/>
    <w:rsid w:val="00295582"/>
    <w:rsid w:val="002A1176"/>
    <w:rsid w:val="002A4B1C"/>
    <w:rsid w:val="002A54BD"/>
    <w:rsid w:val="002A5BC5"/>
    <w:rsid w:val="002A6F81"/>
    <w:rsid w:val="002B5520"/>
    <w:rsid w:val="002B7ACF"/>
    <w:rsid w:val="002D126D"/>
    <w:rsid w:val="002D15E1"/>
    <w:rsid w:val="002D20BD"/>
    <w:rsid w:val="002D5ABF"/>
    <w:rsid w:val="002E0F4D"/>
    <w:rsid w:val="002E227B"/>
    <w:rsid w:val="002E730B"/>
    <w:rsid w:val="002F4313"/>
    <w:rsid w:val="002F6C05"/>
    <w:rsid w:val="0030008C"/>
    <w:rsid w:val="0030425A"/>
    <w:rsid w:val="003079A2"/>
    <w:rsid w:val="00312A0A"/>
    <w:rsid w:val="0031763F"/>
    <w:rsid w:val="003226FA"/>
    <w:rsid w:val="00324F24"/>
    <w:rsid w:val="0032578F"/>
    <w:rsid w:val="00327200"/>
    <w:rsid w:val="003337B8"/>
    <w:rsid w:val="00341463"/>
    <w:rsid w:val="003468A6"/>
    <w:rsid w:val="00352866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59B9"/>
    <w:rsid w:val="00390530"/>
    <w:rsid w:val="0039134B"/>
    <w:rsid w:val="00392287"/>
    <w:rsid w:val="00396D35"/>
    <w:rsid w:val="00396D3F"/>
    <w:rsid w:val="003A0006"/>
    <w:rsid w:val="003A333E"/>
    <w:rsid w:val="003A5254"/>
    <w:rsid w:val="003A6FBF"/>
    <w:rsid w:val="003A79DE"/>
    <w:rsid w:val="003B0D55"/>
    <w:rsid w:val="003B141D"/>
    <w:rsid w:val="003B199A"/>
    <w:rsid w:val="003B1BED"/>
    <w:rsid w:val="003B2CBA"/>
    <w:rsid w:val="003B33CE"/>
    <w:rsid w:val="003B66FA"/>
    <w:rsid w:val="003C5FFB"/>
    <w:rsid w:val="003C7120"/>
    <w:rsid w:val="003D366C"/>
    <w:rsid w:val="003D615C"/>
    <w:rsid w:val="003D7C46"/>
    <w:rsid w:val="003E1B6D"/>
    <w:rsid w:val="003F1674"/>
    <w:rsid w:val="00402388"/>
    <w:rsid w:val="00404C5C"/>
    <w:rsid w:val="00407A74"/>
    <w:rsid w:val="00407EDA"/>
    <w:rsid w:val="004220AD"/>
    <w:rsid w:val="0043360A"/>
    <w:rsid w:val="00434729"/>
    <w:rsid w:val="004360C8"/>
    <w:rsid w:val="00453DD6"/>
    <w:rsid w:val="00454C8A"/>
    <w:rsid w:val="00462249"/>
    <w:rsid w:val="00463908"/>
    <w:rsid w:val="0046406F"/>
    <w:rsid w:val="00466218"/>
    <w:rsid w:val="00474046"/>
    <w:rsid w:val="0047639B"/>
    <w:rsid w:val="00480029"/>
    <w:rsid w:val="00486B40"/>
    <w:rsid w:val="004911C8"/>
    <w:rsid w:val="0049750B"/>
    <w:rsid w:val="004A18D0"/>
    <w:rsid w:val="004A2BF1"/>
    <w:rsid w:val="004A323F"/>
    <w:rsid w:val="004A3563"/>
    <w:rsid w:val="004B1E0B"/>
    <w:rsid w:val="004B6223"/>
    <w:rsid w:val="004D0F96"/>
    <w:rsid w:val="004D2600"/>
    <w:rsid w:val="004E1DD5"/>
    <w:rsid w:val="004E2630"/>
    <w:rsid w:val="004E2888"/>
    <w:rsid w:val="00500227"/>
    <w:rsid w:val="00502276"/>
    <w:rsid w:val="00503BA1"/>
    <w:rsid w:val="00511FDE"/>
    <w:rsid w:val="00512A27"/>
    <w:rsid w:val="00523B8F"/>
    <w:rsid w:val="00532823"/>
    <w:rsid w:val="00545B22"/>
    <w:rsid w:val="0055359D"/>
    <w:rsid w:val="005560A6"/>
    <w:rsid w:val="00561C26"/>
    <w:rsid w:val="00585229"/>
    <w:rsid w:val="00587A45"/>
    <w:rsid w:val="00591B54"/>
    <w:rsid w:val="00592787"/>
    <w:rsid w:val="00594D8B"/>
    <w:rsid w:val="005A23D9"/>
    <w:rsid w:val="005A433E"/>
    <w:rsid w:val="005A52A7"/>
    <w:rsid w:val="005A6930"/>
    <w:rsid w:val="005B10F1"/>
    <w:rsid w:val="005B31C0"/>
    <w:rsid w:val="005C6785"/>
    <w:rsid w:val="005D6A15"/>
    <w:rsid w:val="005E2C60"/>
    <w:rsid w:val="005E4873"/>
    <w:rsid w:val="005F5B35"/>
    <w:rsid w:val="005F65FE"/>
    <w:rsid w:val="00600D1A"/>
    <w:rsid w:val="00603FDB"/>
    <w:rsid w:val="00604835"/>
    <w:rsid w:val="00612038"/>
    <w:rsid w:val="006124E1"/>
    <w:rsid w:val="00615B70"/>
    <w:rsid w:val="00616221"/>
    <w:rsid w:val="00624AA5"/>
    <w:rsid w:val="00625129"/>
    <w:rsid w:val="00626755"/>
    <w:rsid w:val="00630ED7"/>
    <w:rsid w:val="00633ED0"/>
    <w:rsid w:val="00641707"/>
    <w:rsid w:val="00651AEA"/>
    <w:rsid w:val="0065314B"/>
    <w:rsid w:val="00653302"/>
    <w:rsid w:val="00664673"/>
    <w:rsid w:val="00664707"/>
    <w:rsid w:val="0066536B"/>
    <w:rsid w:val="00676273"/>
    <w:rsid w:val="00682E75"/>
    <w:rsid w:val="00692109"/>
    <w:rsid w:val="00695AFD"/>
    <w:rsid w:val="00697B4B"/>
    <w:rsid w:val="006A0077"/>
    <w:rsid w:val="006A1157"/>
    <w:rsid w:val="006A24A1"/>
    <w:rsid w:val="006A79C6"/>
    <w:rsid w:val="006B2DB8"/>
    <w:rsid w:val="006B2EC1"/>
    <w:rsid w:val="006B2FA6"/>
    <w:rsid w:val="006B5161"/>
    <w:rsid w:val="006B649A"/>
    <w:rsid w:val="006B73E6"/>
    <w:rsid w:val="006C5A96"/>
    <w:rsid w:val="006D33DE"/>
    <w:rsid w:val="006D4885"/>
    <w:rsid w:val="006D7322"/>
    <w:rsid w:val="006E01A3"/>
    <w:rsid w:val="006E02EB"/>
    <w:rsid w:val="006E2DCE"/>
    <w:rsid w:val="006E5AAA"/>
    <w:rsid w:val="006E7561"/>
    <w:rsid w:val="006E7EE6"/>
    <w:rsid w:val="006F1D8B"/>
    <w:rsid w:val="006F531E"/>
    <w:rsid w:val="006F5D9F"/>
    <w:rsid w:val="0070347E"/>
    <w:rsid w:val="00703796"/>
    <w:rsid w:val="00705330"/>
    <w:rsid w:val="007073E2"/>
    <w:rsid w:val="00707D9F"/>
    <w:rsid w:val="00713827"/>
    <w:rsid w:val="007313EA"/>
    <w:rsid w:val="00731C9F"/>
    <w:rsid w:val="00731D66"/>
    <w:rsid w:val="007375CD"/>
    <w:rsid w:val="00737F1B"/>
    <w:rsid w:val="007400F7"/>
    <w:rsid w:val="00742FDD"/>
    <w:rsid w:val="00744B05"/>
    <w:rsid w:val="007458BA"/>
    <w:rsid w:val="007531BA"/>
    <w:rsid w:val="00764C52"/>
    <w:rsid w:val="00765D7A"/>
    <w:rsid w:val="00780EDC"/>
    <w:rsid w:val="007815A3"/>
    <w:rsid w:val="007845FE"/>
    <w:rsid w:val="007A04B2"/>
    <w:rsid w:val="007A15DC"/>
    <w:rsid w:val="007B4659"/>
    <w:rsid w:val="007B6AA5"/>
    <w:rsid w:val="007C090C"/>
    <w:rsid w:val="007C1D5E"/>
    <w:rsid w:val="007C38E5"/>
    <w:rsid w:val="007D4340"/>
    <w:rsid w:val="007E7559"/>
    <w:rsid w:val="007E7A49"/>
    <w:rsid w:val="007F1478"/>
    <w:rsid w:val="007F2304"/>
    <w:rsid w:val="00800B3B"/>
    <w:rsid w:val="00801666"/>
    <w:rsid w:val="00806550"/>
    <w:rsid w:val="00813947"/>
    <w:rsid w:val="00814889"/>
    <w:rsid w:val="008231F0"/>
    <w:rsid w:val="008275B9"/>
    <w:rsid w:val="0083102D"/>
    <w:rsid w:val="00831BE9"/>
    <w:rsid w:val="00831C18"/>
    <w:rsid w:val="00833F8F"/>
    <w:rsid w:val="0083519C"/>
    <w:rsid w:val="00840FDF"/>
    <w:rsid w:val="008522F0"/>
    <w:rsid w:val="008551FE"/>
    <w:rsid w:val="00856136"/>
    <w:rsid w:val="00856430"/>
    <w:rsid w:val="00857BA8"/>
    <w:rsid w:val="0086032D"/>
    <w:rsid w:val="00860FE4"/>
    <w:rsid w:val="00865ABC"/>
    <w:rsid w:val="008677A7"/>
    <w:rsid w:val="00867FC9"/>
    <w:rsid w:val="0087357F"/>
    <w:rsid w:val="0087774F"/>
    <w:rsid w:val="0088043E"/>
    <w:rsid w:val="008856D1"/>
    <w:rsid w:val="00885B1D"/>
    <w:rsid w:val="008862CA"/>
    <w:rsid w:val="00886307"/>
    <w:rsid w:val="00886FD4"/>
    <w:rsid w:val="00892CA5"/>
    <w:rsid w:val="00894F1A"/>
    <w:rsid w:val="008A49C4"/>
    <w:rsid w:val="008A51B9"/>
    <w:rsid w:val="008A77B0"/>
    <w:rsid w:val="008B3E68"/>
    <w:rsid w:val="008D2905"/>
    <w:rsid w:val="008D5428"/>
    <w:rsid w:val="008D5FB6"/>
    <w:rsid w:val="008D6B8E"/>
    <w:rsid w:val="008D7A9E"/>
    <w:rsid w:val="008E3158"/>
    <w:rsid w:val="008E78CC"/>
    <w:rsid w:val="008E7B12"/>
    <w:rsid w:val="008F2257"/>
    <w:rsid w:val="008F28BA"/>
    <w:rsid w:val="008F43D4"/>
    <w:rsid w:val="008F7F17"/>
    <w:rsid w:val="009015F1"/>
    <w:rsid w:val="0090260F"/>
    <w:rsid w:val="00905750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6247B"/>
    <w:rsid w:val="009649D7"/>
    <w:rsid w:val="0096514C"/>
    <w:rsid w:val="00965C55"/>
    <w:rsid w:val="00966EA7"/>
    <w:rsid w:val="00974196"/>
    <w:rsid w:val="0098501D"/>
    <w:rsid w:val="009876A2"/>
    <w:rsid w:val="009902D6"/>
    <w:rsid w:val="00993D8A"/>
    <w:rsid w:val="00997366"/>
    <w:rsid w:val="009A20DD"/>
    <w:rsid w:val="009A650B"/>
    <w:rsid w:val="009B5BC4"/>
    <w:rsid w:val="009C1FB3"/>
    <w:rsid w:val="009C3428"/>
    <w:rsid w:val="009C57DE"/>
    <w:rsid w:val="009D0A48"/>
    <w:rsid w:val="009D2113"/>
    <w:rsid w:val="009D2BF1"/>
    <w:rsid w:val="009D3DB2"/>
    <w:rsid w:val="009D5389"/>
    <w:rsid w:val="009E31B8"/>
    <w:rsid w:val="009E3224"/>
    <w:rsid w:val="009F3E30"/>
    <w:rsid w:val="009F5E8F"/>
    <w:rsid w:val="009F6E21"/>
    <w:rsid w:val="00A07406"/>
    <w:rsid w:val="00A16EF1"/>
    <w:rsid w:val="00A20863"/>
    <w:rsid w:val="00A2188A"/>
    <w:rsid w:val="00A249E5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107E"/>
    <w:rsid w:val="00A73FC6"/>
    <w:rsid w:val="00A74CC3"/>
    <w:rsid w:val="00A76A55"/>
    <w:rsid w:val="00A76F27"/>
    <w:rsid w:val="00A865A2"/>
    <w:rsid w:val="00A86A74"/>
    <w:rsid w:val="00A86D60"/>
    <w:rsid w:val="00A93AA8"/>
    <w:rsid w:val="00A9691F"/>
    <w:rsid w:val="00AA2500"/>
    <w:rsid w:val="00AA2DE0"/>
    <w:rsid w:val="00AA3CD9"/>
    <w:rsid w:val="00AA3F96"/>
    <w:rsid w:val="00AA4EF6"/>
    <w:rsid w:val="00AA7822"/>
    <w:rsid w:val="00AA7829"/>
    <w:rsid w:val="00AB0EC0"/>
    <w:rsid w:val="00AB37E7"/>
    <w:rsid w:val="00AB3AC2"/>
    <w:rsid w:val="00AB7B82"/>
    <w:rsid w:val="00AC0F5A"/>
    <w:rsid w:val="00AC55D3"/>
    <w:rsid w:val="00AC56FA"/>
    <w:rsid w:val="00AC59A8"/>
    <w:rsid w:val="00AD0623"/>
    <w:rsid w:val="00AD1594"/>
    <w:rsid w:val="00AD1640"/>
    <w:rsid w:val="00AD2246"/>
    <w:rsid w:val="00AD2C6F"/>
    <w:rsid w:val="00AD396B"/>
    <w:rsid w:val="00AE27B1"/>
    <w:rsid w:val="00AE6547"/>
    <w:rsid w:val="00AF126F"/>
    <w:rsid w:val="00AF19C8"/>
    <w:rsid w:val="00AF1D4B"/>
    <w:rsid w:val="00AF2BFC"/>
    <w:rsid w:val="00AF3CC2"/>
    <w:rsid w:val="00B01D4E"/>
    <w:rsid w:val="00B043B8"/>
    <w:rsid w:val="00B13E3D"/>
    <w:rsid w:val="00B17A80"/>
    <w:rsid w:val="00B21453"/>
    <w:rsid w:val="00B22DEF"/>
    <w:rsid w:val="00B23397"/>
    <w:rsid w:val="00B30ED9"/>
    <w:rsid w:val="00B31B46"/>
    <w:rsid w:val="00B36E1E"/>
    <w:rsid w:val="00B43182"/>
    <w:rsid w:val="00B52A4C"/>
    <w:rsid w:val="00B575B7"/>
    <w:rsid w:val="00B57A5B"/>
    <w:rsid w:val="00B604A1"/>
    <w:rsid w:val="00B613BB"/>
    <w:rsid w:val="00B71B0B"/>
    <w:rsid w:val="00B7354A"/>
    <w:rsid w:val="00B739F2"/>
    <w:rsid w:val="00B73A35"/>
    <w:rsid w:val="00B7602E"/>
    <w:rsid w:val="00B77419"/>
    <w:rsid w:val="00B817B0"/>
    <w:rsid w:val="00B8424E"/>
    <w:rsid w:val="00B8425F"/>
    <w:rsid w:val="00B8594A"/>
    <w:rsid w:val="00B9138A"/>
    <w:rsid w:val="00B972DC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5057"/>
    <w:rsid w:val="00C072EA"/>
    <w:rsid w:val="00C1002D"/>
    <w:rsid w:val="00C15EA5"/>
    <w:rsid w:val="00C22AFD"/>
    <w:rsid w:val="00C265CF"/>
    <w:rsid w:val="00C30C3C"/>
    <w:rsid w:val="00C320FA"/>
    <w:rsid w:val="00C3476C"/>
    <w:rsid w:val="00C35093"/>
    <w:rsid w:val="00C3671D"/>
    <w:rsid w:val="00C40119"/>
    <w:rsid w:val="00C40257"/>
    <w:rsid w:val="00C42956"/>
    <w:rsid w:val="00C57A90"/>
    <w:rsid w:val="00C57B13"/>
    <w:rsid w:val="00C6308D"/>
    <w:rsid w:val="00C67997"/>
    <w:rsid w:val="00C84A42"/>
    <w:rsid w:val="00C90924"/>
    <w:rsid w:val="00C960F1"/>
    <w:rsid w:val="00C968EB"/>
    <w:rsid w:val="00CA0F0B"/>
    <w:rsid w:val="00CA3FAC"/>
    <w:rsid w:val="00CA4F40"/>
    <w:rsid w:val="00CB3E2C"/>
    <w:rsid w:val="00CC042E"/>
    <w:rsid w:val="00CC6816"/>
    <w:rsid w:val="00CC7732"/>
    <w:rsid w:val="00CD7C86"/>
    <w:rsid w:val="00CF2902"/>
    <w:rsid w:val="00CF64D5"/>
    <w:rsid w:val="00CF6788"/>
    <w:rsid w:val="00D005A5"/>
    <w:rsid w:val="00D0316C"/>
    <w:rsid w:val="00D043C0"/>
    <w:rsid w:val="00D0509A"/>
    <w:rsid w:val="00D0719D"/>
    <w:rsid w:val="00D132B7"/>
    <w:rsid w:val="00D143C4"/>
    <w:rsid w:val="00D1621B"/>
    <w:rsid w:val="00D167E8"/>
    <w:rsid w:val="00D21008"/>
    <w:rsid w:val="00D27908"/>
    <w:rsid w:val="00D27C38"/>
    <w:rsid w:val="00D30CB0"/>
    <w:rsid w:val="00D31893"/>
    <w:rsid w:val="00D31DE7"/>
    <w:rsid w:val="00D35292"/>
    <w:rsid w:val="00D41EFE"/>
    <w:rsid w:val="00D425B3"/>
    <w:rsid w:val="00D452AA"/>
    <w:rsid w:val="00D468BE"/>
    <w:rsid w:val="00D50D90"/>
    <w:rsid w:val="00D52A3E"/>
    <w:rsid w:val="00D5632D"/>
    <w:rsid w:val="00D56F16"/>
    <w:rsid w:val="00D5700C"/>
    <w:rsid w:val="00D63E00"/>
    <w:rsid w:val="00D74E32"/>
    <w:rsid w:val="00D76DAC"/>
    <w:rsid w:val="00D846B2"/>
    <w:rsid w:val="00D96352"/>
    <w:rsid w:val="00DA140A"/>
    <w:rsid w:val="00DA38A9"/>
    <w:rsid w:val="00DA6993"/>
    <w:rsid w:val="00DA79C6"/>
    <w:rsid w:val="00DB0C19"/>
    <w:rsid w:val="00DB39EB"/>
    <w:rsid w:val="00DC05C0"/>
    <w:rsid w:val="00DC59CF"/>
    <w:rsid w:val="00DD06F0"/>
    <w:rsid w:val="00DD4C8C"/>
    <w:rsid w:val="00DE1364"/>
    <w:rsid w:val="00DE2CC1"/>
    <w:rsid w:val="00DE6DB5"/>
    <w:rsid w:val="00DE793C"/>
    <w:rsid w:val="00DF73C3"/>
    <w:rsid w:val="00E03987"/>
    <w:rsid w:val="00E0502E"/>
    <w:rsid w:val="00E06587"/>
    <w:rsid w:val="00E233A8"/>
    <w:rsid w:val="00E25BA5"/>
    <w:rsid w:val="00E30DD5"/>
    <w:rsid w:val="00E31E5C"/>
    <w:rsid w:val="00E33E0F"/>
    <w:rsid w:val="00E34BB2"/>
    <w:rsid w:val="00E3686C"/>
    <w:rsid w:val="00E45EE9"/>
    <w:rsid w:val="00E47162"/>
    <w:rsid w:val="00E525D5"/>
    <w:rsid w:val="00E543B5"/>
    <w:rsid w:val="00E630A8"/>
    <w:rsid w:val="00E6465F"/>
    <w:rsid w:val="00E647EA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C4313"/>
    <w:rsid w:val="00ED6AF3"/>
    <w:rsid w:val="00EE13AD"/>
    <w:rsid w:val="00EE54A6"/>
    <w:rsid w:val="00EE7496"/>
    <w:rsid w:val="00EF7492"/>
    <w:rsid w:val="00F00304"/>
    <w:rsid w:val="00F1026B"/>
    <w:rsid w:val="00F14485"/>
    <w:rsid w:val="00F16BA5"/>
    <w:rsid w:val="00F3487B"/>
    <w:rsid w:val="00F5253E"/>
    <w:rsid w:val="00F53FEE"/>
    <w:rsid w:val="00F55994"/>
    <w:rsid w:val="00F60DB9"/>
    <w:rsid w:val="00F6115F"/>
    <w:rsid w:val="00F6341D"/>
    <w:rsid w:val="00F63F7F"/>
    <w:rsid w:val="00F70157"/>
    <w:rsid w:val="00F7536A"/>
    <w:rsid w:val="00F7560D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C3B4A"/>
    <w:rsid w:val="00FC48B4"/>
    <w:rsid w:val="00FC6191"/>
    <w:rsid w:val="00FD732D"/>
    <w:rsid w:val="00FE31AD"/>
    <w:rsid w:val="00FE3B3E"/>
    <w:rsid w:val="00FE4203"/>
    <w:rsid w:val="00FE670A"/>
    <w:rsid w:val="00FF122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vile.kekstiene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Svajūnas Kėkstas</cp:lastModifiedBy>
  <cp:revision>113</cp:revision>
  <cp:lastPrinted>2022-06-14T11:10:00Z</cp:lastPrinted>
  <dcterms:created xsi:type="dcterms:W3CDTF">2022-07-15T08:28:00Z</dcterms:created>
  <dcterms:modified xsi:type="dcterms:W3CDTF">2025-02-13T11:53:00Z</dcterms:modified>
</cp:coreProperties>
</file>