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715CE321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en-US"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DĖL 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 xml:space="preserve">PROGRAMINĖS ĮRANGOS JIRA , JIRA SERVICE MANAGEMENT, CONFLUENCE BEI ATLASSIAN </w:t>
      </w:r>
      <w:r w:rsidR="00E673CE">
        <w:rPr>
          <w:rFonts w:asciiTheme="majorBidi" w:hAnsiTheme="majorBidi" w:cstheme="majorBidi"/>
          <w:b/>
          <w:bCs/>
          <w:sz w:val="20"/>
          <w:szCs w:val="20"/>
        </w:rPr>
        <w:t xml:space="preserve">GUARD </w:t>
      </w:r>
      <w:r w:rsidR="00201FC3">
        <w:rPr>
          <w:rFonts w:asciiTheme="majorBidi" w:hAnsiTheme="majorBidi" w:cstheme="majorBidi"/>
          <w:b/>
          <w:bCs/>
          <w:sz w:val="20"/>
          <w:szCs w:val="20"/>
        </w:rPr>
        <w:t>ARBA LYGIAVERČIŲ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 xml:space="preserve"> LICENCIJŲ  NUOMOS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</w:p>
    <w:p w14:paraId="332D9320" w14:textId="77777777" w:rsidR="0085741B" w:rsidRPr="00201FC3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(Data)</w:t>
      </w: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77777777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t xml:space="preserve">Lentelė 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begin"/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instrText xml:space="preserve"> SEQ Lentelė \* ARABIC </w:instrTex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separate"/>
      </w:r>
      <w:r w:rsidRPr="00201FC3">
        <w:rPr>
          <w:rFonts w:asciiTheme="majorBidi" w:hAnsiTheme="majorBidi" w:cstheme="majorBidi"/>
          <w:b/>
          <w:i w:val="0"/>
          <w:noProof/>
          <w:color w:val="auto"/>
          <w:sz w:val="22"/>
          <w:szCs w:val="22"/>
          <w:lang w:val="lt-LT"/>
        </w:rPr>
        <w:t>1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end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AE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51CD4E44" w:rsidR="00F521C3" w:rsidRPr="00201FC3" w:rsidRDefault="0085741B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F521C3" w:rsidRPr="00201FC3">
        <w:rPr>
          <w:rFonts w:asciiTheme="majorBidi" w:eastAsia="Times New Roman" w:hAnsiTheme="majorBidi" w:cstheme="majorBidi"/>
          <w:b/>
          <w:sz w:val="22"/>
          <w:lang w:eastAsia="lt-LT"/>
        </w:rPr>
        <w:t>prekes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p w14:paraId="263653B1" w14:textId="0D357636" w:rsidR="00F521C3" w:rsidRPr="00201FC3" w:rsidRDefault="00F521C3" w:rsidP="0085741B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1134"/>
        <w:gridCol w:w="1134"/>
        <w:gridCol w:w="1276"/>
        <w:gridCol w:w="1134"/>
        <w:gridCol w:w="1276"/>
        <w:gridCol w:w="7"/>
        <w:gridCol w:w="1127"/>
      </w:tblGrid>
      <w:tr w:rsidR="00BD0FDA" w:rsidRPr="00201FC3" w14:paraId="296A95C7" w14:textId="1A29B28B" w:rsidTr="00BD0FDA">
        <w:trPr>
          <w:trHeight w:val="1304"/>
        </w:trPr>
        <w:tc>
          <w:tcPr>
            <w:tcW w:w="560" w:type="dxa"/>
          </w:tcPr>
          <w:p w14:paraId="3C49F347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Eil. Nr.</w:t>
            </w:r>
          </w:p>
        </w:tc>
        <w:tc>
          <w:tcPr>
            <w:tcW w:w="2270" w:type="dxa"/>
          </w:tcPr>
          <w:p w14:paraId="7C06AEE6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 pavadinimas</w:t>
            </w:r>
          </w:p>
        </w:tc>
        <w:tc>
          <w:tcPr>
            <w:tcW w:w="1134" w:type="dxa"/>
          </w:tcPr>
          <w:p w14:paraId="07C0523C" w14:textId="4F99A97F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 tipas</w:t>
            </w:r>
          </w:p>
        </w:tc>
        <w:tc>
          <w:tcPr>
            <w:tcW w:w="1134" w:type="dxa"/>
          </w:tcPr>
          <w:p w14:paraId="137AD8CA" w14:textId="1400A76A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Mato vienetas</w:t>
            </w:r>
          </w:p>
        </w:tc>
        <w:tc>
          <w:tcPr>
            <w:tcW w:w="1276" w:type="dxa"/>
          </w:tcPr>
          <w:p w14:paraId="78C1DCE4" w14:textId="21D6B9E6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Preliminarus</w:t>
            </w:r>
            <w:r w:rsidR="005A3C2B"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**</w:t>
            </w: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licencijų kiekis, vnt.</w:t>
            </w:r>
          </w:p>
        </w:tc>
        <w:tc>
          <w:tcPr>
            <w:tcW w:w="1134" w:type="dxa"/>
          </w:tcPr>
          <w:p w14:paraId="29B12361" w14:textId="53819681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Mato vieneto nuomos </w:t>
            </w:r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įk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ain</w:t>
            </w:r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is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</w:rPr>
              <w:t>1 mėn.,</w:t>
            </w:r>
          </w:p>
          <w:p w14:paraId="7B35D15F" w14:textId="0BA713DD" w:rsidR="00BD0FDA" w:rsidRPr="00201FC3" w:rsidRDefault="00BD0FDA" w:rsidP="00BD0FD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EUR be PVM</w:t>
            </w:r>
          </w:p>
        </w:tc>
        <w:tc>
          <w:tcPr>
            <w:tcW w:w="1276" w:type="dxa"/>
          </w:tcPr>
          <w:p w14:paraId="2770B208" w14:textId="255CFBD5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Standartinio programinės įrangos palaikymo periodas, mėn.</w:t>
            </w:r>
          </w:p>
        </w:tc>
        <w:tc>
          <w:tcPr>
            <w:tcW w:w="1134" w:type="dxa"/>
            <w:gridSpan w:val="2"/>
          </w:tcPr>
          <w:p w14:paraId="4CB33737" w14:textId="70259D86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Kaina pasiūlymų palyginimui**, EUR be PVM</w:t>
            </w:r>
          </w:p>
        </w:tc>
      </w:tr>
      <w:tr w:rsidR="00BD0FDA" w:rsidRPr="00201FC3" w14:paraId="25A12D6F" w14:textId="125A2614" w:rsidTr="00BD0FDA">
        <w:trPr>
          <w:trHeight w:val="277"/>
        </w:trPr>
        <w:tc>
          <w:tcPr>
            <w:tcW w:w="560" w:type="dxa"/>
          </w:tcPr>
          <w:p w14:paraId="38BA1E29" w14:textId="3358CD72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70" w:type="dxa"/>
          </w:tcPr>
          <w:p w14:paraId="5723EBED" w14:textId="70CE6B3F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1EC58E" w14:textId="39F5521D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EDEC117" w14:textId="78233A6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276" w:type="dxa"/>
          </w:tcPr>
          <w:p w14:paraId="2825A6BD" w14:textId="37A0127C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77A739B" w14:textId="6B180D4E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6</w:t>
            </w:r>
          </w:p>
        </w:tc>
        <w:tc>
          <w:tcPr>
            <w:tcW w:w="1276" w:type="dxa"/>
          </w:tcPr>
          <w:p w14:paraId="3FB1DE12" w14:textId="14C349D9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14:paraId="277392BA" w14:textId="1B844E5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8=</w:t>
            </w:r>
            <w:r w:rsidR="00F4048D"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4x6x7</w:t>
            </w:r>
          </w:p>
        </w:tc>
      </w:tr>
      <w:tr w:rsidR="00BD0FDA" w:rsidRPr="00201FC3" w14:paraId="26292D9B" w14:textId="17D0ABA9" w:rsidTr="00BD0FDA">
        <w:tc>
          <w:tcPr>
            <w:tcW w:w="560" w:type="dxa"/>
          </w:tcPr>
          <w:p w14:paraId="167B2669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270" w:type="dxa"/>
          </w:tcPr>
          <w:p w14:paraId="0D7D46EA" w14:textId="3D12FCEF" w:rsidR="00BD0FDA" w:rsidRPr="00201FC3" w:rsidRDefault="00BD0FDA" w:rsidP="00BD0FDA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JIRA arba lygiavertė</w:t>
            </w:r>
          </w:p>
        </w:tc>
        <w:tc>
          <w:tcPr>
            <w:tcW w:w="1134" w:type="dxa"/>
          </w:tcPr>
          <w:p w14:paraId="1A163E66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72AC2435" w14:textId="7A83E099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10A44F1A" w14:textId="6BDFCE0A" w:rsidR="00BD0FDA" w:rsidRPr="00201FC3" w:rsidRDefault="0051684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E673CE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8604DC2" w14:textId="4044209F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A6E843" w14:textId="4B8E2405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3B562DD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371CD4B9" w14:textId="74285FF9" w:rsidTr="00BD0FDA">
        <w:tc>
          <w:tcPr>
            <w:tcW w:w="560" w:type="dxa"/>
          </w:tcPr>
          <w:p w14:paraId="14C74FEE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270" w:type="dxa"/>
          </w:tcPr>
          <w:p w14:paraId="3D520EEA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JIRA Service Management arba lygiavertė</w:t>
            </w:r>
          </w:p>
        </w:tc>
        <w:tc>
          <w:tcPr>
            <w:tcW w:w="1134" w:type="dxa"/>
          </w:tcPr>
          <w:p w14:paraId="1012FC5B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Premium</w:t>
            </w:r>
          </w:p>
        </w:tc>
        <w:tc>
          <w:tcPr>
            <w:tcW w:w="1134" w:type="dxa"/>
          </w:tcPr>
          <w:p w14:paraId="0A084226" w14:textId="304C3882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3986729A" w14:textId="1C2BD220" w:rsidR="00BD0FDA" w:rsidRPr="00201FC3" w:rsidRDefault="0051684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3C26FBA" w14:textId="0A7B5C0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DFBAD" w14:textId="52298788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4BF6C46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E12DE18" w14:textId="54D86686" w:rsidTr="00BD0FDA">
        <w:tc>
          <w:tcPr>
            <w:tcW w:w="560" w:type="dxa"/>
          </w:tcPr>
          <w:p w14:paraId="68198283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270" w:type="dxa"/>
          </w:tcPr>
          <w:p w14:paraId="35B0DC78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Confluence arba lygiavertė</w:t>
            </w:r>
          </w:p>
        </w:tc>
        <w:tc>
          <w:tcPr>
            <w:tcW w:w="1134" w:type="dxa"/>
          </w:tcPr>
          <w:p w14:paraId="5D06AB41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6164D110" w14:textId="77208E7E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468172CE" w14:textId="2A6F56B4" w:rsidR="00BD0FDA" w:rsidRPr="00201FC3" w:rsidRDefault="00E673CE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18D3144" w14:textId="75E753A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DFEC0" w14:textId="1E0DD87E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0CE1FFBE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F83954B" w14:textId="551CE66D" w:rsidTr="00BD0FDA">
        <w:tc>
          <w:tcPr>
            <w:tcW w:w="560" w:type="dxa"/>
          </w:tcPr>
          <w:p w14:paraId="64DF307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270" w:type="dxa"/>
          </w:tcPr>
          <w:p w14:paraId="6152EE84" w14:textId="4DAD8672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Atlassian </w:t>
            </w:r>
            <w:r w:rsidR="00E673CE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Guard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 arba lygiavertė</w:t>
            </w:r>
          </w:p>
        </w:tc>
        <w:tc>
          <w:tcPr>
            <w:tcW w:w="1134" w:type="dxa"/>
          </w:tcPr>
          <w:p w14:paraId="45951B04" w14:textId="768C1002" w:rsidR="00BD0FDA" w:rsidRPr="00201FC3" w:rsidRDefault="00E673CE" w:rsidP="00BD0FDA">
            <w:pPr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09480B4A" w14:textId="37076B9D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718F9F3E" w14:textId="72CFE8E7" w:rsidR="00BD0FDA" w:rsidRPr="00201FC3" w:rsidRDefault="00E673CE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AD7F3CF" w14:textId="6F1E1EC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FC348" w14:textId="3FA53EB3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50C0CB99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4C40F1D9" w14:textId="77777777" w:rsidTr="00BD0FDA">
        <w:tc>
          <w:tcPr>
            <w:tcW w:w="560" w:type="dxa"/>
          </w:tcPr>
          <w:p w14:paraId="02326E10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</w:tcPr>
          <w:p w14:paraId="37C58096" w14:textId="15E6B08E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2"/>
              </w:rPr>
              <w:t>Bendra pasiūlymo kaina palyginimui*</w:t>
            </w:r>
            <w:r w:rsidR="005A3C2B" w:rsidRPr="00201FC3">
              <w:rPr>
                <w:rFonts w:asciiTheme="majorBidi" w:hAnsiTheme="majorBidi" w:cstheme="majorBidi"/>
                <w:sz w:val="22"/>
              </w:rPr>
              <w:t>, **</w:t>
            </w:r>
            <w:r w:rsidRPr="00201FC3">
              <w:rPr>
                <w:rFonts w:asciiTheme="majorBidi" w:hAnsiTheme="majorBidi" w:cstheme="majorBidi"/>
                <w:sz w:val="22"/>
              </w:rPr>
              <w:t xml:space="preserve"> (EUR/mėn.), be PVM:</w:t>
            </w:r>
          </w:p>
        </w:tc>
        <w:tc>
          <w:tcPr>
            <w:tcW w:w="1127" w:type="dxa"/>
          </w:tcPr>
          <w:p w14:paraId="2EE2C233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2F4C0C31" w14:textId="77777777" w:rsidTr="00BD0FDA">
        <w:tc>
          <w:tcPr>
            <w:tcW w:w="560" w:type="dxa"/>
          </w:tcPr>
          <w:p w14:paraId="24506DAD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  <w:vMerge w:val="restart"/>
          </w:tcPr>
          <w:p w14:paraId="33D4247D" w14:textId="77777777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PVM (EUR):</w:t>
            </w:r>
          </w:p>
          <w:p w14:paraId="7CAB3A91" w14:textId="2BD71085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Bendra pasiūlymo kaina palyginimui*</w:t>
            </w:r>
            <w:r w:rsidR="005A3C2B" w:rsidRPr="00201FC3">
              <w:rPr>
                <w:rFonts w:asciiTheme="majorBidi" w:hAnsiTheme="majorBidi" w:cstheme="majorBidi"/>
                <w:sz w:val="22"/>
                <w:lang w:val="fr-FR"/>
              </w:rPr>
              <w:t>, **</w:t>
            </w: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(EUR/mėn.), su PVM:</w:t>
            </w:r>
          </w:p>
        </w:tc>
        <w:tc>
          <w:tcPr>
            <w:tcW w:w="1127" w:type="dxa"/>
          </w:tcPr>
          <w:p w14:paraId="4FF2C3BD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  <w:tr w:rsidR="00BD0FDA" w:rsidRPr="00201FC3" w14:paraId="56139E5F" w14:textId="77777777" w:rsidTr="00BD0FDA">
        <w:tc>
          <w:tcPr>
            <w:tcW w:w="560" w:type="dxa"/>
          </w:tcPr>
          <w:p w14:paraId="6E68B16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231" w:type="dxa"/>
            <w:gridSpan w:val="7"/>
            <w:vMerge/>
          </w:tcPr>
          <w:p w14:paraId="29C800F7" w14:textId="1DB7EB8C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127" w:type="dxa"/>
          </w:tcPr>
          <w:p w14:paraId="78D9C97C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D993491" w14:textId="289DE583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*Perkančioji organizacija laikys, kad tiekėjo kaina yra per didelė ir nepriimtina, jei tiekėjo pasiūlymo kaina viršys </w:t>
      </w:r>
      <w:r w:rsidR="00A3575F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1</w:t>
      </w:r>
      <w:r w:rsidR="00E673CE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2 474,30</w:t>
      </w:r>
      <w:r w:rsidR="00A3575F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 xml:space="preserve"> </w:t>
      </w:r>
      <w:r w:rsidRPr="00201FC3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Eur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be PVM.</w:t>
      </w:r>
    </w:p>
    <w:p w14:paraId="19827392" w14:textId="28FAF4C0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**Kaina nurodyta tik pasiūlymų palyginimui. Perkančioji organizacija neįsipareigoja nupirkti viso Prekių kiekio. </w:t>
      </w:r>
      <w:r w:rsidR="005A3C2B"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Preliminarus prekių kiekis sutarties vykdymo metu gali didėti arba mažėti. 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>Šios Prekės bus perkamos ir už jas sumokama pagal faktinį poreikį.</w:t>
      </w:r>
    </w:p>
    <w:p w14:paraId="3E822B76" w14:textId="77777777" w:rsidR="0085741B" w:rsidRPr="00201FC3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sz w:val="22"/>
          <w:szCs w:val="22"/>
        </w:rPr>
        <w:lastRenderedPageBreak/>
        <w:t xml:space="preserve">Informacija apie ūkio subjektus, kuriais bus remiamasi siekiant atitikti kvalifikacijos reikalavimus ir vykdant pirkimo sutartį: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pasitelkimo pobūdis</w:t>
            </w:r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bCs/>
          <w:sz w:val="22"/>
          <w:szCs w:val="22"/>
        </w:rPr>
        <w:t xml:space="preserve">Pildyti tuomet, jei bus pateikta konfidenciali informacija. </w:t>
      </w:r>
      <w:r w:rsidRPr="00201FC3">
        <w:rPr>
          <w:rFonts w:asciiTheme="majorBidi" w:hAnsiTheme="majorBidi" w:cstheme="majorBidi"/>
          <w:sz w:val="22"/>
          <w:szCs w:val="22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Default="0085741B" w:rsidP="0085741B">
      <w:pPr>
        <w:ind w:firstLine="720"/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14730078" w14:textId="108A9CCE" w:rsidR="00E673CE" w:rsidRPr="00E673CE" w:rsidRDefault="00E673CE" w:rsidP="0085741B">
      <w:pPr>
        <w:ind w:firstLine="720"/>
        <w:jc w:val="both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E673CE">
        <w:rPr>
          <w:rFonts w:asciiTheme="majorBidi" w:hAnsiTheme="majorBidi" w:cstheme="majorBidi"/>
          <w:b/>
          <w:bCs/>
          <w:sz w:val="22"/>
        </w:rPr>
        <w:t>Teikdami šį pasiūlymą patvirtiname, kad Tiekėjas neturi VPĮ 46 str. 2(1) nurodyto pašalinimo pagrindo.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footerReference w:type="default" r:id="rId6"/>
      <w:footerReference w:type="first" r:id="rId7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907" w14:textId="77777777" w:rsidR="00596E63" w:rsidRDefault="00596E63" w:rsidP="0085741B">
      <w:r>
        <w:separator/>
      </w:r>
    </w:p>
  </w:endnote>
  <w:endnote w:type="continuationSeparator" w:id="0">
    <w:p w14:paraId="12157C95" w14:textId="77777777" w:rsidR="00596E63" w:rsidRDefault="00596E63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60E4" w14:textId="77777777" w:rsidR="00596E63" w:rsidRDefault="00596E63" w:rsidP="0085741B">
      <w:r>
        <w:separator/>
      </w:r>
    </w:p>
  </w:footnote>
  <w:footnote w:type="continuationSeparator" w:id="0">
    <w:p w14:paraId="665A9285" w14:textId="77777777" w:rsidR="00596E63" w:rsidRDefault="00596E63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201FC3"/>
    <w:rsid w:val="003B6A2B"/>
    <w:rsid w:val="004E1980"/>
    <w:rsid w:val="004E453C"/>
    <w:rsid w:val="0051684A"/>
    <w:rsid w:val="005424E4"/>
    <w:rsid w:val="00596E63"/>
    <w:rsid w:val="005A3C2B"/>
    <w:rsid w:val="0072552D"/>
    <w:rsid w:val="00763DDC"/>
    <w:rsid w:val="007C7E00"/>
    <w:rsid w:val="007E3E7B"/>
    <w:rsid w:val="0085741B"/>
    <w:rsid w:val="00A10049"/>
    <w:rsid w:val="00A3575F"/>
    <w:rsid w:val="00A90D20"/>
    <w:rsid w:val="00B2609F"/>
    <w:rsid w:val="00B75E9A"/>
    <w:rsid w:val="00BD0FDA"/>
    <w:rsid w:val="00C951DA"/>
    <w:rsid w:val="00E673CE"/>
    <w:rsid w:val="00ED11FD"/>
    <w:rsid w:val="00F4048D"/>
    <w:rsid w:val="00F521C3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</cp:lastModifiedBy>
  <cp:revision>5</cp:revision>
  <dcterms:created xsi:type="dcterms:W3CDTF">2023-12-21T11:17:00Z</dcterms:created>
  <dcterms:modified xsi:type="dcterms:W3CDTF">2025-02-16T08:46:00Z</dcterms:modified>
</cp:coreProperties>
</file>