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00F95" w14:textId="52F1BE55" w:rsidR="00025290" w:rsidRPr="00B936E7" w:rsidRDefault="00025290" w:rsidP="00025290">
      <w:pPr>
        <w:jc w:val="right"/>
        <w:rPr>
          <w:szCs w:val="24"/>
        </w:rPr>
      </w:pPr>
      <w:r w:rsidRPr="00B936E7">
        <w:rPr>
          <w:szCs w:val="24"/>
        </w:rPr>
        <w:t>1</w:t>
      </w:r>
      <w:r w:rsidR="00EC5C0C">
        <w:rPr>
          <w:szCs w:val="24"/>
        </w:rPr>
        <w:t>_2</w:t>
      </w:r>
      <w:r w:rsidRPr="00B936E7">
        <w:rPr>
          <w:szCs w:val="24"/>
        </w:rPr>
        <w:t xml:space="preserve"> priedas</w:t>
      </w:r>
    </w:p>
    <w:p w14:paraId="7B927761" w14:textId="77777777" w:rsidR="00025290" w:rsidRPr="00B936E7" w:rsidRDefault="00025290" w:rsidP="00025290">
      <w:pPr>
        <w:pStyle w:val="BodyText"/>
        <w:spacing w:after="0"/>
        <w:jc w:val="center"/>
        <w:rPr>
          <w:b/>
          <w:bCs/>
          <w:szCs w:val="24"/>
        </w:rPr>
      </w:pPr>
    </w:p>
    <w:p w14:paraId="3CFAC38B" w14:textId="77777777" w:rsidR="00025290" w:rsidRDefault="00025290" w:rsidP="00025290">
      <w:pPr>
        <w:pStyle w:val="Patvirtinta"/>
        <w:ind w:left="0"/>
        <w:jc w:val="center"/>
        <w:rPr>
          <w:rFonts w:ascii="Times New Roman" w:hAnsi="Times New Roman" w:cs="Times New Roman"/>
          <w:b/>
          <w:color w:val="000000"/>
          <w:sz w:val="24"/>
          <w:szCs w:val="24"/>
          <w:lang w:val="lt-LT"/>
        </w:rPr>
      </w:pPr>
      <w:r w:rsidRPr="00B936E7">
        <w:rPr>
          <w:rFonts w:ascii="Times New Roman" w:hAnsi="Times New Roman" w:cs="Times New Roman"/>
          <w:b/>
          <w:color w:val="000000"/>
          <w:sz w:val="24"/>
          <w:szCs w:val="24"/>
          <w:lang w:val="lt-LT"/>
        </w:rPr>
        <w:t>TECHNINĖ SPECIFIKACIJA</w:t>
      </w:r>
    </w:p>
    <w:p w14:paraId="6B4131FF" w14:textId="3E1A0C1E" w:rsidR="00EE4B6B" w:rsidRPr="00EE4B6B" w:rsidRDefault="00EE4B6B" w:rsidP="00025290">
      <w:pPr>
        <w:pStyle w:val="Patvirtinta"/>
        <w:ind w:left="0"/>
        <w:jc w:val="center"/>
        <w:rPr>
          <w:rFonts w:ascii="Times New Roman" w:hAnsi="Times New Roman" w:cs="Times New Roman"/>
          <w:b/>
          <w:color w:val="000000"/>
          <w:sz w:val="24"/>
          <w:szCs w:val="24"/>
          <w:lang w:val="lt-LT"/>
        </w:rPr>
      </w:pPr>
      <w:r w:rsidRPr="00EE4B6B">
        <w:rPr>
          <w:rFonts w:ascii="Times New Roman" w:hAnsi="Times New Roman" w:cs="Times New Roman"/>
          <w:b/>
          <w:bCs/>
          <w:iCs/>
          <w:caps/>
          <w:sz w:val="24"/>
          <w:szCs w:val="24"/>
        </w:rPr>
        <w:t xml:space="preserve">išorinės kokybės kontrolės paslaugos </w:t>
      </w:r>
      <w:r w:rsidR="00E07ED6">
        <w:rPr>
          <w:rFonts w:ascii="Times New Roman" w:hAnsi="Times New Roman" w:cs="Times New Roman"/>
          <w:b/>
          <w:bCs/>
          <w:iCs/>
          <w:caps/>
          <w:sz w:val="24"/>
          <w:szCs w:val="24"/>
        </w:rPr>
        <w:t>RANKINIAMS METODAMS</w:t>
      </w:r>
    </w:p>
    <w:p w14:paraId="7B2C7659" w14:textId="77777777" w:rsidR="00025290" w:rsidRDefault="00025290" w:rsidP="00025290">
      <w:pPr>
        <w:pStyle w:val="Patvirtinta"/>
        <w:ind w:left="0"/>
        <w:jc w:val="center"/>
        <w:rPr>
          <w:rFonts w:ascii="Times New Roman" w:hAnsi="Times New Roman" w:cs="Times New Roman"/>
          <w:b/>
          <w:color w:val="000000"/>
          <w:sz w:val="24"/>
          <w:szCs w:val="24"/>
          <w:lang w:val="lt-LT"/>
        </w:rPr>
      </w:pPr>
    </w:p>
    <w:tbl>
      <w:tblPr>
        <w:tblW w:w="9918" w:type="dxa"/>
        <w:tblLook w:val="04A0" w:firstRow="1" w:lastRow="0" w:firstColumn="1" w:lastColumn="0" w:noHBand="0" w:noVBand="1"/>
      </w:tblPr>
      <w:tblGrid>
        <w:gridCol w:w="528"/>
        <w:gridCol w:w="73"/>
        <w:gridCol w:w="3243"/>
        <w:gridCol w:w="57"/>
        <w:gridCol w:w="1540"/>
        <w:gridCol w:w="28"/>
        <w:gridCol w:w="4449"/>
      </w:tblGrid>
      <w:tr w:rsidR="00025290" w:rsidRPr="00E1153D" w14:paraId="72F0327F" w14:textId="77777777" w:rsidTr="00025290">
        <w:trPr>
          <w:trHeight w:val="1268"/>
        </w:trPr>
        <w:tc>
          <w:tcPr>
            <w:tcW w:w="528"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73C51FC7" w14:textId="77777777" w:rsidR="00025290" w:rsidRPr="00E1153D" w:rsidRDefault="00025290" w:rsidP="0005198A">
            <w:pPr>
              <w:suppressAutoHyphens w:val="0"/>
              <w:jc w:val="center"/>
              <w:rPr>
                <w:sz w:val="22"/>
                <w:szCs w:val="22"/>
                <w:lang w:eastAsia="lt-LT"/>
              </w:rPr>
            </w:pPr>
            <w:r w:rsidRPr="00E1153D">
              <w:rPr>
                <w:sz w:val="22"/>
                <w:szCs w:val="22"/>
                <w:lang w:eastAsia="lt-LT"/>
              </w:rPr>
              <w:t>Eil. Nr.</w:t>
            </w:r>
          </w:p>
        </w:tc>
        <w:tc>
          <w:tcPr>
            <w:tcW w:w="3316" w:type="dxa"/>
            <w:gridSpan w:val="2"/>
            <w:tcBorders>
              <w:top w:val="single" w:sz="4" w:space="0" w:color="000000"/>
              <w:left w:val="nil"/>
              <w:bottom w:val="single" w:sz="4" w:space="0" w:color="auto"/>
              <w:right w:val="nil"/>
            </w:tcBorders>
            <w:shd w:val="clear" w:color="auto" w:fill="auto"/>
            <w:vAlign w:val="center"/>
            <w:hideMark/>
          </w:tcPr>
          <w:p w14:paraId="6C61016A" w14:textId="77777777" w:rsidR="00025290" w:rsidRPr="00E1153D" w:rsidRDefault="00025290" w:rsidP="0005198A">
            <w:pPr>
              <w:suppressAutoHyphens w:val="0"/>
              <w:jc w:val="center"/>
              <w:rPr>
                <w:sz w:val="22"/>
                <w:szCs w:val="22"/>
                <w:lang w:eastAsia="lt-LT"/>
              </w:rPr>
            </w:pPr>
            <w:r w:rsidRPr="00E1153D">
              <w:rPr>
                <w:sz w:val="22"/>
                <w:szCs w:val="22"/>
                <w:lang w:eastAsia="lt-LT"/>
              </w:rPr>
              <w:t>Kontrolių pavadinimas</w:t>
            </w:r>
          </w:p>
        </w:tc>
        <w:tc>
          <w:tcPr>
            <w:tcW w:w="15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801D8B" w14:textId="5BA13150" w:rsidR="00025290" w:rsidRPr="00E1153D" w:rsidRDefault="00025290" w:rsidP="0005198A">
            <w:pPr>
              <w:suppressAutoHyphens w:val="0"/>
              <w:rPr>
                <w:szCs w:val="24"/>
                <w:lang w:eastAsia="lt-LT"/>
              </w:rPr>
            </w:pPr>
            <w:r w:rsidRPr="00E1153D">
              <w:rPr>
                <w:szCs w:val="24"/>
                <w:lang w:eastAsia="lt-LT"/>
              </w:rPr>
              <w:t xml:space="preserve">Kontrolinės medžiagos bandinių kiekis per </w:t>
            </w:r>
            <w:r w:rsidR="002648CE">
              <w:rPr>
                <w:szCs w:val="24"/>
                <w:lang w:eastAsia="lt-LT"/>
              </w:rPr>
              <w:t>36</w:t>
            </w:r>
            <w:r w:rsidRPr="00E1153D">
              <w:rPr>
                <w:szCs w:val="24"/>
                <w:lang w:eastAsia="lt-LT"/>
              </w:rPr>
              <w:t xml:space="preserve"> mėn.</w:t>
            </w:r>
          </w:p>
        </w:tc>
        <w:tc>
          <w:tcPr>
            <w:tcW w:w="4477" w:type="dxa"/>
            <w:gridSpan w:val="2"/>
            <w:tcBorders>
              <w:top w:val="single" w:sz="4" w:space="0" w:color="000000"/>
              <w:left w:val="nil"/>
              <w:bottom w:val="single" w:sz="4" w:space="0" w:color="auto"/>
              <w:right w:val="single" w:sz="4" w:space="0" w:color="000000"/>
            </w:tcBorders>
            <w:shd w:val="clear" w:color="auto" w:fill="auto"/>
            <w:vAlign w:val="center"/>
            <w:hideMark/>
          </w:tcPr>
          <w:p w14:paraId="2DFA35D7" w14:textId="77777777" w:rsidR="00025290" w:rsidRPr="00E1153D" w:rsidRDefault="00025290" w:rsidP="0005198A">
            <w:pPr>
              <w:suppressAutoHyphens w:val="0"/>
              <w:jc w:val="center"/>
              <w:rPr>
                <w:sz w:val="22"/>
                <w:szCs w:val="22"/>
                <w:lang w:eastAsia="lt-LT"/>
              </w:rPr>
            </w:pPr>
            <w:r w:rsidRPr="00E1153D">
              <w:rPr>
                <w:sz w:val="22"/>
                <w:szCs w:val="22"/>
                <w:lang w:eastAsia="lt-LT"/>
              </w:rPr>
              <w:t>Kokybiniai ir techniniai reikalavimai</w:t>
            </w:r>
          </w:p>
        </w:tc>
      </w:tr>
      <w:tr w:rsidR="00025290" w:rsidRPr="00E1153D" w14:paraId="23939CD6" w14:textId="77777777" w:rsidTr="00025290">
        <w:trPr>
          <w:trHeight w:val="3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E3797" w14:textId="77777777" w:rsidR="00025290" w:rsidRPr="00E1153D" w:rsidRDefault="00025290" w:rsidP="0005198A">
            <w:pPr>
              <w:suppressAutoHyphens w:val="0"/>
              <w:jc w:val="center"/>
              <w:rPr>
                <w:b/>
                <w:bCs/>
                <w:color w:val="000000"/>
                <w:sz w:val="22"/>
                <w:szCs w:val="22"/>
                <w:lang w:eastAsia="lt-LT"/>
              </w:rPr>
            </w:pPr>
            <w:r w:rsidRPr="00E1153D">
              <w:rPr>
                <w:b/>
                <w:bCs/>
                <w:color w:val="000000"/>
                <w:sz w:val="22"/>
                <w:szCs w:val="22"/>
                <w:lang w:eastAsia="lt-LT"/>
              </w:rPr>
              <w:t>1</w:t>
            </w:r>
          </w:p>
        </w:tc>
        <w:tc>
          <w:tcPr>
            <w:tcW w:w="331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373C4D" w14:textId="77777777" w:rsidR="00025290" w:rsidRPr="00E1153D" w:rsidRDefault="00025290" w:rsidP="0005198A">
            <w:pPr>
              <w:suppressAutoHyphens w:val="0"/>
              <w:jc w:val="center"/>
              <w:rPr>
                <w:b/>
                <w:bCs/>
                <w:color w:val="000000"/>
                <w:sz w:val="22"/>
                <w:szCs w:val="22"/>
                <w:lang w:eastAsia="lt-LT"/>
              </w:rPr>
            </w:pPr>
            <w:r w:rsidRPr="00E1153D">
              <w:rPr>
                <w:b/>
                <w:bCs/>
                <w:color w:val="000000"/>
                <w:sz w:val="22"/>
                <w:szCs w:val="22"/>
                <w:lang w:eastAsia="lt-LT"/>
              </w:rPr>
              <w:t>2</w:t>
            </w:r>
          </w:p>
        </w:tc>
        <w:tc>
          <w:tcPr>
            <w:tcW w:w="15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112265" w14:textId="77777777" w:rsidR="00025290" w:rsidRPr="00E1153D" w:rsidRDefault="00025290" w:rsidP="0005198A">
            <w:pPr>
              <w:suppressAutoHyphens w:val="0"/>
              <w:jc w:val="center"/>
              <w:rPr>
                <w:b/>
                <w:bCs/>
                <w:color w:val="000000"/>
                <w:sz w:val="22"/>
                <w:szCs w:val="22"/>
                <w:lang w:eastAsia="lt-LT"/>
              </w:rPr>
            </w:pPr>
            <w:r w:rsidRPr="00E1153D">
              <w:rPr>
                <w:b/>
                <w:bCs/>
                <w:color w:val="000000"/>
                <w:sz w:val="22"/>
                <w:szCs w:val="22"/>
                <w:lang w:eastAsia="lt-LT"/>
              </w:rPr>
              <w:t>3</w:t>
            </w:r>
          </w:p>
        </w:tc>
        <w:tc>
          <w:tcPr>
            <w:tcW w:w="44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618762" w14:textId="77777777" w:rsidR="00025290" w:rsidRPr="00E1153D" w:rsidRDefault="00025290" w:rsidP="0005198A">
            <w:pPr>
              <w:suppressAutoHyphens w:val="0"/>
              <w:jc w:val="center"/>
              <w:rPr>
                <w:b/>
                <w:bCs/>
                <w:color w:val="000000"/>
                <w:sz w:val="22"/>
                <w:szCs w:val="22"/>
                <w:lang w:eastAsia="lt-LT"/>
              </w:rPr>
            </w:pPr>
            <w:r w:rsidRPr="00E1153D">
              <w:rPr>
                <w:b/>
                <w:bCs/>
                <w:color w:val="000000"/>
                <w:sz w:val="22"/>
                <w:szCs w:val="22"/>
                <w:lang w:eastAsia="lt-LT"/>
              </w:rPr>
              <w:t>4</w:t>
            </w:r>
          </w:p>
        </w:tc>
      </w:tr>
      <w:tr w:rsidR="00025290" w:rsidRPr="00A369EF" w14:paraId="6A8D8097" w14:textId="77777777" w:rsidTr="00025290">
        <w:trPr>
          <w:trHeight w:val="1245"/>
        </w:trPr>
        <w:tc>
          <w:tcPr>
            <w:tcW w:w="6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F4763C" w14:textId="77777777" w:rsidR="00025290" w:rsidRPr="00A369EF" w:rsidRDefault="00025290" w:rsidP="0005198A">
            <w:pPr>
              <w:suppressAutoHyphens w:val="0"/>
              <w:jc w:val="center"/>
              <w:rPr>
                <w:b/>
                <w:bCs/>
                <w:color w:val="000000"/>
                <w:sz w:val="22"/>
                <w:szCs w:val="22"/>
                <w:lang w:eastAsia="lt-LT"/>
              </w:rPr>
            </w:pPr>
            <w:r w:rsidRPr="00A369EF">
              <w:rPr>
                <w:b/>
                <w:bCs/>
                <w:color w:val="000000"/>
                <w:sz w:val="22"/>
                <w:szCs w:val="22"/>
                <w:lang w:eastAsia="lt-LT"/>
              </w:rPr>
              <w:t>2.</w:t>
            </w:r>
          </w:p>
        </w:tc>
        <w:tc>
          <w:tcPr>
            <w:tcW w:w="9317" w:type="dxa"/>
            <w:gridSpan w:val="5"/>
            <w:tcBorders>
              <w:top w:val="single" w:sz="4" w:space="0" w:color="000000"/>
              <w:left w:val="nil"/>
              <w:bottom w:val="single" w:sz="4" w:space="0" w:color="000000"/>
              <w:right w:val="single" w:sz="4" w:space="0" w:color="auto"/>
            </w:tcBorders>
            <w:shd w:val="clear" w:color="auto" w:fill="auto"/>
            <w:hideMark/>
          </w:tcPr>
          <w:p w14:paraId="6D68DA59" w14:textId="1DE72D6B" w:rsidR="00025290" w:rsidRPr="00A369EF" w:rsidRDefault="00025290" w:rsidP="005F407A">
            <w:pPr>
              <w:suppressAutoHyphens w:val="0"/>
              <w:jc w:val="both"/>
              <w:rPr>
                <w:b/>
                <w:bCs/>
                <w:color w:val="000000"/>
                <w:sz w:val="22"/>
                <w:szCs w:val="22"/>
                <w:lang w:eastAsia="lt-LT"/>
              </w:rPr>
            </w:pPr>
            <w:r w:rsidRPr="00A369EF">
              <w:rPr>
                <w:b/>
                <w:bCs/>
                <w:color w:val="000000"/>
                <w:sz w:val="22"/>
                <w:szCs w:val="22"/>
                <w:lang w:eastAsia="lt-LT"/>
              </w:rPr>
              <w:t xml:space="preserve">Išorinio kokybės vertinimo paslauga rankiniams metodams. Bendrieji reikalavimai: Kiekviena IKV programą sudaro tęstinis ciklas. Paslauga apima: kontrolinių mėginių/elektroninių testų pateikimą (skaičius pagal atitinkamą programą), gautų rezultatų statistinį įvertinimą ir dalyvio pažymėjimo išdavimą. </w:t>
            </w:r>
            <w:r w:rsidRPr="00A369EF">
              <w:rPr>
                <w:b/>
                <w:bCs/>
                <w:sz w:val="22"/>
                <w:szCs w:val="22"/>
                <w:lang w:eastAsia="lt-LT"/>
              </w:rPr>
              <w:t>IKV programų gamintojas turi būti akredituotas pagal ISO 17043 standartą.</w:t>
            </w:r>
            <w:bookmarkStart w:id="0" w:name="_GoBack"/>
            <w:bookmarkEnd w:id="0"/>
            <w:r w:rsidRPr="00A369EF">
              <w:rPr>
                <w:b/>
                <w:bCs/>
                <w:color w:val="000000"/>
                <w:sz w:val="22"/>
                <w:szCs w:val="22"/>
                <w:lang w:eastAsia="lt-LT"/>
              </w:rPr>
              <w:t xml:space="preserve"> </w:t>
            </w:r>
          </w:p>
        </w:tc>
      </w:tr>
      <w:tr w:rsidR="00025290" w:rsidRPr="00A369EF" w14:paraId="150F1B21" w14:textId="77777777" w:rsidTr="00025290">
        <w:trPr>
          <w:trHeight w:val="1095"/>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518B0F39"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2.1.</w:t>
            </w:r>
          </w:p>
        </w:tc>
        <w:tc>
          <w:tcPr>
            <w:tcW w:w="3300" w:type="dxa"/>
            <w:gridSpan w:val="2"/>
            <w:tcBorders>
              <w:top w:val="nil"/>
              <w:left w:val="nil"/>
              <w:bottom w:val="single" w:sz="4" w:space="0" w:color="000000"/>
              <w:right w:val="single" w:sz="4" w:space="0" w:color="000000"/>
            </w:tcBorders>
            <w:shd w:val="clear" w:color="auto" w:fill="auto"/>
            <w:hideMark/>
          </w:tcPr>
          <w:p w14:paraId="5ED3ECE6"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Šlapimo nuosėdų mikroskopijos programa</w:t>
            </w:r>
          </w:p>
        </w:tc>
        <w:tc>
          <w:tcPr>
            <w:tcW w:w="1568" w:type="dxa"/>
            <w:gridSpan w:val="2"/>
            <w:tcBorders>
              <w:top w:val="nil"/>
              <w:left w:val="nil"/>
              <w:bottom w:val="single" w:sz="4" w:space="0" w:color="000000"/>
              <w:right w:val="single" w:sz="4" w:space="0" w:color="000000"/>
            </w:tcBorders>
            <w:shd w:val="clear" w:color="auto" w:fill="auto"/>
            <w:hideMark/>
          </w:tcPr>
          <w:p w14:paraId="033422AD" w14:textId="272B2A45"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022308A4" w14:textId="77777777" w:rsidR="00025290" w:rsidRPr="00A369EF" w:rsidRDefault="00025290" w:rsidP="0005198A">
            <w:pPr>
              <w:suppressAutoHyphens w:val="0"/>
              <w:rPr>
                <w:sz w:val="22"/>
                <w:szCs w:val="22"/>
                <w:lang w:eastAsia="lt-LT"/>
              </w:rPr>
            </w:pPr>
            <w:r w:rsidRPr="00A369EF">
              <w:rPr>
                <w:sz w:val="22"/>
                <w:szCs w:val="22"/>
                <w:lang w:eastAsia="lt-LT"/>
              </w:rPr>
              <w:t xml:space="preserve">e-Programa. Būtinos apibendrintos statistinės ataskaitos.       </w:t>
            </w:r>
          </w:p>
        </w:tc>
      </w:tr>
      <w:tr w:rsidR="00025290" w:rsidRPr="00A369EF" w14:paraId="4F9D151A" w14:textId="77777777" w:rsidTr="00025290">
        <w:trPr>
          <w:trHeight w:val="1260"/>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7F907727"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2.2.</w:t>
            </w:r>
          </w:p>
        </w:tc>
        <w:tc>
          <w:tcPr>
            <w:tcW w:w="3300" w:type="dxa"/>
            <w:gridSpan w:val="2"/>
            <w:tcBorders>
              <w:top w:val="nil"/>
              <w:left w:val="nil"/>
              <w:bottom w:val="single" w:sz="4" w:space="0" w:color="000000"/>
              <w:right w:val="single" w:sz="4" w:space="0" w:color="000000"/>
            </w:tcBorders>
            <w:shd w:val="clear" w:color="auto" w:fill="auto"/>
            <w:hideMark/>
          </w:tcPr>
          <w:p w14:paraId="64381842"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Kraujo grupės pagal AOB sistemą ir Rh faktoriaus įvertinimo programa.</w:t>
            </w:r>
          </w:p>
        </w:tc>
        <w:tc>
          <w:tcPr>
            <w:tcW w:w="1568" w:type="dxa"/>
            <w:gridSpan w:val="2"/>
            <w:tcBorders>
              <w:top w:val="nil"/>
              <w:left w:val="nil"/>
              <w:bottom w:val="single" w:sz="4" w:space="0" w:color="000000"/>
              <w:right w:val="single" w:sz="4" w:space="0" w:color="000000"/>
            </w:tcBorders>
            <w:shd w:val="clear" w:color="auto" w:fill="auto"/>
            <w:hideMark/>
          </w:tcPr>
          <w:p w14:paraId="570784CD" w14:textId="46F71BA1" w:rsidR="00025290" w:rsidRPr="00A369EF" w:rsidRDefault="002648CE" w:rsidP="0005198A">
            <w:pPr>
              <w:suppressAutoHyphens w:val="0"/>
              <w:jc w:val="center"/>
              <w:rPr>
                <w:color w:val="000000"/>
                <w:sz w:val="22"/>
                <w:szCs w:val="22"/>
                <w:lang w:val="en-US"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567E8ABB" w14:textId="77777777" w:rsidR="00025290" w:rsidRPr="00A369EF" w:rsidRDefault="00025290" w:rsidP="0005198A">
            <w:pPr>
              <w:suppressAutoHyphens w:val="0"/>
              <w:rPr>
                <w:sz w:val="22"/>
                <w:szCs w:val="22"/>
                <w:lang w:eastAsia="lt-LT"/>
              </w:rPr>
            </w:pPr>
            <w:r w:rsidRPr="00A369EF">
              <w:rPr>
                <w:sz w:val="22"/>
                <w:szCs w:val="22"/>
                <w:lang w:eastAsia="lt-LT"/>
              </w:rPr>
              <w:t xml:space="preserve">Žmogaus kraujo kokybės kontroliniai mėginiai            kraujo grupės pagal ABO sistemą ir RhD  tyrimų kokybės įvertinimui.Būtinos apibendrintos statistinės ataskaitos.       </w:t>
            </w:r>
          </w:p>
        </w:tc>
      </w:tr>
      <w:tr w:rsidR="00025290" w:rsidRPr="00A369EF" w14:paraId="50A76F2C" w14:textId="77777777" w:rsidTr="00025290">
        <w:trPr>
          <w:trHeight w:val="1245"/>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583F793C"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2.3.</w:t>
            </w:r>
          </w:p>
        </w:tc>
        <w:tc>
          <w:tcPr>
            <w:tcW w:w="3300" w:type="dxa"/>
            <w:gridSpan w:val="2"/>
            <w:tcBorders>
              <w:top w:val="nil"/>
              <w:left w:val="nil"/>
              <w:bottom w:val="single" w:sz="4" w:space="0" w:color="000000"/>
              <w:right w:val="single" w:sz="4" w:space="0" w:color="000000"/>
            </w:tcBorders>
            <w:shd w:val="clear" w:color="auto" w:fill="auto"/>
            <w:hideMark/>
          </w:tcPr>
          <w:p w14:paraId="161AD721"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Antikūnų paieškos ir kraujo suderinamumo tyrimų programa</w:t>
            </w:r>
          </w:p>
        </w:tc>
        <w:tc>
          <w:tcPr>
            <w:tcW w:w="1568" w:type="dxa"/>
            <w:gridSpan w:val="2"/>
            <w:tcBorders>
              <w:top w:val="nil"/>
              <w:left w:val="nil"/>
              <w:bottom w:val="single" w:sz="4" w:space="0" w:color="000000"/>
              <w:right w:val="single" w:sz="4" w:space="0" w:color="000000"/>
            </w:tcBorders>
            <w:shd w:val="clear" w:color="auto" w:fill="auto"/>
            <w:hideMark/>
          </w:tcPr>
          <w:p w14:paraId="1EBBC8C9" w14:textId="4291566D"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2512788D" w14:textId="77777777" w:rsidR="00025290" w:rsidRPr="00A369EF" w:rsidRDefault="00025290" w:rsidP="0005198A">
            <w:pPr>
              <w:suppressAutoHyphens w:val="0"/>
              <w:rPr>
                <w:sz w:val="22"/>
                <w:szCs w:val="22"/>
                <w:lang w:eastAsia="lt-LT"/>
              </w:rPr>
            </w:pPr>
            <w:r w:rsidRPr="00A369EF">
              <w:rPr>
                <w:sz w:val="22"/>
                <w:szCs w:val="22"/>
                <w:lang w:eastAsia="lt-LT"/>
              </w:rPr>
              <w:t xml:space="preserve">Žmogaus kraujo kokybės kontroliniai mėginiai            antieritrocitinių antikūnų ir kraujo suderinamumo  tyrimų kokybės įvertinimui.  Būtinos apibendrintos statistinės ataskaitos.       </w:t>
            </w:r>
          </w:p>
        </w:tc>
      </w:tr>
      <w:tr w:rsidR="00025290" w:rsidRPr="00A369EF" w14:paraId="2607AAA2" w14:textId="77777777" w:rsidTr="00025290">
        <w:trPr>
          <w:trHeight w:val="960"/>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4260BC6E"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2.4.</w:t>
            </w:r>
          </w:p>
        </w:tc>
        <w:tc>
          <w:tcPr>
            <w:tcW w:w="3300" w:type="dxa"/>
            <w:gridSpan w:val="2"/>
            <w:tcBorders>
              <w:top w:val="nil"/>
              <w:left w:val="nil"/>
              <w:bottom w:val="single" w:sz="4" w:space="0" w:color="000000"/>
              <w:right w:val="single" w:sz="4" w:space="0" w:color="000000"/>
            </w:tcBorders>
            <w:shd w:val="clear" w:color="auto" w:fill="auto"/>
            <w:hideMark/>
          </w:tcPr>
          <w:p w14:paraId="1429B2D0"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Tiesioginio Kumbso programa</w:t>
            </w:r>
          </w:p>
        </w:tc>
        <w:tc>
          <w:tcPr>
            <w:tcW w:w="1568" w:type="dxa"/>
            <w:gridSpan w:val="2"/>
            <w:tcBorders>
              <w:top w:val="nil"/>
              <w:left w:val="nil"/>
              <w:bottom w:val="single" w:sz="4" w:space="0" w:color="000000"/>
              <w:right w:val="single" w:sz="4" w:space="0" w:color="000000"/>
            </w:tcBorders>
            <w:shd w:val="clear" w:color="auto" w:fill="auto"/>
            <w:hideMark/>
          </w:tcPr>
          <w:p w14:paraId="1EBD89CA" w14:textId="04C4EDEE"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685BD502" w14:textId="77777777" w:rsidR="00025290" w:rsidRPr="00A369EF" w:rsidRDefault="00025290" w:rsidP="0005198A">
            <w:pPr>
              <w:suppressAutoHyphens w:val="0"/>
              <w:rPr>
                <w:sz w:val="22"/>
                <w:szCs w:val="22"/>
                <w:lang w:eastAsia="lt-LT"/>
              </w:rPr>
            </w:pPr>
            <w:r w:rsidRPr="00A369EF">
              <w:rPr>
                <w:sz w:val="22"/>
                <w:szCs w:val="22"/>
                <w:lang w:eastAsia="lt-LT"/>
              </w:rPr>
              <w:t xml:space="preserve">Žmogaus kraujo kokybės kontroliniai mėginiai            tiesioginio Kumbso kokybės įvertinimui.  Būtinos apibendrintos statistinės ataskaitos.       </w:t>
            </w:r>
          </w:p>
        </w:tc>
      </w:tr>
      <w:tr w:rsidR="00025290" w:rsidRPr="00A369EF" w14:paraId="6A634274" w14:textId="77777777" w:rsidTr="00025290">
        <w:trPr>
          <w:trHeight w:val="990"/>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0F29DAD4"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2.5.</w:t>
            </w:r>
          </w:p>
        </w:tc>
        <w:tc>
          <w:tcPr>
            <w:tcW w:w="3300" w:type="dxa"/>
            <w:gridSpan w:val="2"/>
            <w:tcBorders>
              <w:top w:val="nil"/>
              <w:left w:val="nil"/>
              <w:bottom w:val="single" w:sz="4" w:space="0" w:color="000000"/>
              <w:right w:val="single" w:sz="4" w:space="0" w:color="000000"/>
            </w:tcBorders>
            <w:shd w:val="clear" w:color="auto" w:fill="auto"/>
            <w:hideMark/>
          </w:tcPr>
          <w:p w14:paraId="53BC9F8D"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Rota ir Adeno virusų Ag nustatymo programa</w:t>
            </w:r>
          </w:p>
        </w:tc>
        <w:tc>
          <w:tcPr>
            <w:tcW w:w="1568" w:type="dxa"/>
            <w:gridSpan w:val="2"/>
            <w:tcBorders>
              <w:top w:val="nil"/>
              <w:left w:val="nil"/>
              <w:bottom w:val="single" w:sz="4" w:space="0" w:color="000000"/>
              <w:right w:val="single" w:sz="4" w:space="0" w:color="000000"/>
            </w:tcBorders>
            <w:shd w:val="clear" w:color="auto" w:fill="auto"/>
            <w:hideMark/>
          </w:tcPr>
          <w:p w14:paraId="0641C855" w14:textId="20E5074E"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24AF0BC5" w14:textId="77777777" w:rsidR="00025290" w:rsidRPr="00A369EF" w:rsidRDefault="00025290" w:rsidP="0005198A">
            <w:pPr>
              <w:suppressAutoHyphens w:val="0"/>
              <w:rPr>
                <w:sz w:val="22"/>
                <w:szCs w:val="22"/>
                <w:lang w:eastAsia="lt-LT"/>
              </w:rPr>
            </w:pPr>
            <w:r w:rsidRPr="00A369EF">
              <w:rPr>
                <w:sz w:val="22"/>
                <w:szCs w:val="22"/>
                <w:lang w:eastAsia="lt-LT"/>
              </w:rPr>
              <w:t xml:space="preserve">Kokybės kontroliniai mėginiai Rotavirusų ir Adenovirusų Ag nustatymo  kokybės įvertinimui.  Būtinos apibendrintos statistinės ataskaitos.       </w:t>
            </w:r>
          </w:p>
        </w:tc>
      </w:tr>
      <w:tr w:rsidR="00025290" w:rsidRPr="00A369EF" w14:paraId="6A5F3F55" w14:textId="77777777" w:rsidTr="00025290">
        <w:trPr>
          <w:trHeight w:val="1230"/>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7CF95DB0"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2.6</w:t>
            </w:r>
          </w:p>
        </w:tc>
        <w:tc>
          <w:tcPr>
            <w:tcW w:w="3300" w:type="dxa"/>
            <w:gridSpan w:val="2"/>
            <w:tcBorders>
              <w:top w:val="nil"/>
              <w:left w:val="nil"/>
              <w:bottom w:val="single" w:sz="4" w:space="0" w:color="000000"/>
              <w:right w:val="single" w:sz="4" w:space="0" w:color="000000"/>
            </w:tcBorders>
            <w:shd w:val="clear" w:color="auto" w:fill="auto"/>
            <w:hideMark/>
          </w:tcPr>
          <w:p w14:paraId="058C2B51"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Leukocitų diferencinio skaičiavimo (tyrimą atliekant automatizuotai) programa</w:t>
            </w:r>
          </w:p>
        </w:tc>
        <w:tc>
          <w:tcPr>
            <w:tcW w:w="1568" w:type="dxa"/>
            <w:gridSpan w:val="2"/>
            <w:tcBorders>
              <w:top w:val="nil"/>
              <w:left w:val="nil"/>
              <w:bottom w:val="single" w:sz="4" w:space="0" w:color="000000"/>
              <w:right w:val="single" w:sz="4" w:space="0" w:color="000000"/>
            </w:tcBorders>
            <w:shd w:val="clear" w:color="auto" w:fill="auto"/>
            <w:hideMark/>
          </w:tcPr>
          <w:p w14:paraId="6D6677FF" w14:textId="392F7FC3"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0F166CF9" w14:textId="77777777" w:rsidR="00025290" w:rsidRPr="00A369EF" w:rsidRDefault="00025290" w:rsidP="0005198A">
            <w:pPr>
              <w:suppressAutoHyphens w:val="0"/>
              <w:rPr>
                <w:sz w:val="22"/>
                <w:szCs w:val="22"/>
                <w:lang w:eastAsia="lt-LT"/>
              </w:rPr>
            </w:pPr>
            <w:r w:rsidRPr="00A369EF">
              <w:rPr>
                <w:sz w:val="22"/>
                <w:szCs w:val="22"/>
                <w:lang w:eastAsia="lt-LT"/>
              </w:rPr>
              <w:t xml:space="preserve">Žmogaus kraujo kokybės kontroliniai mėginiai            leukocitų diferencinio skaičiavimo (tyrimą atliekant automatizuotai) kokybės įvertinimui.  Būtinos apibendrintos statistinės ataskaitos.       </w:t>
            </w:r>
          </w:p>
        </w:tc>
      </w:tr>
      <w:tr w:rsidR="00025290" w:rsidRPr="00A369EF" w14:paraId="2ABD9204" w14:textId="77777777" w:rsidTr="00025290">
        <w:trPr>
          <w:trHeight w:val="1215"/>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630D8687"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2.7</w:t>
            </w:r>
          </w:p>
        </w:tc>
        <w:tc>
          <w:tcPr>
            <w:tcW w:w="3300" w:type="dxa"/>
            <w:gridSpan w:val="2"/>
            <w:tcBorders>
              <w:top w:val="nil"/>
              <w:left w:val="nil"/>
              <w:bottom w:val="single" w:sz="4" w:space="0" w:color="000000"/>
              <w:right w:val="single" w:sz="4" w:space="0" w:color="000000"/>
            </w:tcBorders>
            <w:shd w:val="clear" w:color="auto" w:fill="auto"/>
            <w:hideMark/>
          </w:tcPr>
          <w:p w14:paraId="18EEE367"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Retikuliocitų mikroskopinio skaičiavimo programa</w:t>
            </w:r>
          </w:p>
        </w:tc>
        <w:tc>
          <w:tcPr>
            <w:tcW w:w="1568" w:type="dxa"/>
            <w:gridSpan w:val="2"/>
            <w:tcBorders>
              <w:top w:val="nil"/>
              <w:left w:val="nil"/>
              <w:bottom w:val="single" w:sz="4" w:space="0" w:color="000000"/>
              <w:right w:val="single" w:sz="4" w:space="0" w:color="000000"/>
            </w:tcBorders>
            <w:shd w:val="clear" w:color="auto" w:fill="auto"/>
            <w:hideMark/>
          </w:tcPr>
          <w:p w14:paraId="1F96B1A6" w14:textId="7182165C"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7329EEDD" w14:textId="77777777" w:rsidR="00025290" w:rsidRPr="00A369EF" w:rsidRDefault="00025290" w:rsidP="0005198A">
            <w:pPr>
              <w:suppressAutoHyphens w:val="0"/>
              <w:rPr>
                <w:sz w:val="22"/>
                <w:szCs w:val="22"/>
                <w:lang w:eastAsia="lt-LT"/>
              </w:rPr>
            </w:pPr>
            <w:r w:rsidRPr="00A369EF">
              <w:rPr>
                <w:sz w:val="22"/>
                <w:szCs w:val="22"/>
                <w:lang w:eastAsia="lt-LT"/>
              </w:rPr>
              <w:t xml:space="preserve">Žmogaus kraujo kokybės kontroliniai mėginiai retikuliocitų skaičiavimo rankiniu metodu            kokybės įvertinimui.  Būtinos apibendrintos statistinės ataskaitos.       </w:t>
            </w:r>
          </w:p>
        </w:tc>
      </w:tr>
      <w:tr w:rsidR="00025290" w:rsidRPr="00A369EF" w14:paraId="09F3478E" w14:textId="77777777" w:rsidTr="00025290">
        <w:trPr>
          <w:trHeight w:val="1020"/>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45977580"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2.8</w:t>
            </w:r>
          </w:p>
        </w:tc>
        <w:tc>
          <w:tcPr>
            <w:tcW w:w="3300" w:type="dxa"/>
            <w:gridSpan w:val="2"/>
            <w:tcBorders>
              <w:top w:val="nil"/>
              <w:left w:val="nil"/>
              <w:bottom w:val="single" w:sz="4" w:space="0" w:color="000000"/>
              <w:right w:val="single" w:sz="4" w:space="0" w:color="000000"/>
            </w:tcBorders>
            <w:shd w:val="clear" w:color="auto" w:fill="auto"/>
            <w:hideMark/>
          </w:tcPr>
          <w:p w14:paraId="5E83855E"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Baltymo likvore programa</w:t>
            </w:r>
          </w:p>
        </w:tc>
        <w:tc>
          <w:tcPr>
            <w:tcW w:w="1568" w:type="dxa"/>
            <w:gridSpan w:val="2"/>
            <w:tcBorders>
              <w:top w:val="nil"/>
              <w:left w:val="nil"/>
              <w:bottom w:val="single" w:sz="4" w:space="0" w:color="000000"/>
              <w:right w:val="single" w:sz="4" w:space="0" w:color="000000"/>
            </w:tcBorders>
            <w:shd w:val="clear" w:color="auto" w:fill="auto"/>
            <w:hideMark/>
          </w:tcPr>
          <w:p w14:paraId="76A04721" w14:textId="55ECD629"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7DD5B0F9" w14:textId="77777777" w:rsidR="00025290" w:rsidRPr="00A369EF" w:rsidRDefault="00025290" w:rsidP="0005198A">
            <w:pPr>
              <w:suppressAutoHyphens w:val="0"/>
              <w:rPr>
                <w:sz w:val="22"/>
                <w:szCs w:val="22"/>
                <w:lang w:eastAsia="lt-LT"/>
              </w:rPr>
            </w:pPr>
            <w:r w:rsidRPr="00A369EF">
              <w:rPr>
                <w:sz w:val="22"/>
                <w:szCs w:val="22"/>
                <w:lang w:eastAsia="lt-LT"/>
              </w:rPr>
              <w:t xml:space="preserve">Kontroliniai mėginiai baltymo likvore tyrimo    kokybės įvertinimui.  Būtinos apibendrintos statistinės ataskaitos.       </w:t>
            </w:r>
          </w:p>
        </w:tc>
      </w:tr>
      <w:tr w:rsidR="00025290" w:rsidRPr="00A369EF" w14:paraId="1E49D03A" w14:textId="77777777" w:rsidTr="00025290">
        <w:trPr>
          <w:trHeight w:val="1260"/>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550CD93E"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lastRenderedPageBreak/>
              <w:t>2.9</w:t>
            </w:r>
          </w:p>
        </w:tc>
        <w:tc>
          <w:tcPr>
            <w:tcW w:w="3300" w:type="dxa"/>
            <w:gridSpan w:val="2"/>
            <w:tcBorders>
              <w:top w:val="nil"/>
              <w:left w:val="nil"/>
              <w:bottom w:val="single" w:sz="4" w:space="0" w:color="000000"/>
              <w:right w:val="single" w:sz="4" w:space="0" w:color="000000"/>
            </w:tcBorders>
            <w:shd w:val="clear" w:color="auto" w:fill="auto"/>
            <w:hideMark/>
          </w:tcPr>
          <w:p w14:paraId="68F70460"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Šlapimo kiekybinių tyrimų programa</w:t>
            </w:r>
          </w:p>
        </w:tc>
        <w:tc>
          <w:tcPr>
            <w:tcW w:w="1568" w:type="dxa"/>
            <w:gridSpan w:val="2"/>
            <w:tcBorders>
              <w:top w:val="nil"/>
              <w:left w:val="nil"/>
              <w:bottom w:val="single" w:sz="4" w:space="0" w:color="000000"/>
              <w:right w:val="single" w:sz="4" w:space="0" w:color="000000"/>
            </w:tcBorders>
            <w:shd w:val="clear" w:color="auto" w:fill="auto"/>
            <w:hideMark/>
          </w:tcPr>
          <w:p w14:paraId="676FC372" w14:textId="40672AEE"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45A9CDD2" w14:textId="77777777" w:rsidR="00025290" w:rsidRPr="00A369EF" w:rsidRDefault="00025290" w:rsidP="0005198A">
            <w:pPr>
              <w:suppressAutoHyphens w:val="0"/>
              <w:rPr>
                <w:sz w:val="22"/>
                <w:szCs w:val="22"/>
                <w:lang w:eastAsia="lt-LT"/>
              </w:rPr>
            </w:pPr>
            <w:r w:rsidRPr="00A369EF">
              <w:rPr>
                <w:sz w:val="22"/>
                <w:szCs w:val="22"/>
                <w:lang w:eastAsia="lt-LT"/>
              </w:rPr>
              <w:t xml:space="preserve">Kontroliniai mėginiai </w:t>
            </w:r>
            <w:r w:rsidRPr="00A369EF">
              <w:rPr>
                <w:b/>
                <w:bCs/>
                <w:sz w:val="22"/>
                <w:szCs w:val="22"/>
                <w:lang w:eastAsia="lt-LT"/>
              </w:rPr>
              <w:t>šlapimo kiekybinių tyrimų</w:t>
            </w:r>
            <w:r w:rsidRPr="00A369EF">
              <w:rPr>
                <w:sz w:val="22"/>
                <w:szCs w:val="22"/>
                <w:lang w:eastAsia="lt-LT"/>
              </w:rPr>
              <w:t xml:space="preserve">: baltymo, kreatinino, kalio, natrio ,chloro, fosforo, kalcio, magnio kokybės įvertinimui. Būtinos apibendrintos statistinės ataskaitos.       </w:t>
            </w:r>
          </w:p>
        </w:tc>
      </w:tr>
      <w:tr w:rsidR="00025290" w:rsidRPr="00A369EF" w14:paraId="45710445" w14:textId="77777777" w:rsidTr="00025290">
        <w:trPr>
          <w:trHeight w:val="1080"/>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10C5F9DF"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2.10</w:t>
            </w:r>
          </w:p>
        </w:tc>
        <w:tc>
          <w:tcPr>
            <w:tcW w:w="3300" w:type="dxa"/>
            <w:gridSpan w:val="2"/>
            <w:tcBorders>
              <w:top w:val="nil"/>
              <w:left w:val="nil"/>
              <w:bottom w:val="single" w:sz="4" w:space="0" w:color="000000"/>
              <w:right w:val="single" w:sz="4" w:space="0" w:color="000000"/>
            </w:tcBorders>
            <w:shd w:val="clear" w:color="auto" w:fill="auto"/>
            <w:hideMark/>
          </w:tcPr>
          <w:p w14:paraId="160F875A"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Kraujo išmatose nustatymui programa</w:t>
            </w:r>
          </w:p>
        </w:tc>
        <w:tc>
          <w:tcPr>
            <w:tcW w:w="1568" w:type="dxa"/>
            <w:gridSpan w:val="2"/>
            <w:tcBorders>
              <w:top w:val="nil"/>
              <w:left w:val="nil"/>
              <w:bottom w:val="single" w:sz="4" w:space="0" w:color="000000"/>
              <w:right w:val="single" w:sz="4" w:space="0" w:color="000000"/>
            </w:tcBorders>
            <w:shd w:val="clear" w:color="auto" w:fill="auto"/>
            <w:hideMark/>
          </w:tcPr>
          <w:p w14:paraId="6CC84908" w14:textId="4188BBAD"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5AA6A0BB" w14:textId="77777777" w:rsidR="00025290" w:rsidRPr="00A369EF" w:rsidRDefault="00025290" w:rsidP="0005198A">
            <w:pPr>
              <w:suppressAutoHyphens w:val="0"/>
              <w:rPr>
                <w:sz w:val="22"/>
                <w:szCs w:val="22"/>
                <w:lang w:eastAsia="lt-LT"/>
              </w:rPr>
            </w:pPr>
            <w:r w:rsidRPr="00A369EF">
              <w:rPr>
                <w:sz w:val="22"/>
                <w:szCs w:val="22"/>
                <w:lang w:eastAsia="lt-LT"/>
              </w:rPr>
              <w:t>Kontroliniai mėginiai slapto kraujo išmatose tyrimo</w:t>
            </w:r>
            <w:r w:rsidRPr="00A369EF">
              <w:rPr>
                <w:b/>
                <w:bCs/>
                <w:sz w:val="22"/>
                <w:szCs w:val="22"/>
                <w:lang w:eastAsia="lt-LT"/>
              </w:rPr>
              <w:t xml:space="preserve">    </w:t>
            </w:r>
            <w:r w:rsidRPr="00A369EF">
              <w:rPr>
                <w:sz w:val="22"/>
                <w:szCs w:val="22"/>
                <w:lang w:eastAsia="lt-LT"/>
              </w:rPr>
              <w:t xml:space="preserve">                         kokybės įvertinimui.  Būtinos apibendrintos statistinės ataskaitos.       </w:t>
            </w:r>
          </w:p>
        </w:tc>
      </w:tr>
      <w:tr w:rsidR="00025290" w:rsidRPr="00A369EF" w14:paraId="3959D5B2" w14:textId="77777777" w:rsidTr="00025290">
        <w:trPr>
          <w:trHeight w:val="1050"/>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1BBD98D8"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2.11</w:t>
            </w:r>
          </w:p>
        </w:tc>
        <w:tc>
          <w:tcPr>
            <w:tcW w:w="3300" w:type="dxa"/>
            <w:gridSpan w:val="2"/>
            <w:tcBorders>
              <w:top w:val="nil"/>
              <w:left w:val="nil"/>
              <w:bottom w:val="single" w:sz="4" w:space="0" w:color="000000"/>
              <w:right w:val="single" w:sz="4" w:space="0" w:color="000000"/>
            </w:tcBorders>
            <w:shd w:val="clear" w:color="auto" w:fill="auto"/>
            <w:hideMark/>
          </w:tcPr>
          <w:p w14:paraId="539D5EC6"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 xml:space="preserve">Nosies gleivinės ląstelių tyrimų programa </w:t>
            </w:r>
          </w:p>
        </w:tc>
        <w:tc>
          <w:tcPr>
            <w:tcW w:w="1568" w:type="dxa"/>
            <w:gridSpan w:val="2"/>
            <w:tcBorders>
              <w:top w:val="nil"/>
              <w:left w:val="nil"/>
              <w:bottom w:val="single" w:sz="4" w:space="0" w:color="000000"/>
              <w:right w:val="single" w:sz="4" w:space="0" w:color="000000"/>
            </w:tcBorders>
            <w:shd w:val="clear" w:color="auto" w:fill="auto"/>
            <w:hideMark/>
          </w:tcPr>
          <w:p w14:paraId="5749B6A2" w14:textId="27441901"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41F0437C" w14:textId="77777777" w:rsidR="00025290" w:rsidRPr="00A369EF" w:rsidRDefault="00025290" w:rsidP="0005198A">
            <w:pPr>
              <w:suppressAutoHyphens w:val="0"/>
              <w:rPr>
                <w:sz w:val="22"/>
                <w:szCs w:val="22"/>
                <w:lang w:eastAsia="lt-LT"/>
              </w:rPr>
            </w:pPr>
            <w:r w:rsidRPr="00A369EF">
              <w:rPr>
                <w:sz w:val="22"/>
                <w:szCs w:val="22"/>
                <w:lang w:eastAsia="lt-LT"/>
              </w:rPr>
              <w:t xml:space="preserve">e-Programa. Būtinos apibendrintos statistinės ataskaitos.       </w:t>
            </w:r>
          </w:p>
        </w:tc>
      </w:tr>
      <w:tr w:rsidR="00025290" w:rsidRPr="00A369EF" w14:paraId="325E016B" w14:textId="77777777" w:rsidTr="00025290">
        <w:trPr>
          <w:trHeight w:val="1080"/>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4667EBD9"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2.12</w:t>
            </w:r>
          </w:p>
        </w:tc>
        <w:tc>
          <w:tcPr>
            <w:tcW w:w="3300" w:type="dxa"/>
            <w:gridSpan w:val="2"/>
            <w:tcBorders>
              <w:top w:val="nil"/>
              <w:left w:val="nil"/>
              <w:bottom w:val="single" w:sz="4" w:space="0" w:color="000000"/>
              <w:right w:val="single" w:sz="4" w:space="0" w:color="000000"/>
            </w:tcBorders>
            <w:shd w:val="clear" w:color="auto" w:fill="auto"/>
            <w:hideMark/>
          </w:tcPr>
          <w:p w14:paraId="1BCFCA09"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Parazitų išmatose tyrimų programa</w:t>
            </w:r>
          </w:p>
        </w:tc>
        <w:tc>
          <w:tcPr>
            <w:tcW w:w="1568" w:type="dxa"/>
            <w:gridSpan w:val="2"/>
            <w:tcBorders>
              <w:top w:val="nil"/>
              <w:left w:val="nil"/>
              <w:bottom w:val="single" w:sz="4" w:space="0" w:color="000000"/>
              <w:right w:val="single" w:sz="4" w:space="0" w:color="000000"/>
            </w:tcBorders>
            <w:shd w:val="clear" w:color="auto" w:fill="auto"/>
            <w:hideMark/>
          </w:tcPr>
          <w:p w14:paraId="0D868BD2" w14:textId="1D1C5030"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7DAEB4E0" w14:textId="77777777" w:rsidR="00025290" w:rsidRPr="00A369EF" w:rsidRDefault="00025290" w:rsidP="0005198A">
            <w:pPr>
              <w:suppressAutoHyphens w:val="0"/>
              <w:rPr>
                <w:sz w:val="22"/>
                <w:szCs w:val="22"/>
                <w:lang w:eastAsia="lt-LT"/>
              </w:rPr>
            </w:pPr>
            <w:r w:rsidRPr="00A369EF">
              <w:rPr>
                <w:sz w:val="22"/>
                <w:szCs w:val="22"/>
                <w:lang w:eastAsia="lt-LT"/>
              </w:rPr>
              <w:t xml:space="preserve">e-Programa. Būtinos apibendrintos statistinės ataskaitos.       </w:t>
            </w:r>
          </w:p>
        </w:tc>
      </w:tr>
      <w:tr w:rsidR="00025290" w:rsidRPr="00A369EF" w14:paraId="330A017B" w14:textId="77777777" w:rsidTr="00025290">
        <w:trPr>
          <w:trHeight w:val="885"/>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5B692C14"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2.13</w:t>
            </w:r>
          </w:p>
        </w:tc>
        <w:tc>
          <w:tcPr>
            <w:tcW w:w="3300" w:type="dxa"/>
            <w:gridSpan w:val="2"/>
            <w:tcBorders>
              <w:top w:val="nil"/>
              <w:left w:val="nil"/>
              <w:bottom w:val="single" w:sz="4" w:space="0" w:color="000000"/>
              <w:right w:val="single" w:sz="4" w:space="0" w:color="000000"/>
            </w:tcBorders>
            <w:shd w:val="clear" w:color="auto" w:fill="auto"/>
            <w:hideMark/>
          </w:tcPr>
          <w:p w14:paraId="6CCCDCAC"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Skreplių ląstelių (citologiniam) tyrimų programa</w:t>
            </w:r>
          </w:p>
        </w:tc>
        <w:tc>
          <w:tcPr>
            <w:tcW w:w="1568" w:type="dxa"/>
            <w:gridSpan w:val="2"/>
            <w:tcBorders>
              <w:top w:val="nil"/>
              <w:left w:val="nil"/>
              <w:bottom w:val="single" w:sz="4" w:space="0" w:color="000000"/>
              <w:right w:val="single" w:sz="4" w:space="0" w:color="000000"/>
            </w:tcBorders>
            <w:shd w:val="clear" w:color="auto" w:fill="auto"/>
            <w:hideMark/>
          </w:tcPr>
          <w:p w14:paraId="0A3A916C" w14:textId="5A32E828"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03E9951C" w14:textId="77777777" w:rsidR="00025290" w:rsidRPr="00A369EF" w:rsidRDefault="00025290" w:rsidP="0005198A">
            <w:pPr>
              <w:suppressAutoHyphens w:val="0"/>
              <w:rPr>
                <w:sz w:val="22"/>
                <w:szCs w:val="22"/>
                <w:lang w:eastAsia="lt-LT"/>
              </w:rPr>
            </w:pPr>
            <w:r w:rsidRPr="00A369EF">
              <w:rPr>
                <w:sz w:val="22"/>
                <w:szCs w:val="22"/>
                <w:lang w:eastAsia="lt-LT"/>
              </w:rPr>
              <w:t xml:space="preserve">e-Programa. Būtinos apibendrintos statistinės ataskaitos.       </w:t>
            </w:r>
          </w:p>
        </w:tc>
      </w:tr>
      <w:tr w:rsidR="00025290" w:rsidRPr="00A369EF" w14:paraId="21C9FC24" w14:textId="77777777" w:rsidTr="00025290">
        <w:trPr>
          <w:trHeight w:val="1290"/>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21E788E7"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2.14</w:t>
            </w:r>
          </w:p>
        </w:tc>
        <w:tc>
          <w:tcPr>
            <w:tcW w:w="3300" w:type="dxa"/>
            <w:gridSpan w:val="2"/>
            <w:tcBorders>
              <w:top w:val="nil"/>
              <w:left w:val="nil"/>
              <w:bottom w:val="single" w:sz="4" w:space="0" w:color="000000"/>
              <w:right w:val="single" w:sz="4" w:space="0" w:color="000000"/>
            </w:tcBorders>
            <w:shd w:val="clear" w:color="auto" w:fill="auto"/>
            <w:vAlign w:val="center"/>
            <w:hideMark/>
          </w:tcPr>
          <w:p w14:paraId="4A7BC8C1" w14:textId="77777777" w:rsidR="00025290" w:rsidRPr="00A369EF" w:rsidRDefault="00025290" w:rsidP="0005198A">
            <w:pPr>
              <w:suppressAutoHyphens w:val="0"/>
              <w:rPr>
                <w:b/>
                <w:bCs/>
                <w:sz w:val="22"/>
                <w:szCs w:val="22"/>
                <w:lang w:eastAsia="lt-LT"/>
              </w:rPr>
            </w:pPr>
            <w:r w:rsidRPr="00A369EF">
              <w:rPr>
                <w:b/>
                <w:bCs/>
                <w:sz w:val="22"/>
                <w:szCs w:val="22"/>
                <w:lang w:eastAsia="lt-LT"/>
              </w:rPr>
              <w:t>Leukocitų diferencinio skaičiavimo ir kraujo ląstelių morfologinio įvertinimo programa</w:t>
            </w:r>
          </w:p>
        </w:tc>
        <w:tc>
          <w:tcPr>
            <w:tcW w:w="1568" w:type="dxa"/>
            <w:gridSpan w:val="2"/>
            <w:tcBorders>
              <w:top w:val="nil"/>
              <w:left w:val="nil"/>
              <w:bottom w:val="single" w:sz="4" w:space="0" w:color="000000"/>
              <w:right w:val="single" w:sz="4" w:space="0" w:color="000000"/>
            </w:tcBorders>
            <w:shd w:val="clear" w:color="auto" w:fill="auto"/>
            <w:hideMark/>
          </w:tcPr>
          <w:p w14:paraId="09D16EDB" w14:textId="3FECC406"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429679C3" w14:textId="77777777" w:rsidR="00025290" w:rsidRPr="00A369EF" w:rsidRDefault="00025290" w:rsidP="0005198A">
            <w:pPr>
              <w:suppressAutoHyphens w:val="0"/>
              <w:rPr>
                <w:sz w:val="22"/>
                <w:szCs w:val="22"/>
                <w:lang w:eastAsia="lt-LT"/>
              </w:rPr>
            </w:pPr>
            <w:r w:rsidRPr="00A369EF">
              <w:rPr>
                <w:sz w:val="22"/>
                <w:szCs w:val="22"/>
                <w:lang w:eastAsia="lt-LT"/>
              </w:rPr>
              <w:t xml:space="preserve">e-Programa. Būtinos apibendrintos statistinės ataskaitos.       </w:t>
            </w:r>
          </w:p>
        </w:tc>
      </w:tr>
      <w:tr w:rsidR="00025290" w:rsidRPr="00A369EF" w14:paraId="5BC8997F" w14:textId="77777777" w:rsidTr="00025290">
        <w:trPr>
          <w:trHeight w:val="960"/>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5CDAC3CC"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2.15</w:t>
            </w:r>
          </w:p>
        </w:tc>
        <w:tc>
          <w:tcPr>
            <w:tcW w:w="3300" w:type="dxa"/>
            <w:gridSpan w:val="2"/>
            <w:tcBorders>
              <w:top w:val="nil"/>
              <w:left w:val="nil"/>
              <w:bottom w:val="single" w:sz="4" w:space="0" w:color="000000"/>
              <w:right w:val="single" w:sz="4" w:space="0" w:color="000000"/>
            </w:tcBorders>
            <w:shd w:val="clear" w:color="auto" w:fill="auto"/>
            <w:hideMark/>
          </w:tcPr>
          <w:p w14:paraId="4F965754"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Natriuretinio peptido (BNP) tyrimų programa</w:t>
            </w:r>
          </w:p>
        </w:tc>
        <w:tc>
          <w:tcPr>
            <w:tcW w:w="1568" w:type="dxa"/>
            <w:gridSpan w:val="2"/>
            <w:tcBorders>
              <w:top w:val="nil"/>
              <w:left w:val="nil"/>
              <w:bottom w:val="single" w:sz="4" w:space="0" w:color="000000"/>
              <w:right w:val="single" w:sz="4" w:space="0" w:color="000000"/>
            </w:tcBorders>
            <w:shd w:val="clear" w:color="auto" w:fill="auto"/>
            <w:hideMark/>
          </w:tcPr>
          <w:p w14:paraId="55A112C6" w14:textId="32F8378F"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1F5A06EE" w14:textId="77777777" w:rsidR="00025290" w:rsidRPr="00A369EF" w:rsidRDefault="00025290" w:rsidP="0005198A">
            <w:pPr>
              <w:suppressAutoHyphens w:val="0"/>
              <w:rPr>
                <w:sz w:val="22"/>
                <w:szCs w:val="22"/>
                <w:lang w:eastAsia="lt-LT"/>
              </w:rPr>
            </w:pPr>
            <w:r w:rsidRPr="00A369EF">
              <w:rPr>
                <w:sz w:val="22"/>
                <w:szCs w:val="22"/>
                <w:lang w:eastAsia="lt-LT"/>
              </w:rPr>
              <w:t xml:space="preserve">Žmogaus kraujo kokybės kontroliniai mėginiai            atriuretinio peptido BNP kokybės įvertinimui.  Būtinos apibendrintos statistinės ataskaitos.       </w:t>
            </w:r>
          </w:p>
        </w:tc>
      </w:tr>
      <w:tr w:rsidR="00025290" w:rsidRPr="00A369EF" w14:paraId="5A371042" w14:textId="77777777" w:rsidTr="00025290">
        <w:trPr>
          <w:trHeight w:val="885"/>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39B59074"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2.16</w:t>
            </w:r>
          </w:p>
        </w:tc>
        <w:tc>
          <w:tcPr>
            <w:tcW w:w="3300" w:type="dxa"/>
            <w:gridSpan w:val="2"/>
            <w:tcBorders>
              <w:top w:val="nil"/>
              <w:left w:val="nil"/>
              <w:bottom w:val="single" w:sz="4" w:space="0" w:color="000000"/>
              <w:right w:val="single" w:sz="4" w:space="0" w:color="000000"/>
            </w:tcBorders>
            <w:shd w:val="clear" w:color="auto" w:fill="auto"/>
            <w:hideMark/>
          </w:tcPr>
          <w:p w14:paraId="05737A86"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Mikobakterijų nustatymo tepinėlyje programa</w:t>
            </w:r>
          </w:p>
        </w:tc>
        <w:tc>
          <w:tcPr>
            <w:tcW w:w="1568" w:type="dxa"/>
            <w:gridSpan w:val="2"/>
            <w:tcBorders>
              <w:top w:val="nil"/>
              <w:left w:val="nil"/>
              <w:bottom w:val="single" w:sz="4" w:space="0" w:color="000000"/>
              <w:right w:val="single" w:sz="4" w:space="0" w:color="000000"/>
            </w:tcBorders>
            <w:shd w:val="clear" w:color="auto" w:fill="auto"/>
            <w:hideMark/>
          </w:tcPr>
          <w:p w14:paraId="3A302BFD" w14:textId="59FDA432"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6514636C" w14:textId="77777777" w:rsidR="00025290" w:rsidRPr="00A369EF" w:rsidRDefault="00025290" w:rsidP="0005198A">
            <w:pPr>
              <w:suppressAutoHyphens w:val="0"/>
              <w:rPr>
                <w:sz w:val="22"/>
                <w:szCs w:val="22"/>
                <w:lang w:eastAsia="lt-LT"/>
              </w:rPr>
            </w:pPr>
            <w:r w:rsidRPr="00A369EF">
              <w:rPr>
                <w:sz w:val="22"/>
                <w:szCs w:val="22"/>
                <w:lang w:eastAsia="lt-LT"/>
              </w:rPr>
              <w:t>Kontroliniai mėginiai Tuberkuliozės mikobakterijų  tyrimo</w:t>
            </w:r>
            <w:r w:rsidRPr="00A369EF">
              <w:rPr>
                <w:b/>
                <w:bCs/>
                <w:sz w:val="22"/>
                <w:szCs w:val="22"/>
                <w:lang w:eastAsia="lt-LT"/>
              </w:rPr>
              <w:t xml:space="preserve"> </w:t>
            </w:r>
            <w:r w:rsidRPr="00A369EF">
              <w:rPr>
                <w:sz w:val="22"/>
                <w:szCs w:val="22"/>
                <w:lang w:eastAsia="lt-LT"/>
              </w:rPr>
              <w:t xml:space="preserve">kokybės įvertinimui.  Būtinos apibendrintos statistinės ataskaitos.       </w:t>
            </w:r>
          </w:p>
        </w:tc>
      </w:tr>
      <w:tr w:rsidR="00025290" w:rsidRPr="00A369EF" w14:paraId="3C876E63" w14:textId="77777777" w:rsidTr="00025290">
        <w:trPr>
          <w:trHeight w:val="1230"/>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0D778EA5" w14:textId="77777777"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2.17</w:t>
            </w:r>
          </w:p>
        </w:tc>
        <w:tc>
          <w:tcPr>
            <w:tcW w:w="3300" w:type="dxa"/>
            <w:gridSpan w:val="2"/>
            <w:tcBorders>
              <w:top w:val="nil"/>
              <w:left w:val="nil"/>
              <w:bottom w:val="single" w:sz="4" w:space="0" w:color="000000"/>
              <w:right w:val="single" w:sz="4" w:space="0" w:color="000000"/>
            </w:tcBorders>
            <w:shd w:val="clear" w:color="auto" w:fill="auto"/>
            <w:hideMark/>
          </w:tcPr>
          <w:p w14:paraId="3EA7FB2D" w14:textId="77777777" w:rsidR="00025290" w:rsidRPr="00A369EF" w:rsidRDefault="00025290" w:rsidP="0005198A">
            <w:pPr>
              <w:suppressAutoHyphens w:val="0"/>
              <w:rPr>
                <w:b/>
                <w:bCs/>
                <w:color w:val="000000"/>
                <w:sz w:val="22"/>
                <w:szCs w:val="22"/>
                <w:lang w:eastAsia="lt-LT"/>
              </w:rPr>
            </w:pPr>
            <w:r w:rsidRPr="00A369EF">
              <w:rPr>
                <w:b/>
                <w:bCs/>
                <w:color w:val="000000"/>
                <w:sz w:val="22"/>
                <w:szCs w:val="22"/>
                <w:lang w:eastAsia="lt-LT"/>
              </w:rPr>
              <w:t xml:space="preserve"> ENG (eritrocitų nusėdimo greitis) nustatymo programa </w:t>
            </w:r>
          </w:p>
        </w:tc>
        <w:tc>
          <w:tcPr>
            <w:tcW w:w="1568" w:type="dxa"/>
            <w:gridSpan w:val="2"/>
            <w:tcBorders>
              <w:top w:val="nil"/>
              <w:left w:val="nil"/>
              <w:bottom w:val="single" w:sz="4" w:space="0" w:color="000000"/>
              <w:right w:val="single" w:sz="4" w:space="0" w:color="000000"/>
            </w:tcBorders>
            <w:shd w:val="clear" w:color="auto" w:fill="auto"/>
            <w:hideMark/>
          </w:tcPr>
          <w:p w14:paraId="4D5BBFC5" w14:textId="3C19BB47"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53D8BAE9" w14:textId="77777777" w:rsidR="00025290" w:rsidRPr="00A369EF" w:rsidRDefault="00025290" w:rsidP="0005198A">
            <w:pPr>
              <w:suppressAutoHyphens w:val="0"/>
              <w:rPr>
                <w:sz w:val="22"/>
                <w:szCs w:val="22"/>
                <w:lang w:eastAsia="lt-LT"/>
              </w:rPr>
            </w:pPr>
            <w:r w:rsidRPr="00A369EF">
              <w:rPr>
                <w:sz w:val="22"/>
                <w:szCs w:val="22"/>
                <w:lang w:eastAsia="lt-LT"/>
              </w:rPr>
              <w:t>Kontroliniai mėginiai pritaikyti ENG tyrimo</w:t>
            </w:r>
            <w:r w:rsidRPr="00A369EF">
              <w:rPr>
                <w:b/>
                <w:bCs/>
                <w:sz w:val="22"/>
                <w:szCs w:val="22"/>
                <w:lang w:eastAsia="lt-LT"/>
              </w:rPr>
              <w:t xml:space="preserve"> atliekamo Roller 20</w:t>
            </w:r>
            <w:r w:rsidRPr="00A369EF">
              <w:rPr>
                <w:sz w:val="22"/>
                <w:szCs w:val="22"/>
                <w:lang w:eastAsia="lt-LT"/>
              </w:rPr>
              <w:t xml:space="preserve"> matuokliu</w:t>
            </w:r>
            <w:r w:rsidRPr="00A369EF">
              <w:rPr>
                <w:b/>
                <w:bCs/>
                <w:sz w:val="22"/>
                <w:szCs w:val="22"/>
                <w:lang w:eastAsia="lt-LT"/>
              </w:rPr>
              <w:t xml:space="preserve"> </w:t>
            </w:r>
            <w:r w:rsidRPr="00A369EF">
              <w:rPr>
                <w:sz w:val="22"/>
                <w:szCs w:val="22"/>
                <w:lang w:eastAsia="lt-LT"/>
              </w:rPr>
              <w:t xml:space="preserve">kokybės įvertinimui.  Būtinos apibendrintos statistinės ataskaitos.       </w:t>
            </w:r>
          </w:p>
        </w:tc>
      </w:tr>
      <w:tr w:rsidR="00944B76" w:rsidRPr="00A369EF" w14:paraId="6607072E" w14:textId="77777777" w:rsidTr="00025290">
        <w:trPr>
          <w:trHeight w:val="945"/>
        </w:trPr>
        <w:tc>
          <w:tcPr>
            <w:tcW w:w="601" w:type="dxa"/>
            <w:gridSpan w:val="2"/>
            <w:tcBorders>
              <w:top w:val="nil"/>
              <w:left w:val="single" w:sz="4" w:space="0" w:color="000000"/>
              <w:bottom w:val="single" w:sz="4" w:space="0" w:color="000000"/>
              <w:right w:val="single" w:sz="4" w:space="0" w:color="000000"/>
            </w:tcBorders>
            <w:shd w:val="clear" w:color="auto" w:fill="auto"/>
            <w:vAlign w:val="center"/>
          </w:tcPr>
          <w:p w14:paraId="763E3B8A" w14:textId="08467B28" w:rsidR="00944B76" w:rsidRPr="00A369EF" w:rsidRDefault="00944B76" w:rsidP="00944B76">
            <w:pPr>
              <w:suppressAutoHyphens w:val="0"/>
              <w:jc w:val="center"/>
              <w:rPr>
                <w:color w:val="000000"/>
                <w:sz w:val="22"/>
                <w:szCs w:val="22"/>
                <w:lang w:eastAsia="lt-LT"/>
              </w:rPr>
            </w:pPr>
            <w:r>
              <w:rPr>
                <w:color w:val="000000"/>
                <w:sz w:val="22"/>
                <w:szCs w:val="22"/>
                <w:lang w:eastAsia="lt-LT"/>
              </w:rPr>
              <w:t>2.18</w:t>
            </w:r>
          </w:p>
        </w:tc>
        <w:tc>
          <w:tcPr>
            <w:tcW w:w="3300" w:type="dxa"/>
            <w:gridSpan w:val="2"/>
            <w:tcBorders>
              <w:top w:val="nil"/>
              <w:left w:val="nil"/>
              <w:bottom w:val="single" w:sz="4" w:space="0" w:color="000000"/>
              <w:right w:val="single" w:sz="4" w:space="0" w:color="000000"/>
            </w:tcBorders>
            <w:shd w:val="clear" w:color="auto" w:fill="auto"/>
          </w:tcPr>
          <w:p w14:paraId="4C7F1AB6" w14:textId="7130A999" w:rsidR="00944B76" w:rsidRPr="00A369EF" w:rsidRDefault="00944B76" w:rsidP="00944B76">
            <w:pPr>
              <w:suppressAutoHyphens w:val="0"/>
              <w:rPr>
                <w:b/>
                <w:bCs/>
                <w:sz w:val="22"/>
                <w:szCs w:val="22"/>
                <w:lang w:eastAsia="lt-LT"/>
              </w:rPr>
            </w:pPr>
            <w:r>
              <w:rPr>
                <w:b/>
                <w:bCs/>
                <w:sz w:val="22"/>
                <w:szCs w:val="22"/>
              </w:rPr>
              <w:t>Sifilio diagnostikos programa</w:t>
            </w:r>
          </w:p>
        </w:tc>
        <w:tc>
          <w:tcPr>
            <w:tcW w:w="1568" w:type="dxa"/>
            <w:gridSpan w:val="2"/>
            <w:tcBorders>
              <w:top w:val="nil"/>
              <w:left w:val="nil"/>
              <w:bottom w:val="single" w:sz="4" w:space="0" w:color="000000"/>
              <w:right w:val="single" w:sz="4" w:space="0" w:color="000000"/>
            </w:tcBorders>
            <w:shd w:val="clear" w:color="auto" w:fill="auto"/>
          </w:tcPr>
          <w:p w14:paraId="4330A271" w14:textId="72E74F2F" w:rsidR="00944B76" w:rsidRDefault="00944B76" w:rsidP="00944B76">
            <w:pPr>
              <w:suppressAutoHyphens w:val="0"/>
              <w:jc w:val="center"/>
              <w:rPr>
                <w:color w:val="000000"/>
                <w:sz w:val="22"/>
                <w:szCs w:val="22"/>
                <w:lang w:eastAsia="lt-LT"/>
              </w:rPr>
            </w:pPr>
            <w:r>
              <w:rPr>
                <w:color w:val="000000"/>
                <w:sz w:val="22"/>
                <w:szCs w:val="22"/>
              </w:rPr>
              <w:t>6</w:t>
            </w:r>
          </w:p>
        </w:tc>
        <w:tc>
          <w:tcPr>
            <w:tcW w:w="4449" w:type="dxa"/>
            <w:tcBorders>
              <w:top w:val="nil"/>
              <w:left w:val="nil"/>
              <w:bottom w:val="single" w:sz="4" w:space="0" w:color="000000"/>
              <w:right w:val="single" w:sz="4" w:space="0" w:color="000000"/>
            </w:tcBorders>
            <w:shd w:val="clear" w:color="auto" w:fill="auto"/>
          </w:tcPr>
          <w:p w14:paraId="3BD4993A" w14:textId="2ED5C0FA" w:rsidR="00944B76" w:rsidRPr="00A369EF" w:rsidRDefault="00944B76" w:rsidP="00944B76">
            <w:pPr>
              <w:suppressAutoHyphens w:val="0"/>
              <w:rPr>
                <w:sz w:val="22"/>
                <w:szCs w:val="22"/>
                <w:lang w:eastAsia="lt-LT"/>
              </w:rPr>
            </w:pPr>
            <w:r>
              <w:rPr>
                <w:sz w:val="22"/>
                <w:szCs w:val="22"/>
              </w:rPr>
              <w:t xml:space="preserve">Žmogaus kraujo kokybės kontroliniai mėginiai            serologinių sifilio tyrimų kokybės įvertinimui. Galimybė  rinktis metodą: RPR, TPHA. Būtinos apibendrintos suminės ciklo statistinės ataskaitos. </w:t>
            </w:r>
          </w:p>
        </w:tc>
      </w:tr>
      <w:tr w:rsidR="00025290" w:rsidRPr="00A369EF" w14:paraId="45DF751B" w14:textId="77777777" w:rsidTr="00025290">
        <w:trPr>
          <w:trHeight w:val="945"/>
        </w:trPr>
        <w:tc>
          <w:tcPr>
            <w:tcW w:w="601" w:type="dxa"/>
            <w:gridSpan w:val="2"/>
            <w:tcBorders>
              <w:top w:val="nil"/>
              <w:left w:val="single" w:sz="4" w:space="0" w:color="000000"/>
              <w:bottom w:val="single" w:sz="4" w:space="0" w:color="000000"/>
              <w:right w:val="single" w:sz="4" w:space="0" w:color="000000"/>
            </w:tcBorders>
            <w:shd w:val="clear" w:color="auto" w:fill="auto"/>
            <w:vAlign w:val="center"/>
            <w:hideMark/>
          </w:tcPr>
          <w:p w14:paraId="32A29B77" w14:textId="4504218E" w:rsidR="00025290" w:rsidRPr="00A369EF" w:rsidRDefault="00025290" w:rsidP="0005198A">
            <w:pPr>
              <w:suppressAutoHyphens w:val="0"/>
              <w:jc w:val="center"/>
              <w:rPr>
                <w:color w:val="000000"/>
                <w:sz w:val="22"/>
                <w:szCs w:val="22"/>
                <w:lang w:eastAsia="lt-LT"/>
              </w:rPr>
            </w:pPr>
            <w:r w:rsidRPr="00A369EF">
              <w:rPr>
                <w:color w:val="000000"/>
                <w:sz w:val="22"/>
                <w:szCs w:val="22"/>
                <w:lang w:eastAsia="lt-LT"/>
              </w:rPr>
              <w:t>2.1</w:t>
            </w:r>
            <w:r w:rsidR="00944B76">
              <w:rPr>
                <w:color w:val="000000"/>
                <w:sz w:val="22"/>
                <w:szCs w:val="22"/>
                <w:lang w:eastAsia="lt-LT"/>
              </w:rPr>
              <w:t>9</w:t>
            </w:r>
          </w:p>
        </w:tc>
        <w:tc>
          <w:tcPr>
            <w:tcW w:w="3300" w:type="dxa"/>
            <w:gridSpan w:val="2"/>
            <w:tcBorders>
              <w:top w:val="nil"/>
              <w:left w:val="nil"/>
              <w:bottom w:val="single" w:sz="4" w:space="0" w:color="000000"/>
              <w:right w:val="single" w:sz="4" w:space="0" w:color="000000"/>
            </w:tcBorders>
            <w:shd w:val="clear" w:color="auto" w:fill="auto"/>
            <w:hideMark/>
          </w:tcPr>
          <w:p w14:paraId="2332F35B" w14:textId="77777777" w:rsidR="00025290" w:rsidRPr="00A369EF" w:rsidRDefault="00025290" w:rsidP="0005198A">
            <w:pPr>
              <w:suppressAutoHyphens w:val="0"/>
              <w:rPr>
                <w:b/>
                <w:bCs/>
                <w:sz w:val="22"/>
                <w:szCs w:val="22"/>
                <w:lang w:eastAsia="lt-LT"/>
              </w:rPr>
            </w:pPr>
            <w:r w:rsidRPr="00A369EF">
              <w:rPr>
                <w:b/>
                <w:bCs/>
                <w:sz w:val="22"/>
                <w:szCs w:val="22"/>
                <w:lang w:eastAsia="lt-LT"/>
              </w:rPr>
              <w:t>EBV mononukleozės, heterofilinių antikūnių nustatymo programa</w:t>
            </w:r>
          </w:p>
        </w:tc>
        <w:tc>
          <w:tcPr>
            <w:tcW w:w="1568" w:type="dxa"/>
            <w:gridSpan w:val="2"/>
            <w:tcBorders>
              <w:top w:val="nil"/>
              <w:left w:val="nil"/>
              <w:bottom w:val="single" w:sz="4" w:space="0" w:color="000000"/>
              <w:right w:val="single" w:sz="4" w:space="0" w:color="000000"/>
            </w:tcBorders>
            <w:shd w:val="clear" w:color="auto" w:fill="auto"/>
            <w:hideMark/>
          </w:tcPr>
          <w:p w14:paraId="74AEBCB4" w14:textId="2389D402" w:rsidR="00025290" w:rsidRPr="00A369EF" w:rsidRDefault="002648CE" w:rsidP="0005198A">
            <w:pPr>
              <w:suppressAutoHyphens w:val="0"/>
              <w:jc w:val="center"/>
              <w:rPr>
                <w:color w:val="000000"/>
                <w:sz w:val="22"/>
                <w:szCs w:val="22"/>
                <w:lang w:eastAsia="lt-LT"/>
              </w:rPr>
            </w:pPr>
            <w:r>
              <w:rPr>
                <w:color w:val="000000"/>
                <w:sz w:val="22"/>
                <w:szCs w:val="22"/>
                <w:lang w:eastAsia="lt-LT"/>
              </w:rPr>
              <w:t>6</w:t>
            </w:r>
          </w:p>
        </w:tc>
        <w:tc>
          <w:tcPr>
            <w:tcW w:w="4449" w:type="dxa"/>
            <w:tcBorders>
              <w:top w:val="nil"/>
              <w:left w:val="nil"/>
              <w:bottom w:val="single" w:sz="4" w:space="0" w:color="000000"/>
              <w:right w:val="single" w:sz="4" w:space="0" w:color="000000"/>
            </w:tcBorders>
            <w:shd w:val="clear" w:color="auto" w:fill="auto"/>
            <w:hideMark/>
          </w:tcPr>
          <w:p w14:paraId="6E8A2CA4" w14:textId="77777777" w:rsidR="00025290" w:rsidRPr="00A369EF" w:rsidRDefault="00025290" w:rsidP="0005198A">
            <w:pPr>
              <w:suppressAutoHyphens w:val="0"/>
              <w:rPr>
                <w:sz w:val="22"/>
                <w:szCs w:val="22"/>
                <w:lang w:eastAsia="lt-LT"/>
              </w:rPr>
            </w:pPr>
            <w:r w:rsidRPr="00A369EF">
              <w:rPr>
                <w:sz w:val="22"/>
                <w:szCs w:val="22"/>
                <w:lang w:eastAsia="lt-LT"/>
              </w:rPr>
              <w:t xml:space="preserve">Žmogaus kraujo kokybės kontroliniai mėginiai            EBV mononukleozės tyrimo kokybės įvertinimui.  Būtinos apibendrintos statistinės ataskaitos.       </w:t>
            </w:r>
          </w:p>
        </w:tc>
      </w:tr>
    </w:tbl>
    <w:p w14:paraId="289C6B72" w14:textId="26DAFE9D" w:rsidR="00025290" w:rsidRDefault="0042166A" w:rsidP="0042166A">
      <w:pPr>
        <w:jc w:val="both"/>
        <w:rPr>
          <w:b/>
          <w:szCs w:val="24"/>
        </w:rPr>
      </w:pPr>
      <w:r>
        <w:rPr>
          <w:b/>
          <w:color w:val="000000"/>
          <w:szCs w:val="24"/>
        </w:rPr>
        <w:t>Pastaba.</w:t>
      </w:r>
      <w:r w:rsidRPr="007D42EF">
        <w:t xml:space="preserve"> </w:t>
      </w:r>
      <w:r w:rsidRPr="007D42EF">
        <w:rPr>
          <w:szCs w:val="24"/>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5A05C6">
        <w:t>.</w:t>
      </w:r>
    </w:p>
    <w:p w14:paraId="557471A0" w14:textId="77777777" w:rsidR="00556620" w:rsidRDefault="00556620"/>
    <w:sectPr w:rsidR="005566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290"/>
    <w:rsid w:val="00025290"/>
    <w:rsid w:val="00194067"/>
    <w:rsid w:val="002648CE"/>
    <w:rsid w:val="003C6B1A"/>
    <w:rsid w:val="003F239B"/>
    <w:rsid w:val="0042166A"/>
    <w:rsid w:val="00432D81"/>
    <w:rsid w:val="00440DEA"/>
    <w:rsid w:val="004D66F2"/>
    <w:rsid w:val="00556620"/>
    <w:rsid w:val="005F407A"/>
    <w:rsid w:val="007154FD"/>
    <w:rsid w:val="00944B76"/>
    <w:rsid w:val="00C80CF6"/>
    <w:rsid w:val="00CC5458"/>
    <w:rsid w:val="00E07ED6"/>
    <w:rsid w:val="00EC5C0C"/>
    <w:rsid w:val="00EE4B6B"/>
    <w:rsid w:val="00FC5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290"/>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Heading1">
    <w:name w:val="heading 1"/>
    <w:basedOn w:val="Normal"/>
    <w:next w:val="Normal"/>
    <w:link w:val="Heading1Char"/>
    <w:uiPriority w:val="9"/>
    <w:qFormat/>
    <w:rsid w:val="00025290"/>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25290"/>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25290"/>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25290"/>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25290"/>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25290"/>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25290"/>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25290"/>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25290"/>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2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2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2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2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2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290"/>
    <w:rPr>
      <w:rFonts w:eastAsiaTheme="majorEastAsia" w:cstheme="majorBidi"/>
      <w:color w:val="272727" w:themeColor="text1" w:themeTint="D8"/>
    </w:rPr>
  </w:style>
  <w:style w:type="paragraph" w:styleId="Title">
    <w:name w:val="Title"/>
    <w:basedOn w:val="Normal"/>
    <w:next w:val="Normal"/>
    <w:link w:val="TitleChar"/>
    <w:uiPriority w:val="10"/>
    <w:qFormat/>
    <w:rsid w:val="00025290"/>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25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290"/>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25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290"/>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25290"/>
    <w:rPr>
      <w:i/>
      <w:iCs/>
      <w:color w:val="404040" w:themeColor="text1" w:themeTint="BF"/>
    </w:rPr>
  </w:style>
  <w:style w:type="paragraph" w:styleId="ListParagraph">
    <w:name w:val="List Paragraph"/>
    <w:basedOn w:val="Normal"/>
    <w:uiPriority w:val="34"/>
    <w:qFormat/>
    <w:rsid w:val="00025290"/>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25290"/>
    <w:rPr>
      <w:i/>
      <w:iCs/>
      <w:color w:val="2F5496" w:themeColor="accent1" w:themeShade="BF"/>
    </w:rPr>
  </w:style>
  <w:style w:type="paragraph" w:styleId="IntenseQuote">
    <w:name w:val="Intense Quote"/>
    <w:basedOn w:val="Normal"/>
    <w:next w:val="Normal"/>
    <w:link w:val="IntenseQuoteChar"/>
    <w:uiPriority w:val="30"/>
    <w:qFormat/>
    <w:rsid w:val="00025290"/>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25290"/>
    <w:rPr>
      <w:i/>
      <w:iCs/>
      <w:color w:val="2F5496" w:themeColor="accent1" w:themeShade="BF"/>
    </w:rPr>
  </w:style>
  <w:style w:type="character" w:styleId="IntenseReference">
    <w:name w:val="Intense Reference"/>
    <w:basedOn w:val="DefaultParagraphFont"/>
    <w:uiPriority w:val="32"/>
    <w:qFormat/>
    <w:rsid w:val="00025290"/>
    <w:rPr>
      <w:b/>
      <w:bCs/>
      <w:smallCaps/>
      <w:color w:val="2F5496" w:themeColor="accent1" w:themeShade="BF"/>
      <w:spacing w:val="5"/>
    </w:rPr>
  </w:style>
  <w:style w:type="paragraph" w:styleId="BodyText">
    <w:name w:val="Body Text"/>
    <w:basedOn w:val="Normal"/>
    <w:link w:val="BodyTextChar"/>
    <w:uiPriority w:val="1"/>
    <w:qFormat/>
    <w:rsid w:val="00025290"/>
    <w:pPr>
      <w:spacing w:after="120"/>
    </w:pPr>
  </w:style>
  <w:style w:type="character" w:customStyle="1" w:styleId="PagrindinistekstasDiagrama">
    <w:name w:val="Pagrindinis tekstas Diagrama"/>
    <w:basedOn w:val="DefaultParagraphFont"/>
    <w:uiPriority w:val="99"/>
    <w:semiHidden/>
    <w:rsid w:val="00025290"/>
    <w:rPr>
      <w:rFonts w:ascii="Times New Roman" w:eastAsia="Times New Roman" w:hAnsi="Times New Roman" w:cs="Times New Roman"/>
      <w:kern w:val="0"/>
      <w:sz w:val="24"/>
      <w:szCs w:val="20"/>
      <w:lang w:eastAsia="ar-SA"/>
      <w14:ligatures w14:val="none"/>
    </w:rPr>
  </w:style>
  <w:style w:type="paragraph" w:customStyle="1" w:styleId="Patvirtinta">
    <w:name w:val="Patvirtinta"/>
    <w:rsid w:val="00025290"/>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kern w:val="0"/>
      <w:sz w:val="20"/>
      <w:szCs w:val="20"/>
      <w:lang w:val="en-US" w:eastAsia="ar-SA"/>
      <w14:ligatures w14:val="none"/>
    </w:rPr>
  </w:style>
  <w:style w:type="character" w:customStyle="1" w:styleId="BodyTextChar">
    <w:name w:val="Body Text Char"/>
    <w:link w:val="BodyText"/>
    <w:uiPriority w:val="1"/>
    <w:qFormat/>
    <w:rsid w:val="00025290"/>
    <w:rPr>
      <w:rFonts w:ascii="Times New Roman" w:eastAsia="Times New Roman" w:hAnsi="Times New Roman" w:cs="Times New Roman"/>
      <w:kern w:val="0"/>
      <w:sz w:val="24"/>
      <w:szCs w:val="20"/>
      <w:lang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290"/>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Heading1">
    <w:name w:val="heading 1"/>
    <w:basedOn w:val="Normal"/>
    <w:next w:val="Normal"/>
    <w:link w:val="Heading1Char"/>
    <w:uiPriority w:val="9"/>
    <w:qFormat/>
    <w:rsid w:val="00025290"/>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25290"/>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25290"/>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25290"/>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025290"/>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025290"/>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025290"/>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025290"/>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025290"/>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2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2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2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2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2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290"/>
    <w:rPr>
      <w:rFonts w:eastAsiaTheme="majorEastAsia" w:cstheme="majorBidi"/>
      <w:color w:val="272727" w:themeColor="text1" w:themeTint="D8"/>
    </w:rPr>
  </w:style>
  <w:style w:type="paragraph" w:styleId="Title">
    <w:name w:val="Title"/>
    <w:basedOn w:val="Normal"/>
    <w:next w:val="Normal"/>
    <w:link w:val="TitleChar"/>
    <w:uiPriority w:val="10"/>
    <w:qFormat/>
    <w:rsid w:val="00025290"/>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25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290"/>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25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290"/>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025290"/>
    <w:rPr>
      <w:i/>
      <w:iCs/>
      <w:color w:val="404040" w:themeColor="text1" w:themeTint="BF"/>
    </w:rPr>
  </w:style>
  <w:style w:type="paragraph" w:styleId="ListParagraph">
    <w:name w:val="List Paragraph"/>
    <w:basedOn w:val="Normal"/>
    <w:uiPriority w:val="34"/>
    <w:qFormat/>
    <w:rsid w:val="00025290"/>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025290"/>
    <w:rPr>
      <w:i/>
      <w:iCs/>
      <w:color w:val="2F5496" w:themeColor="accent1" w:themeShade="BF"/>
    </w:rPr>
  </w:style>
  <w:style w:type="paragraph" w:styleId="IntenseQuote">
    <w:name w:val="Intense Quote"/>
    <w:basedOn w:val="Normal"/>
    <w:next w:val="Normal"/>
    <w:link w:val="IntenseQuoteChar"/>
    <w:uiPriority w:val="30"/>
    <w:qFormat/>
    <w:rsid w:val="00025290"/>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025290"/>
    <w:rPr>
      <w:i/>
      <w:iCs/>
      <w:color w:val="2F5496" w:themeColor="accent1" w:themeShade="BF"/>
    </w:rPr>
  </w:style>
  <w:style w:type="character" w:styleId="IntenseReference">
    <w:name w:val="Intense Reference"/>
    <w:basedOn w:val="DefaultParagraphFont"/>
    <w:uiPriority w:val="32"/>
    <w:qFormat/>
    <w:rsid w:val="00025290"/>
    <w:rPr>
      <w:b/>
      <w:bCs/>
      <w:smallCaps/>
      <w:color w:val="2F5496" w:themeColor="accent1" w:themeShade="BF"/>
      <w:spacing w:val="5"/>
    </w:rPr>
  </w:style>
  <w:style w:type="paragraph" w:styleId="BodyText">
    <w:name w:val="Body Text"/>
    <w:basedOn w:val="Normal"/>
    <w:link w:val="BodyTextChar"/>
    <w:uiPriority w:val="1"/>
    <w:qFormat/>
    <w:rsid w:val="00025290"/>
    <w:pPr>
      <w:spacing w:after="120"/>
    </w:pPr>
  </w:style>
  <w:style w:type="character" w:customStyle="1" w:styleId="PagrindinistekstasDiagrama">
    <w:name w:val="Pagrindinis tekstas Diagrama"/>
    <w:basedOn w:val="DefaultParagraphFont"/>
    <w:uiPriority w:val="99"/>
    <w:semiHidden/>
    <w:rsid w:val="00025290"/>
    <w:rPr>
      <w:rFonts w:ascii="Times New Roman" w:eastAsia="Times New Roman" w:hAnsi="Times New Roman" w:cs="Times New Roman"/>
      <w:kern w:val="0"/>
      <w:sz w:val="24"/>
      <w:szCs w:val="20"/>
      <w:lang w:eastAsia="ar-SA"/>
      <w14:ligatures w14:val="none"/>
    </w:rPr>
  </w:style>
  <w:style w:type="paragraph" w:customStyle="1" w:styleId="Patvirtinta">
    <w:name w:val="Patvirtinta"/>
    <w:rsid w:val="00025290"/>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kern w:val="0"/>
      <w:sz w:val="20"/>
      <w:szCs w:val="20"/>
      <w:lang w:val="en-US" w:eastAsia="ar-SA"/>
      <w14:ligatures w14:val="none"/>
    </w:rPr>
  </w:style>
  <w:style w:type="character" w:customStyle="1" w:styleId="BodyTextChar">
    <w:name w:val="Body Text Char"/>
    <w:link w:val="BodyText"/>
    <w:uiPriority w:val="1"/>
    <w:qFormat/>
    <w:rsid w:val="00025290"/>
    <w:rPr>
      <w:rFonts w:ascii="Times New Roman" w:eastAsia="Times New Roman"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Mindaudas Samusis</dc:creator>
  <cp:keywords/>
  <dc:description/>
  <cp:lastModifiedBy>Mindaugas</cp:lastModifiedBy>
  <cp:revision>17</cp:revision>
  <dcterms:created xsi:type="dcterms:W3CDTF">2025-02-10T12:23:00Z</dcterms:created>
  <dcterms:modified xsi:type="dcterms:W3CDTF">2025-02-14T18:57:00Z</dcterms:modified>
</cp:coreProperties>
</file>