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727C52A1"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Pirkimo sąlygų 9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įgalioto</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asmens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pareigos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bookmarkStart w:id="3" w:name="_Hlk62215769"/>
      <w:proofErr w:type="spellEnd"/>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lastRenderedPageBreak/>
        <w:t>Kultūros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infrastruktūros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centrui</w:t>
      </w:r>
      <w:proofErr w:type="spellEnd"/>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proofErr w:type="spellStart"/>
      <w:r w:rsidRPr="008551EC">
        <w:rPr>
          <w:rFonts w:asciiTheme="majorBidi" w:eastAsia="Times New Roman" w:hAnsiTheme="majorBidi" w:cstheme="majorBidi"/>
          <w:color w:val="000000" w:themeColor="text1"/>
          <w:sz w:val="24"/>
          <w:szCs w:val="24"/>
          <w:lang w:val="fr-FR"/>
        </w:rPr>
        <w:t>Šnipiškių</w:t>
      </w:r>
      <w:proofErr w:type="spellEnd"/>
      <w:r w:rsidRPr="008551EC">
        <w:rPr>
          <w:rFonts w:asciiTheme="majorBidi" w:eastAsia="Times New Roman" w:hAnsiTheme="majorBidi" w:cstheme="majorBidi"/>
          <w:color w:val="000000" w:themeColor="text1"/>
          <w:sz w:val="24"/>
          <w:szCs w:val="24"/>
          <w:lang w:val="fr-FR"/>
        </w:rPr>
        <w:t xml:space="preserve">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t>Įgaliotas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proofErr w:type="gramStart"/>
      <w:r w:rsidRPr="008551EC">
        <w:rPr>
          <w:rFonts w:asciiTheme="majorBidi" w:eastAsia="Times New Roman" w:hAnsiTheme="majorBidi" w:cstheme="majorBidi"/>
          <w:color w:val="000000" w:themeColor="text1"/>
          <w:sz w:val="24"/>
          <w:szCs w:val="24"/>
          <w:lang w:val="fr-FR"/>
        </w:rPr>
        <w:t>asmuo</w:t>
      </w:r>
      <w:proofErr w:type="spellEnd"/>
      <w:r w:rsidRPr="008551EC">
        <w:rPr>
          <w:rFonts w:asciiTheme="majorBidi" w:eastAsia="Times New Roman" w:hAnsiTheme="majorBidi" w:cstheme="majorBidi"/>
          <w:color w:val="000000" w:themeColor="text1"/>
          <w:sz w:val="24"/>
          <w:szCs w:val="24"/>
          <w:lang w:val="fr-FR"/>
        </w:rPr>
        <w:t>:</w:t>
      </w:r>
      <w:proofErr w:type="gramEnd"/>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proofErr w:type="spellEnd"/>
      <w:r w:rsidRPr="008551EC">
        <w:rPr>
          <w:rFonts w:asciiTheme="majorBidi" w:eastAsia="Times New Roman" w:hAnsiTheme="majorBidi" w:cstheme="majorBidi"/>
          <w:color w:val="000000" w:themeColor="text1"/>
          <w:sz w:val="24"/>
          <w:szCs w:val="24"/>
          <w:shd w:val="clear" w:color="auto" w:fill="D9D9D9"/>
          <w:lang w:val="fr-FR"/>
        </w:rPr>
        <w:t>/</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Heading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024AEA"/>
    <w:rsid w:val="000C3BA8"/>
    <w:rsid w:val="00147B1C"/>
    <w:rsid w:val="001E004B"/>
    <w:rsid w:val="00281915"/>
    <w:rsid w:val="00363B37"/>
    <w:rsid w:val="003A2955"/>
    <w:rsid w:val="003A5251"/>
    <w:rsid w:val="003D1890"/>
    <w:rsid w:val="00473B7C"/>
    <w:rsid w:val="004E6D0C"/>
    <w:rsid w:val="005714E4"/>
    <w:rsid w:val="006F6D89"/>
    <w:rsid w:val="00783AF9"/>
    <w:rsid w:val="00792675"/>
    <w:rsid w:val="007F216E"/>
    <w:rsid w:val="008177BC"/>
    <w:rsid w:val="008221CC"/>
    <w:rsid w:val="008551EC"/>
    <w:rsid w:val="00885C92"/>
    <w:rsid w:val="008C792D"/>
    <w:rsid w:val="00904E05"/>
    <w:rsid w:val="00910414"/>
    <w:rsid w:val="00917BC4"/>
    <w:rsid w:val="00943C33"/>
    <w:rsid w:val="009B262C"/>
    <w:rsid w:val="00A234C4"/>
    <w:rsid w:val="00A61535"/>
    <w:rsid w:val="00A72635"/>
    <w:rsid w:val="00AB129D"/>
    <w:rsid w:val="00AC0D62"/>
    <w:rsid w:val="00B5181B"/>
    <w:rsid w:val="00B54D2B"/>
    <w:rsid w:val="00C14E08"/>
    <w:rsid w:val="00CB0B5B"/>
    <w:rsid w:val="00CD77AE"/>
    <w:rsid w:val="00CE0BD4"/>
    <w:rsid w:val="00CF1242"/>
    <w:rsid w:val="00D13EE7"/>
    <w:rsid w:val="00D52794"/>
    <w:rsid w:val="00ED52E0"/>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E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2025-02-16T14:05:00Z</dcterms:created>
  <dcterms:modified xsi:type="dcterms:W3CDTF">2025-02-16T14:05:00Z</dcterms:modified>
</cp:coreProperties>
</file>