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3402274C"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BC2876" w:rsidRPr="00BC2876">
            <w:rPr>
              <w:rFonts w:ascii="Times New Roman" w:hAnsi="Times New Roman" w:cs="Times New Roman"/>
              <w:b/>
              <w:bCs/>
              <w:caps/>
              <w:sz w:val="24"/>
              <w:szCs w:val="24"/>
            </w:rPr>
            <w:t>Girkalnio sen. Ž</w:t>
          </w:r>
          <w:r w:rsidR="006C5D3A">
            <w:rPr>
              <w:rFonts w:ascii="Times New Roman" w:hAnsi="Times New Roman" w:cs="Times New Roman"/>
              <w:b/>
              <w:bCs/>
              <w:caps/>
              <w:sz w:val="24"/>
              <w:szCs w:val="24"/>
            </w:rPr>
            <w:t>virgždžių k. Kalno g. (kelias 3</w:t>
          </w:r>
          <w:r w:rsidR="006C5D3A">
            <w:rPr>
              <w:rFonts w:ascii="Times New Roman" w:hAnsi="Times New Roman" w:cs="Times New Roman"/>
              <w:b/>
              <w:bCs/>
              <w:sz w:val="24"/>
              <w:szCs w:val="24"/>
            </w:rPr>
            <w:t>v</w:t>
          </w:r>
          <w:r w:rsidR="00BC2876" w:rsidRPr="00BC2876">
            <w:rPr>
              <w:rFonts w:ascii="Times New Roman" w:hAnsi="Times New Roman" w:cs="Times New Roman"/>
              <w:b/>
              <w:bCs/>
              <w:caps/>
              <w:sz w:val="24"/>
              <w:szCs w:val="24"/>
            </w:rPr>
            <w:t xml:space="preserve">116) </w:t>
          </w:r>
          <w:r w:rsidR="00B25920" w:rsidRPr="00B25920">
            <w:rPr>
              <w:rFonts w:ascii="Times New Roman" w:hAnsi="Times New Roman" w:cs="Times New Roman"/>
              <w:b/>
              <w:bCs/>
              <w:caps/>
              <w:sz w:val="24"/>
              <w:szCs w:val="24"/>
            </w:rPr>
            <w:t xml:space="preserve">dalies kapitalinio remonto techninio darbo </w:t>
          </w:r>
          <w:r w:rsidRPr="000F557C">
            <w:rPr>
              <w:rFonts w:ascii="Times New Roman" w:hAnsi="Times New Roman" w:cs="Times New Roman"/>
              <w:b/>
              <w:bCs/>
              <w:caps/>
              <w:sz w:val="24"/>
              <w:szCs w:val="24"/>
            </w:rPr>
            <w:t>projekto ekspertizės paslauga“</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bookmarkStart w:id="0" w:name="_GoBack"/>
          <w:bookmarkEnd w:id="0"/>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B25920" w:rsidRDefault="007D4954" w:rsidP="007D4954">
              <w:pPr>
                <w:keepNext/>
                <w:keepLines/>
                <w:pBdr>
                  <w:bottom w:val="single" w:sz="4" w:space="2" w:color="ED7D31" w:themeColor="accent2"/>
                </w:pBdr>
                <w:spacing w:after="120" w:line="360" w:lineRule="auto"/>
                <w:ind w:left="432" w:hanging="432"/>
                <w:contextualSpacing/>
                <w:jc w:val="left"/>
                <w:rPr>
                  <w:rFonts w:ascii="Times New Roman" w:eastAsiaTheme="majorEastAsia" w:hAnsi="Times New Roman" w:cs="Times New Roman"/>
                  <w:color w:val="262626" w:themeColor="text1" w:themeTint="D9"/>
                  <w:sz w:val="40"/>
                  <w:szCs w:val="40"/>
                  <w:lang w:val="en-US"/>
                </w:rPr>
              </w:pPr>
              <w:r w:rsidRPr="00B25920">
                <w:rPr>
                  <w:rFonts w:ascii="Times New Roman" w:eastAsiaTheme="majorEastAsia" w:hAnsi="Times New Roman" w:cs="Times New Roman"/>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007D4954" w:rsidRPr="007D4954">
                  <w:rPr>
                    <w:rFonts w:ascii="Times New Roman" w:hAnsi="Times New Roman" w:cs="Times New Roman"/>
                    <w:noProof/>
                    <w:sz w:val="24"/>
                    <w:szCs w:val="24"/>
                  </w:rPr>
                  <w:t>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Bendrosios nuostatos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007D4954" w:rsidRPr="007D4954">
                  <w:rPr>
                    <w:rFonts w:ascii="Times New Roman" w:hAnsi="Times New Roman" w:cs="Times New Roman"/>
                    <w:noProof/>
                    <w:webHidden/>
                    <w:sz w:val="24"/>
                    <w:szCs w:val="24"/>
                  </w:rPr>
                  <w:fldChar w:fldCharType="end"/>
                </w:r>
              </w:hyperlink>
            </w:p>
            <w:p w14:paraId="75A057B0"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007D4954" w:rsidRPr="007D4954">
                  <w:rPr>
                    <w:rFonts w:ascii="Times New Roman" w:hAnsi="Times New Roman" w:cs="Times New Roman"/>
                    <w:noProof/>
                    <w:sz w:val="24"/>
                    <w:szCs w:val="24"/>
                  </w:rPr>
                  <w:t>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objektas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2350E1AB"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007D4954" w:rsidRPr="007D4954">
                  <w:rPr>
                    <w:rFonts w:ascii="Times New Roman" w:hAnsi="Times New Roman" w:cs="Times New Roman"/>
                    <w:noProof/>
                    <w:sz w:val="24"/>
                    <w:szCs w:val="24"/>
                  </w:rPr>
                  <w:t>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Perkančiosios organizacijos ir tiekėjų bendravimo ir keitimosi informacija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70EE11CB"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007D4954" w:rsidRPr="007D4954">
                  <w:rPr>
                    <w:rFonts w:ascii="Times New Roman" w:hAnsi="Times New Roman" w:cs="Times New Roman"/>
                    <w:noProof/>
                    <w:sz w:val="24"/>
                    <w:szCs w:val="24"/>
                  </w:rPr>
                  <w:t>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dokumentų paaiškinimai ir patikslinimai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007D4954" w:rsidRPr="007D4954">
                  <w:rPr>
                    <w:rFonts w:ascii="Times New Roman" w:hAnsi="Times New Roman" w:cs="Times New Roman"/>
                    <w:noProof/>
                    <w:webHidden/>
                    <w:sz w:val="24"/>
                    <w:szCs w:val="24"/>
                  </w:rPr>
                  <w:fldChar w:fldCharType="end"/>
                </w:r>
              </w:hyperlink>
            </w:p>
            <w:p w14:paraId="782D8D2E"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007D4954" w:rsidRPr="007D4954">
                  <w:rPr>
                    <w:rFonts w:ascii="Times New Roman" w:hAnsi="Times New Roman" w:cs="Times New Roman"/>
                    <w:noProof/>
                    <w:sz w:val="24"/>
                    <w:szCs w:val="24"/>
                  </w:rPr>
                  <w:t>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068E2868"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007D4954" w:rsidRPr="007D4954">
                  <w:rPr>
                    <w:rFonts w:ascii="Times New Roman" w:hAnsi="Times New Roman" w:cs="Times New Roman"/>
                    <w:noProof/>
                    <w:sz w:val="24"/>
                    <w:szCs w:val="24"/>
                  </w:rPr>
                  <w:t>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EBVPD arba laisvos formos deklaracijos pateikimo tvarka ir pateikiamos informacijos patvirtinimo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16B0D9A7"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007D4954" w:rsidRPr="007D4954">
                  <w:rPr>
                    <w:rFonts w:ascii="Times New Roman" w:hAnsi="Times New Roman" w:cs="Times New Roman"/>
                    <w:noProof/>
                    <w:sz w:val="24"/>
                    <w:szCs w:val="24"/>
                  </w:rPr>
                  <w:t>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Rėmimasis ūkio subjektų pajėgumais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007D4954" w:rsidRPr="007D4954">
                  <w:rPr>
                    <w:rFonts w:ascii="Times New Roman" w:hAnsi="Times New Roman" w:cs="Times New Roman"/>
                    <w:noProof/>
                    <w:webHidden/>
                    <w:sz w:val="24"/>
                    <w:szCs w:val="24"/>
                  </w:rPr>
                  <w:fldChar w:fldCharType="end"/>
                </w:r>
              </w:hyperlink>
            </w:p>
            <w:p w14:paraId="199A942B"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007D4954" w:rsidRPr="007D4954">
                  <w:rPr>
                    <w:rFonts w:ascii="Times New Roman" w:hAnsi="Times New Roman" w:cs="Times New Roman"/>
                    <w:noProof/>
                    <w:sz w:val="24"/>
                    <w:szCs w:val="24"/>
                  </w:rPr>
                  <w:t>9.</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Subtiekėjų pasitelkimas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_Toc134703657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5A32E772"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007D4954" w:rsidRPr="007D4954">
                  <w:rPr>
                    <w:rFonts w:ascii="Times New Roman" w:hAnsi="Times New Roman" w:cs="Times New Roman"/>
                    <w:noProof/>
                    <w:sz w:val="24"/>
                    <w:szCs w:val="24"/>
                  </w:rPr>
                  <w:t>10.</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grupės dalyvavimas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_Toc134703658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6DE5F899"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007D4954" w:rsidRPr="007D4954">
                  <w:rPr>
                    <w:rFonts w:ascii="Times New Roman" w:hAnsi="Times New Roman" w:cs="Times New Roman"/>
                    <w:noProof/>
                    <w:sz w:val="24"/>
                    <w:szCs w:val="24"/>
                  </w:rPr>
                  <w:t>11.</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Reikalavimai pasiūlymų rengimui ir pateikimui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_Toc134703659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2A7EECE9"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007D4954" w:rsidRPr="007D4954">
                  <w:rPr>
                    <w:rFonts w:ascii="Times New Roman" w:hAnsi="Times New Roman" w:cs="Times New Roman"/>
                    <w:noProof/>
                    <w:sz w:val="24"/>
                    <w:szCs w:val="24"/>
                  </w:rPr>
                  <w:t>12.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Susipažinimas su pasiūlymais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007D4954" w:rsidRPr="007D4954">
                  <w:rPr>
                    <w:rFonts w:ascii="Times New Roman" w:hAnsi="Times New Roman" w:cs="Times New Roman"/>
                    <w:noProof/>
                    <w:webHidden/>
                    <w:sz w:val="24"/>
                    <w:szCs w:val="24"/>
                  </w:rPr>
                  <w:fldChar w:fldCharType="end"/>
                </w:r>
              </w:hyperlink>
            </w:p>
            <w:p w14:paraId="62536CB3"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007D4954" w:rsidRPr="007D4954">
                  <w:rPr>
                    <w:rFonts w:ascii="Times New Roman" w:hAnsi="Times New Roman" w:cs="Times New Roman"/>
                    <w:noProof/>
                    <w:sz w:val="24"/>
                    <w:szCs w:val="24"/>
                  </w:rPr>
                  <w:t>13.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vertinimas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007D4954" w:rsidRPr="007D4954">
                  <w:rPr>
                    <w:rFonts w:ascii="Times New Roman" w:hAnsi="Times New Roman" w:cs="Times New Roman"/>
                    <w:noProof/>
                    <w:webHidden/>
                    <w:sz w:val="24"/>
                    <w:szCs w:val="24"/>
                  </w:rPr>
                  <w:fldChar w:fldCharType="end"/>
                </w:r>
              </w:hyperlink>
            </w:p>
            <w:p w14:paraId="357E08DD"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007D4954" w:rsidRPr="007D4954">
                  <w:rPr>
                    <w:rFonts w:ascii="Times New Roman" w:hAnsi="Times New Roman" w:cs="Times New Roman"/>
                    <w:noProof/>
                    <w:sz w:val="24"/>
                    <w:szCs w:val="24"/>
                  </w:rPr>
                  <w:t>14.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atmetimo pagrindai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007D4954" w:rsidRPr="007D4954">
                  <w:rPr>
                    <w:rFonts w:ascii="Times New Roman" w:hAnsi="Times New Roman" w:cs="Times New Roman"/>
                    <w:noProof/>
                    <w:webHidden/>
                    <w:sz w:val="24"/>
                    <w:szCs w:val="24"/>
                  </w:rPr>
                  <w:fldChar w:fldCharType="end"/>
                </w:r>
              </w:hyperlink>
            </w:p>
            <w:p w14:paraId="3F26C719"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007D4954" w:rsidRPr="007D4954">
                  <w:rPr>
                    <w:rFonts w:ascii="Times New Roman" w:hAnsi="Times New Roman" w:cs="Times New Roman"/>
                    <w:noProof/>
                    <w:sz w:val="24"/>
                    <w:szCs w:val="24"/>
                  </w:rPr>
                  <w:t>15.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eilė ir laimėtojo nustatymas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4DB0E87E"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007D4954" w:rsidRPr="007D4954">
                  <w:rPr>
                    <w:rFonts w:ascii="Times New Roman" w:hAnsi="Times New Roman" w:cs="Times New Roman"/>
                    <w:noProof/>
                    <w:sz w:val="24"/>
                    <w:szCs w:val="24"/>
                  </w:rPr>
                  <w:t>16.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Informavimas apie pirkimo procedūrų rezultatus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16D3FE85"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007D4954" w:rsidRPr="007D4954">
                  <w:rPr>
                    <w:rFonts w:ascii="Times New Roman" w:hAnsi="Times New Roman" w:cs="Times New Roman"/>
                    <w:noProof/>
                    <w:sz w:val="24"/>
                    <w:szCs w:val="24"/>
                  </w:rPr>
                  <w:t>17.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Sutarties sudarymas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5DD7F880" w14:textId="77777777" w:rsidR="007D4954" w:rsidRPr="007D4954" w:rsidRDefault="00131A93"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007D4954" w:rsidRPr="007D4954">
                  <w:rPr>
                    <w:rFonts w:ascii="Times New Roman" w:hAnsi="Times New Roman" w:cs="Times New Roman"/>
                    <w:noProof/>
                    <w:sz w:val="24"/>
                    <w:szCs w:val="24"/>
                  </w:rPr>
                  <w:t>18.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Teisė ginčyti perkančiosios organizacijos veiksmus ar priimtus sprendimus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007D4954"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1" w:name="_Toc134703649"/>
          <w:bookmarkStart w:id="2"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1"/>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3" w:name="_Hlk189557278"/>
          <w:r w:rsidRPr="000F557C">
            <w:rPr>
              <w:rFonts w:ascii="Times New Roman" w:hAnsi="Times New Roman" w:cs="Times New Roman"/>
              <w:sz w:val="24"/>
              <w:szCs w:val="24"/>
            </w:rPr>
            <w:t xml:space="preserve">perkančiosios organizacijos </w:t>
          </w:r>
          <w:bookmarkEnd w:id="3"/>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Kvazisubtiekėjas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4" w:name="_Toc134703650"/>
          <w:bookmarkEnd w:id="2"/>
          <w:r w:rsidRPr="007D4954">
            <w:rPr>
              <w:rFonts w:ascii="Times New Roman" w:eastAsiaTheme="majorEastAsia" w:hAnsi="Times New Roman" w:cs="Times New Roman"/>
              <w:b/>
              <w:bCs/>
              <w:color w:val="000000" w:themeColor="text1"/>
              <w:sz w:val="24"/>
              <w:szCs w:val="24"/>
            </w:rPr>
            <w:t>Bendrosios nuostatos</w:t>
          </w:r>
          <w:bookmarkEnd w:id="4"/>
        </w:p>
        <w:p w14:paraId="0DD690F0" w14:textId="0F1C45BF"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7D4954">
            <w:rPr>
              <w:rFonts w:ascii="Times New Roman" w:eastAsia="Calibri" w:hAnsi="Times New Roman" w:cs="Times New Roman"/>
              <w:sz w:val="24"/>
              <w:szCs w:val="24"/>
            </w:rPr>
            <w:t>„</w:t>
          </w:r>
          <w:r w:rsidR="00BC2876" w:rsidRPr="00BC2876">
            <w:rPr>
              <w:rFonts w:ascii="Times New Roman" w:hAnsi="Times New Roman" w:cs="Times New Roman"/>
              <w:caps/>
              <w:sz w:val="24"/>
              <w:szCs w:val="24"/>
            </w:rPr>
            <w:t xml:space="preserve">Girkalnio sen. Žvirgždžių k. Kalno g. (kelias 3v116) </w:t>
          </w:r>
          <w:r w:rsidR="00B25920" w:rsidRPr="00B25920">
            <w:rPr>
              <w:rFonts w:ascii="Times New Roman" w:hAnsi="Times New Roman" w:cs="Times New Roman"/>
              <w:caps/>
              <w:sz w:val="24"/>
              <w:szCs w:val="24"/>
            </w:rPr>
            <w:t xml:space="preserve">dalies kapitalinio remonto techninio darbo projekto </w:t>
          </w:r>
          <w:r w:rsidRPr="000F557C">
            <w:rPr>
              <w:rFonts w:ascii="Times New Roman" w:hAnsi="Times New Roman" w:cs="Times New Roman"/>
              <w:caps/>
              <w:sz w:val="24"/>
              <w:szCs w:val="24"/>
            </w:rPr>
            <w:t>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5" w:name="_Ref39426332"/>
          <w:bookmarkStart w:id="6" w:name="_Ref39426338"/>
          <w:bookmarkStart w:id="7" w:name="_Toc134703651"/>
          <w:r w:rsidRPr="007D4954">
            <w:rPr>
              <w:rFonts w:ascii="Times New Roman" w:eastAsiaTheme="majorEastAsia" w:hAnsi="Times New Roman" w:cs="Times New Roman"/>
              <w:b/>
              <w:bCs/>
              <w:color w:val="000000" w:themeColor="text1"/>
              <w:sz w:val="24"/>
              <w:szCs w:val="24"/>
            </w:rPr>
            <w:t>Pirkimo objektas</w:t>
          </w:r>
          <w:bookmarkEnd w:id="5"/>
          <w:bookmarkEnd w:id="6"/>
          <w:bookmarkEnd w:id="7"/>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8" w:name="_Ref38446847"/>
          <w:bookmarkStart w:id="9" w:name="_Ref38446850"/>
          <w:bookmarkStart w:id="10"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8"/>
          <w:bookmarkEnd w:id="9"/>
          <w:bookmarkEnd w:id="10"/>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1" w:name="_Hlk189557578"/>
          <w:r w:rsidRPr="000F557C">
            <w:rPr>
              <w:rFonts w:ascii="Times New Roman" w:hAnsi="Times New Roman" w:cs="Times New Roman"/>
              <w:sz w:val="24"/>
              <w:szCs w:val="24"/>
            </w:rPr>
            <w:t>Perkančio</w:t>
          </w:r>
          <w:r>
            <w:rPr>
              <w:rFonts w:ascii="Times New Roman" w:hAnsi="Times New Roman" w:cs="Times New Roman"/>
              <w:sz w:val="24"/>
              <w:szCs w:val="24"/>
            </w:rPr>
            <w:t xml:space="preserve">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1"/>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2" w:name="_Ref38446835"/>
          <w:bookmarkStart w:id="13"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2"/>
          <w:bookmarkEnd w:id="13"/>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4"/>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5"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5"/>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7D4954">
            <w:rPr>
              <w:rFonts w:ascii="Times New Roman" w:eastAsiaTheme="majorEastAsia" w:hAnsi="Times New Roman" w:cs="Times New Roman"/>
              <w:b/>
              <w:bCs/>
              <w:color w:val="000000" w:themeColor="text1"/>
              <w:sz w:val="24"/>
              <w:szCs w:val="24"/>
            </w:rPr>
            <w:t>Tiekėjų pašalinimo pagrindai</w:t>
          </w:r>
          <w:bookmarkEnd w:id="16"/>
          <w:bookmarkEnd w:id="17"/>
          <w:bookmarkEnd w:id="18"/>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9"/>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20"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20"/>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7D4954">
            <w:rPr>
              <w:rFonts w:ascii="Times New Roman" w:hAnsi="Times New Roman" w:cs="Times New Roman"/>
              <w:i/>
              <w:iCs/>
              <w:sz w:val="24"/>
              <w:szCs w:val="24"/>
            </w:rPr>
            <w:t>Apostille</w:t>
          </w:r>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D4954">
            <w:rPr>
              <w:rFonts w:ascii="Times New Roman" w:hAnsi="Times New Roman" w:cs="Times New Roman"/>
              <w:i/>
              <w:iCs/>
              <w:sz w:val="24"/>
              <w:szCs w:val="24"/>
            </w:rPr>
            <w:t>Apostille</w:t>
          </w:r>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6" w:name="_Toc134703656"/>
          <w:r w:rsidRPr="007D4954">
            <w:rPr>
              <w:rFonts w:ascii="Times New Roman" w:eastAsiaTheme="majorEastAsia" w:hAnsi="Times New Roman" w:cs="Times New Roman"/>
              <w:b/>
              <w:bCs/>
              <w:color w:val="000000" w:themeColor="text1"/>
              <w:sz w:val="24"/>
              <w:szCs w:val="24"/>
            </w:rPr>
            <w:t>Rėmimasis ūkio subjektų pajėgumais</w:t>
          </w:r>
          <w:bookmarkEnd w:id="26"/>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(kvazisubtiekėjai).</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7"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7"/>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8" w:name="_Toc134703657"/>
          <w:r w:rsidRPr="007D4954">
            <w:rPr>
              <w:rFonts w:ascii="Times New Roman" w:eastAsiaTheme="majorEastAsia" w:hAnsi="Times New Roman" w:cs="Times New Roman"/>
              <w:b/>
              <w:bCs/>
              <w:color w:val="000000" w:themeColor="text1"/>
              <w:sz w:val="24"/>
              <w:szCs w:val="24"/>
            </w:rPr>
            <w:t>Subtiekėjų pasitelkimas</w:t>
          </w:r>
          <w:bookmarkEnd w:id="28"/>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9" w:name="_Ref39668380"/>
          <w:bookmarkStart w:id="30" w:name="_Ref39668383"/>
          <w:bookmarkStart w:id="31" w:name="_Toc134703658"/>
          <w:r w:rsidRPr="007D4954">
            <w:rPr>
              <w:rFonts w:ascii="Times New Roman" w:eastAsiaTheme="majorEastAsia" w:hAnsi="Times New Roman" w:cs="Times New Roman"/>
              <w:b/>
              <w:bCs/>
              <w:color w:val="000000" w:themeColor="text1"/>
              <w:sz w:val="24"/>
              <w:szCs w:val="24"/>
            </w:rPr>
            <w:t>Tiekėjų grupės dalyvavimas</w:t>
          </w:r>
          <w:bookmarkEnd w:id="29"/>
          <w:bookmarkEnd w:id="30"/>
          <w:bookmarkEnd w:id="31"/>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2" w:name="_Toc85698576"/>
          <w:bookmarkStart w:id="33" w:name="_Toc86176527"/>
          <w:bookmarkStart w:id="34"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2"/>
          <w:bookmarkEnd w:id="33"/>
          <w:bookmarkEnd w:id="34"/>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5" w:name="_Toc134703660"/>
          <w:r w:rsidRPr="007D4954">
            <w:rPr>
              <w:rFonts w:ascii="Times New Roman" w:eastAsiaTheme="majorEastAsia" w:hAnsi="Times New Roman" w:cs="Times New Roman"/>
              <w:b/>
              <w:bCs/>
              <w:color w:val="000000" w:themeColor="text1"/>
              <w:sz w:val="24"/>
              <w:szCs w:val="24"/>
            </w:rPr>
            <w:t>Susipažinimas su pasiūlymais</w:t>
          </w:r>
          <w:bookmarkEnd w:id="35"/>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6"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6"/>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7" w:name="_GALUTINIŲ_PASIŪLYMŲ_VERTINIMAS"/>
          <w:bookmarkStart w:id="38" w:name="_Toc85698580"/>
          <w:bookmarkStart w:id="39" w:name="_Toc86176531"/>
          <w:bookmarkStart w:id="40" w:name="_Toc134703661"/>
          <w:bookmarkEnd w:id="37"/>
          <w:r w:rsidRPr="007D4954">
            <w:rPr>
              <w:rFonts w:ascii="Times New Roman" w:eastAsiaTheme="majorEastAsia" w:hAnsi="Times New Roman" w:cs="Times New Roman"/>
              <w:b/>
              <w:bCs/>
              <w:color w:val="000000" w:themeColor="text1"/>
              <w:sz w:val="24"/>
              <w:szCs w:val="24"/>
            </w:rPr>
            <w:t>Pasiūlymų vertinimas</w:t>
          </w:r>
          <w:bookmarkEnd w:id="38"/>
          <w:bookmarkEnd w:id="39"/>
          <w:bookmarkEnd w:id="40"/>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1"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2" w:name="_Toc85698581"/>
          <w:bookmarkStart w:id="43" w:name="_Toc86176532"/>
          <w:bookmarkStart w:id="44" w:name="_Toc134703662"/>
          <w:r w:rsidRPr="007D4954">
            <w:rPr>
              <w:rFonts w:ascii="Times New Roman" w:eastAsiaTheme="majorEastAsia" w:hAnsi="Times New Roman" w:cs="Times New Roman"/>
              <w:b/>
              <w:bCs/>
              <w:color w:val="000000" w:themeColor="text1"/>
              <w:sz w:val="24"/>
              <w:szCs w:val="24"/>
            </w:rPr>
            <w:t xml:space="preserve">Pasiūlymų atmetimo </w:t>
          </w:r>
          <w:bookmarkEnd w:id="41"/>
          <w:bookmarkEnd w:id="42"/>
          <w:bookmarkEnd w:id="43"/>
          <w:r w:rsidRPr="007D4954">
            <w:rPr>
              <w:rFonts w:ascii="Times New Roman" w:eastAsiaTheme="majorEastAsia" w:hAnsi="Times New Roman" w:cs="Times New Roman"/>
              <w:b/>
              <w:bCs/>
              <w:color w:val="000000" w:themeColor="text1"/>
              <w:sz w:val="24"/>
              <w:szCs w:val="24"/>
            </w:rPr>
            <w:t>pagrindai</w:t>
          </w:r>
          <w:bookmarkEnd w:id="44"/>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5" w:name="_Ref40443104"/>
          <w:bookmarkStart w:id="46" w:name="_Toc48053180"/>
          <w:bookmarkStart w:id="47" w:name="_Toc85698582"/>
          <w:bookmarkStart w:id="48" w:name="_Toc86176533"/>
          <w:bookmarkStart w:id="49"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5"/>
          <w:bookmarkEnd w:id="46"/>
          <w:bookmarkEnd w:id="47"/>
          <w:bookmarkEnd w:id="48"/>
          <w:bookmarkEnd w:id="49"/>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0" w:name="_Ref40443308"/>
          <w:bookmarkStart w:id="51" w:name="_Toc48053181"/>
          <w:bookmarkStart w:id="52" w:name="_Toc85698583"/>
          <w:bookmarkStart w:id="53" w:name="_Toc86176534"/>
          <w:bookmarkStart w:id="54"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50"/>
          <w:bookmarkEnd w:id="51"/>
          <w:bookmarkEnd w:id="52"/>
          <w:bookmarkEnd w:id="53"/>
          <w:bookmarkEnd w:id="54"/>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5"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6" w:name="_Toc85698584"/>
          <w:bookmarkStart w:id="57" w:name="_Toc86176535"/>
          <w:bookmarkStart w:id="58" w:name="_Toc124749448"/>
          <w:bookmarkStart w:id="59" w:name="_Toc134703665"/>
          <w:r w:rsidRPr="007D4954">
            <w:rPr>
              <w:rFonts w:ascii="Times New Roman" w:eastAsiaTheme="majorEastAsia" w:hAnsi="Times New Roman" w:cs="Times New Roman"/>
              <w:b/>
              <w:bCs/>
              <w:color w:val="000000" w:themeColor="text1"/>
              <w:sz w:val="24"/>
              <w:szCs w:val="24"/>
            </w:rPr>
            <w:t>Sutarties sudarymas</w:t>
          </w:r>
          <w:bookmarkEnd w:id="55"/>
          <w:bookmarkEnd w:id="56"/>
          <w:bookmarkEnd w:id="57"/>
          <w:bookmarkEnd w:id="58"/>
          <w:bookmarkEnd w:id="59"/>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60" w:name="_Toc85698585"/>
          <w:bookmarkStart w:id="61" w:name="_Toc86176536"/>
          <w:bookmarkStart w:id="62" w:name="_Toc124749449"/>
          <w:bookmarkStart w:id="63"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60"/>
          <w:bookmarkEnd w:id="61"/>
          <w:bookmarkEnd w:id="62"/>
          <w:bookmarkEnd w:id="63"/>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53CCD1A8" w14:textId="181B6C51" w:rsidR="00564793" w:rsidRDefault="00564793" w:rsidP="007334EA">
          <w:pPr>
            <w:spacing w:after="120"/>
            <w:ind w:left="567" w:firstLine="0"/>
            <w:contextualSpacing/>
            <w:jc w:val="center"/>
            <w:rPr>
              <w:rFonts w:cstheme="minorHAnsi"/>
              <w:b/>
              <w:bCs/>
              <w:sz w:val="28"/>
              <w:szCs w:val="28"/>
            </w:rPr>
          </w:pPr>
        </w:p>
        <w:p w14:paraId="6F1712D3" w14:textId="6D80A1C7" w:rsidR="00564793" w:rsidRDefault="00564793" w:rsidP="007334EA">
          <w:pPr>
            <w:spacing w:after="120"/>
            <w:ind w:left="567" w:firstLine="0"/>
            <w:contextualSpacing/>
            <w:jc w:val="center"/>
            <w:rPr>
              <w:rFonts w:cstheme="minorHAnsi"/>
              <w:b/>
              <w:bCs/>
              <w:sz w:val="28"/>
              <w:szCs w:val="28"/>
            </w:rPr>
          </w:pPr>
        </w:p>
        <w:p w14:paraId="7ACB40CE" w14:textId="73C9E319" w:rsidR="00564793" w:rsidRDefault="00564793" w:rsidP="007334EA">
          <w:pPr>
            <w:spacing w:after="120"/>
            <w:ind w:left="567" w:firstLine="0"/>
            <w:contextualSpacing/>
            <w:jc w:val="center"/>
            <w:rPr>
              <w:rFonts w:cstheme="minorHAnsi"/>
              <w:b/>
              <w:bCs/>
              <w:sz w:val="28"/>
              <w:szCs w:val="28"/>
            </w:rPr>
          </w:pPr>
        </w:p>
        <w:p w14:paraId="231A2427" w14:textId="7A66EBD8" w:rsidR="00564793" w:rsidRDefault="00564793" w:rsidP="007334EA">
          <w:pPr>
            <w:spacing w:after="120"/>
            <w:ind w:left="567" w:firstLine="0"/>
            <w:contextualSpacing/>
            <w:jc w:val="center"/>
            <w:rPr>
              <w:rFonts w:cstheme="minorHAnsi"/>
              <w:b/>
              <w:bCs/>
              <w:sz w:val="28"/>
              <w:szCs w:val="28"/>
            </w:rPr>
          </w:pPr>
        </w:p>
        <w:p w14:paraId="5972B846" w14:textId="1F2D2B41" w:rsidR="00564793" w:rsidRDefault="00564793" w:rsidP="007334EA">
          <w:pPr>
            <w:spacing w:after="120"/>
            <w:ind w:left="567" w:firstLine="0"/>
            <w:contextualSpacing/>
            <w:jc w:val="center"/>
            <w:rPr>
              <w:rFonts w:cstheme="minorHAnsi"/>
              <w:b/>
              <w:bCs/>
              <w:sz w:val="28"/>
              <w:szCs w:val="28"/>
            </w:rPr>
          </w:pPr>
        </w:p>
        <w:p w14:paraId="22E119C2" w14:textId="598DEE34" w:rsidR="00564793" w:rsidRDefault="00564793" w:rsidP="007334EA">
          <w:pPr>
            <w:spacing w:after="120"/>
            <w:ind w:left="567" w:firstLine="0"/>
            <w:contextualSpacing/>
            <w:jc w:val="center"/>
            <w:rPr>
              <w:rFonts w:cstheme="minorHAnsi"/>
              <w:b/>
              <w:bCs/>
              <w:sz w:val="28"/>
              <w:szCs w:val="28"/>
            </w:rPr>
          </w:pPr>
        </w:p>
        <w:p w14:paraId="34F83914" w14:textId="37C3BB60" w:rsidR="00564793" w:rsidRDefault="00564793" w:rsidP="007334EA">
          <w:pPr>
            <w:spacing w:after="120"/>
            <w:ind w:left="567" w:firstLine="0"/>
            <w:contextualSpacing/>
            <w:jc w:val="center"/>
            <w:rPr>
              <w:rFonts w:cstheme="minorHAnsi"/>
              <w:b/>
              <w:bCs/>
              <w:sz w:val="28"/>
              <w:szCs w:val="28"/>
            </w:rPr>
          </w:pPr>
        </w:p>
        <w:p w14:paraId="6AF816CF" w14:textId="52D98579" w:rsidR="00564793" w:rsidRDefault="00564793" w:rsidP="007334EA">
          <w:pPr>
            <w:spacing w:after="120"/>
            <w:ind w:left="567" w:firstLine="0"/>
            <w:contextualSpacing/>
            <w:jc w:val="center"/>
            <w:rPr>
              <w:rFonts w:cstheme="minorHAnsi"/>
              <w:b/>
              <w:bCs/>
              <w:sz w:val="28"/>
              <w:szCs w:val="28"/>
            </w:rPr>
          </w:pPr>
        </w:p>
        <w:p w14:paraId="7DE2520A" w14:textId="5A9A09DA" w:rsidR="00564793" w:rsidRDefault="00564793" w:rsidP="007334EA">
          <w:pPr>
            <w:spacing w:after="120"/>
            <w:ind w:left="567" w:firstLine="0"/>
            <w:contextualSpacing/>
            <w:jc w:val="center"/>
            <w:rPr>
              <w:rFonts w:cstheme="minorHAnsi"/>
              <w:b/>
              <w:bCs/>
              <w:sz w:val="28"/>
              <w:szCs w:val="28"/>
            </w:rPr>
          </w:pPr>
        </w:p>
        <w:p w14:paraId="6278D8F1" w14:textId="221D8E21" w:rsidR="00564793" w:rsidRDefault="00564793" w:rsidP="007334EA">
          <w:pPr>
            <w:spacing w:after="120"/>
            <w:ind w:left="567" w:firstLine="0"/>
            <w:contextualSpacing/>
            <w:jc w:val="center"/>
            <w:rPr>
              <w:rFonts w:cstheme="minorHAnsi"/>
              <w:b/>
              <w:bCs/>
              <w:sz w:val="28"/>
              <w:szCs w:val="28"/>
            </w:rPr>
          </w:pPr>
        </w:p>
        <w:p w14:paraId="62E2498C" w14:textId="062D430C" w:rsidR="00564793" w:rsidRDefault="00564793" w:rsidP="007334EA">
          <w:pPr>
            <w:spacing w:after="120"/>
            <w:ind w:left="567" w:firstLine="0"/>
            <w:contextualSpacing/>
            <w:jc w:val="center"/>
            <w:rPr>
              <w:rFonts w:cstheme="minorHAnsi"/>
              <w:b/>
              <w:bCs/>
              <w:sz w:val="28"/>
              <w:szCs w:val="28"/>
            </w:rPr>
          </w:pPr>
        </w:p>
        <w:p w14:paraId="1171E539" w14:textId="30DBC4B6" w:rsidR="00564793" w:rsidRDefault="00564793" w:rsidP="007334EA">
          <w:pPr>
            <w:spacing w:after="120"/>
            <w:ind w:left="567" w:firstLine="0"/>
            <w:contextualSpacing/>
            <w:jc w:val="center"/>
            <w:rPr>
              <w:rFonts w:cstheme="minorHAnsi"/>
              <w:b/>
              <w:bCs/>
              <w:sz w:val="28"/>
              <w:szCs w:val="28"/>
            </w:rPr>
          </w:pPr>
        </w:p>
        <w:p w14:paraId="64FDF7E1" w14:textId="4BDB0E34" w:rsidR="00564793" w:rsidRDefault="00564793" w:rsidP="00142A3C">
          <w:pPr>
            <w:spacing w:after="120"/>
            <w:ind w:firstLine="0"/>
            <w:contextualSpacing/>
            <w:rPr>
              <w:rFonts w:cstheme="minorHAnsi"/>
              <w:b/>
              <w:bCs/>
              <w:sz w:val="28"/>
              <w:szCs w:val="28"/>
            </w:rPr>
          </w:pPr>
        </w:p>
        <w:p w14:paraId="2DBCC9DE" w14:textId="73174235" w:rsidR="00564793" w:rsidRDefault="00564793" w:rsidP="007334EA">
          <w:pPr>
            <w:spacing w:after="120"/>
            <w:ind w:left="567" w:firstLine="0"/>
            <w:contextualSpacing/>
            <w:jc w:val="center"/>
            <w:rPr>
              <w:rFonts w:cstheme="minorHAnsi"/>
              <w:b/>
              <w:bCs/>
              <w:sz w:val="28"/>
              <w:szCs w:val="28"/>
            </w:rPr>
          </w:pPr>
        </w:p>
        <w:p w14:paraId="5E53EEE7" w14:textId="77777777" w:rsidR="00564793" w:rsidRPr="00AC02E7" w:rsidRDefault="00564793" w:rsidP="007334EA">
          <w:pPr>
            <w:spacing w:after="120"/>
            <w:ind w:left="567" w:firstLine="0"/>
            <w:contextualSpacing/>
            <w:jc w:val="center"/>
            <w:rPr>
              <w:rFonts w:cstheme="minorHAnsi"/>
              <w:b/>
              <w:bCs/>
              <w:sz w:val="28"/>
              <w:szCs w:val="28"/>
            </w:rPr>
          </w:pPr>
        </w:p>
        <w:p w14:paraId="1B3D6D61" w14:textId="761BAAE1"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4"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BC2876" w:rsidRPr="00BC2876">
            <w:rPr>
              <w:rFonts w:eastAsiaTheme="minorEastAsia" w:cs="Times New Roman"/>
              <w:b/>
              <w:bCs/>
              <w:caps/>
              <w:color w:val="auto"/>
              <w:sz w:val="24"/>
              <w:szCs w:val="24"/>
              <w:lang w:val="lt-LT" w:eastAsia="lt-LT"/>
            </w:rPr>
            <w:t xml:space="preserve">Girkalnio sen. Žvirgždžių k. Kalno g. (kelias 3v116) </w:t>
          </w:r>
          <w:r w:rsidR="00E43AC3" w:rsidRPr="00E43AC3">
            <w:rPr>
              <w:rFonts w:eastAsiaTheme="minorEastAsia" w:cs="Times New Roman"/>
              <w:b/>
              <w:bCs/>
              <w:caps/>
              <w:color w:val="auto"/>
              <w:sz w:val="24"/>
              <w:szCs w:val="24"/>
              <w:lang w:val="lt-LT" w:eastAsia="lt-LT"/>
            </w:rPr>
            <w:t xml:space="preserve">dalies kapitalinio remonto techninio darbo projekto </w:t>
          </w:r>
          <w:r w:rsidR="00686065" w:rsidRPr="004E4E1A">
            <w:rPr>
              <w:rFonts w:eastAsiaTheme="minorEastAsia" w:cs="Times New Roman"/>
              <w:b/>
              <w:bCs/>
              <w:caps/>
              <w:color w:val="auto"/>
              <w:sz w:val="24"/>
              <w:szCs w:val="24"/>
              <w:lang w:val="lt-LT" w:eastAsia="lt-LT"/>
            </w:rPr>
            <w:t>ekspertizės 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4"/>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131A93">
              <w:pPr>
                <w:pStyle w:val="Turinys1"/>
                <w:rPr>
                  <w:rFonts w:ascii="Times New Roman" w:hAnsi="Times New Roman" w:cs="Times New Roman"/>
                  <w:noProof/>
                  <w:sz w:val="24"/>
                  <w:szCs w:val="24"/>
                  <w:lang w:val="en-US" w:eastAsia="en-US"/>
                </w:rPr>
              </w:pPr>
              <w:hyperlink w:anchor="_Toc137194948" w:history="1">
                <w:r w:rsidR="00E76E1F" w:rsidRPr="004E4E1A">
                  <w:rPr>
                    <w:rStyle w:val="Hipersaitas"/>
                    <w:rFonts w:ascii="Times New Roman" w:eastAsia="Calibri" w:hAnsi="Times New Roman" w:cs="Times New Roman"/>
                    <w:noProof/>
                    <w:sz w:val="24"/>
                    <w:szCs w:val="24"/>
                  </w:rPr>
                  <w:t>2.</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Pirkimo objektas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_Toc137194948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00E76E1F" w:rsidRPr="004E4E1A">
                  <w:rPr>
                    <w:rFonts w:ascii="Times New Roman" w:hAnsi="Times New Roman" w:cs="Times New Roman"/>
                    <w:noProof/>
                    <w:webHidden/>
                    <w:sz w:val="24"/>
                    <w:szCs w:val="24"/>
                  </w:rPr>
                  <w:fldChar w:fldCharType="end"/>
                </w:r>
              </w:hyperlink>
            </w:p>
            <w:p w14:paraId="3B364848" w14:textId="414CEFE5" w:rsidR="00E76E1F" w:rsidRPr="004E4E1A" w:rsidRDefault="00131A93">
              <w:pPr>
                <w:pStyle w:val="Turinys1"/>
                <w:rPr>
                  <w:rFonts w:ascii="Times New Roman" w:hAnsi="Times New Roman" w:cs="Times New Roman"/>
                  <w:noProof/>
                  <w:sz w:val="24"/>
                  <w:szCs w:val="24"/>
                  <w:lang w:val="en-US" w:eastAsia="en-US"/>
                </w:rPr>
              </w:pPr>
              <w:hyperlink w:anchor="_Toc137194949" w:history="1">
                <w:r w:rsidR="00E76E1F" w:rsidRPr="004E4E1A">
                  <w:rPr>
                    <w:rStyle w:val="Hipersaitas"/>
                    <w:rFonts w:ascii="Times New Roman" w:eastAsia="Calibri" w:hAnsi="Times New Roman" w:cs="Times New Roman"/>
                    <w:noProof/>
                    <w:sz w:val="24"/>
                    <w:szCs w:val="24"/>
                  </w:rPr>
                  <w:t>3.</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_Toc137194949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2C7FBD3C" w14:textId="00C3156F" w:rsidR="00E76E1F" w:rsidRPr="004E4E1A" w:rsidRDefault="00131A93">
              <w:pPr>
                <w:pStyle w:val="Turinys1"/>
                <w:rPr>
                  <w:rFonts w:ascii="Times New Roman" w:hAnsi="Times New Roman" w:cs="Times New Roman"/>
                  <w:noProof/>
                  <w:sz w:val="24"/>
                  <w:szCs w:val="24"/>
                  <w:lang w:val="en-US" w:eastAsia="en-US"/>
                </w:rPr>
              </w:pPr>
              <w:hyperlink w:anchor="_Toc137194950" w:history="1">
                <w:r w:rsidR="00E76E1F" w:rsidRPr="004E4E1A">
                  <w:rPr>
                    <w:rStyle w:val="Hipersaitas"/>
                    <w:rFonts w:ascii="Times New Roman" w:eastAsia="Calibri" w:hAnsi="Times New Roman" w:cs="Times New Roman"/>
                    <w:noProof/>
                    <w:sz w:val="24"/>
                    <w:szCs w:val="24"/>
                  </w:rPr>
                  <w:t>4.</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Reikalavimai, susiję su nacionaliniu saugumu</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_Toc137194950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3B8B80C9" w14:textId="381608A5" w:rsidR="00E76E1F" w:rsidRPr="004E4E1A" w:rsidRDefault="00131A93">
              <w:pPr>
                <w:pStyle w:val="Turinys1"/>
                <w:rPr>
                  <w:rFonts w:ascii="Times New Roman" w:hAnsi="Times New Roman" w:cs="Times New Roman"/>
                  <w:noProof/>
                  <w:sz w:val="24"/>
                  <w:szCs w:val="24"/>
                  <w:lang w:val="en-US" w:eastAsia="en-US"/>
                </w:rPr>
              </w:pPr>
              <w:hyperlink w:anchor="_Toc137194951" w:history="1">
                <w:r w:rsidR="00E76E1F" w:rsidRPr="004E4E1A">
                  <w:rPr>
                    <w:rStyle w:val="Hipersaitas"/>
                    <w:rFonts w:ascii="Times New Roman" w:eastAsia="Calibri" w:hAnsi="Times New Roman" w:cs="Times New Roman"/>
                    <w:noProof/>
                    <w:sz w:val="24"/>
                    <w:szCs w:val="24"/>
                  </w:rPr>
                  <w:t>5.</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Specialieji reikalavimai pasiūlymų rengimui ir pateikimui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_Toc137194951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71D87EA0" w14:textId="67654B2D" w:rsidR="00E76E1F" w:rsidRPr="004E4E1A" w:rsidRDefault="00131A93">
              <w:pPr>
                <w:pStyle w:val="Turinys1"/>
                <w:rPr>
                  <w:rFonts w:ascii="Times New Roman" w:hAnsi="Times New Roman" w:cs="Times New Roman"/>
                  <w:noProof/>
                  <w:sz w:val="24"/>
                  <w:szCs w:val="24"/>
                  <w:lang w:val="en-US" w:eastAsia="en-US"/>
                </w:rPr>
              </w:pPr>
              <w:hyperlink w:anchor="_Toc137194952" w:history="1">
                <w:r w:rsidR="00E76E1F" w:rsidRPr="004E4E1A">
                  <w:rPr>
                    <w:rStyle w:val="Hipersaitas"/>
                    <w:rFonts w:ascii="Times New Roman" w:hAnsi="Times New Roman" w:cs="Times New Roman"/>
                    <w:noProof/>
                    <w:sz w:val="24"/>
                    <w:szCs w:val="24"/>
                  </w:rPr>
                  <w:t>6.    Pasiūlymo galiojimo užtikrinimas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_Toc137194952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7EB7A3" w14:textId="5DD375B4" w:rsidR="00E76E1F" w:rsidRPr="004E4E1A" w:rsidRDefault="00131A93">
              <w:pPr>
                <w:pStyle w:val="Turinys1"/>
                <w:rPr>
                  <w:rFonts w:ascii="Times New Roman" w:hAnsi="Times New Roman" w:cs="Times New Roman"/>
                  <w:noProof/>
                  <w:sz w:val="24"/>
                  <w:szCs w:val="24"/>
                  <w:lang w:val="en-US" w:eastAsia="en-US"/>
                </w:rPr>
              </w:pPr>
              <w:hyperlink w:anchor="_Toc137194953" w:history="1">
                <w:r w:rsidR="00E76E1F" w:rsidRPr="004E4E1A">
                  <w:rPr>
                    <w:rStyle w:val="Hipersaitas"/>
                    <w:rFonts w:ascii="Times New Roman" w:hAnsi="Times New Roman" w:cs="Times New Roman"/>
                    <w:noProof/>
                    <w:sz w:val="24"/>
                    <w:szCs w:val="24"/>
                  </w:rPr>
                  <w:t>7.</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Pasiūlymų vertinimas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_Toc137194953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2D57B744" w14:textId="4A4F2891" w:rsidR="00E76E1F" w:rsidRPr="004E4E1A" w:rsidRDefault="00131A93">
              <w:pPr>
                <w:pStyle w:val="Turinys1"/>
                <w:rPr>
                  <w:rFonts w:ascii="Times New Roman" w:hAnsi="Times New Roman" w:cs="Times New Roman"/>
                  <w:noProof/>
                  <w:sz w:val="24"/>
                  <w:szCs w:val="24"/>
                  <w:lang w:val="en-US" w:eastAsia="en-US"/>
                </w:rPr>
              </w:pPr>
              <w:hyperlink w:anchor="_Toc137194954" w:history="1">
                <w:r w:rsidR="00E76E1F"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Sutarties sudarymas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_Toc137194954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1E7762" w14:textId="3C4DA37C" w:rsidR="00E76E1F" w:rsidRPr="004E4E1A" w:rsidRDefault="00131A93">
              <w:pPr>
                <w:pStyle w:val="Turinys1"/>
                <w:rPr>
                  <w:rFonts w:ascii="Times New Roman" w:hAnsi="Times New Roman" w:cs="Times New Roman"/>
                  <w:noProof/>
                  <w:sz w:val="24"/>
                  <w:szCs w:val="24"/>
                  <w:lang w:val="en-US" w:eastAsia="en-US"/>
                </w:rPr>
              </w:pPr>
              <w:hyperlink w:anchor="_Toc137194955" w:history="1">
                <w:r w:rsidR="00E76E1F"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Kitos sąlygos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_Toc137194955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5" w:name="_Hlk149306588"/>
          <w:r w:rsidRPr="00A14DFD">
            <w:rPr>
              <w:rFonts w:ascii="Times New Roman" w:hAnsi="Times New Roman" w:cs="Times New Roman"/>
              <w:sz w:val="24"/>
              <w:szCs w:val="24"/>
            </w:rPr>
            <w:t xml:space="preserve">Specialiųjų pirkimo </w:t>
          </w:r>
          <w:bookmarkEnd w:id="65"/>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131A93" w:rsidP="00840073">
          <w:pPr>
            <w:spacing w:after="120"/>
            <w:ind w:firstLine="0"/>
            <w:contextualSpacing/>
            <w:rPr>
              <w:rFonts w:ascii="Arial" w:hAnsi="Arial" w:cs="Arial"/>
            </w:rPr>
          </w:pPr>
        </w:p>
      </w:sdtContent>
    </w:sdt>
    <w:bookmarkStart w:id="66" w:name="part_472a163f4f844a9297cdf9e29b7fb942" w:displacedByCustomXml="prev"/>
    <w:bookmarkEnd w:id="66" w:displacedByCustomXml="prev"/>
    <w:bookmarkStart w:id="67" w:name="part_b3f278cdbcbe467a8b3f1d6ea4ea85f8" w:displacedByCustomXml="prev"/>
    <w:bookmarkEnd w:id="67" w:displacedByCustomXml="prev"/>
    <w:bookmarkStart w:id="68" w:name="part_2d694ec0bf4747a2ace8bc3a118ff44f" w:displacedByCustomXml="prev"/>
    <w:bookmarkEnd w:id="68" w:displacedByCustomXml="prev"/>
    <w:bookmarkStart w:id="69" w:name="part_da460e3efffa45688cb920cd281c7959" w:displacedByCustomXml="prev"/>
    <w:bookmarkEnd w:id="69" w:displacedByCustomXml="prev"/>
    <w:bookmarkStart w:id="70" w:name="part_c8889be5d523482e81bb176e6fe56cd2" w:displacedByCustomXml="prev"/>
    <w:bookmarkEnd w:id="70" w:displacedByCustomXml="prev"/>
    <w:bookmarkStart w:id="71"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2" w:name="_Ref39666794"/>
      <w:bookmarkStart w:id="73" w:name="_Ref39666796"/>
      <w:bookmarkStart w:id="74"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5"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5"/>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6" w:name="_Toc137194948"/>
      <w:r w:rsidRPr="006B5120">
        <w:rPr>
          <w:rFonts w:ascii="Times New Roman" w:hAnsi="Times New Roman" w:cs="Times New Roman"/>
          <w:b/>
          <w:bCs/>
          <w:color w:val="auto"/>
          <w:sz w:val="24"/>
          <w:szCs w:val="24"/>
        </w:rPr>
        <w:t>Pirkimo objektas</w:t>
      </w:r>
      <w:bookmarkEnd w:id="76"/>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0AAC73F8"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BC2876" w:rsidRPr="00BC2876">
        <w:rPr>
          <w:rFonts w:ascii="Times New Roman" w:eastAsia="Calibri" w:hAnsi="Times New Roman" w:cs="Times New Roman"/>
          <w:b/>
          <w:bCs/>
          <w:sz w:val="24"/>
          <w:szCs w:val="24"/>
        </w:rPr>
        <w:t xml:space="preserve">Girkalnio sen. Žvirgždžių k. Kalno g. (kelias 3v116) </w:t>
      </w:r>
      <w:r w:rsidR="00E43AC3" w:rsidRPr="00E43AC3">
        <w:rPr>
          <w:rFonts w:ascii="Times New Roman" w:eastAsia="Calibri" w:hAnsi="Times New Roman" w:cs="Times New Roman"/>
          <w:b/>
          <w:bCs/>
          <w:sz w:val="24"/>
          <w:szCs w:val="24"/>
        </w:rPr>
        <w:t>dalies kapitalinio remonto techninio darbo projekto</w:t>
      </w:r>
      <w:r w:rsidR="00725285" w:rsidRPr="00A14DFD">
        <w:rPr>
          <w:rFonts w:ascii="Times New Roman" w:eastAsia="Calibri" w:hAnsi="Times New Roman" w:cs="Times New Roman"/>
          <w:b/>
          <w:bCs/>
          <w:sz w:val="24"/>
          <w:szCs w:val="24"/>
        </w:rPr>
        <w:t xml:space="preserve"> ekspertizės 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675A286B"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705828">
        <w:rPr>
          <w:rFonts w:ascii="Times New Roman" w:hAnsi="Times New Roman" w:cs="Times New Roman"/>
          <w:sz w:val="24"/>
          <w:szCs w:val="24"/>
        </w:rPr>
        <w:t>2000</w:t>
      </w:r>
      <w:r w:rsidR="001913B9">
        <w:rPr>
          <w:rFonts w:ascii="Times New Roman" w:hAnsi="Times New Roman" w:cs="Times New Roman"/>
          <w:sz w:val="24"/>
          <w:szCs w:val="24"/>
        </w:rPr>
        <w:t>,0</w:t>
      </w:r>
      <w:r w:rsidR="00705828">
        <w:rPr>
          <w:rFonts w:ascii="Times New Roman" w:hAnsi="Times New Roman" w:cs="Times New Roman"/>
          <w:sz w:val="24"/>
          <w:szCs w:val="24"/>
        </w:rPr>
        <w:t>0</w:t>
      </w:r>
      <w:r w:rsidR="00FA5489" w:rsidRPr="00FA5489">
        <w:rPr>
          <w:rFonts w:ascii="Times New Roman" w:hAnsi="Times New Roman" w:cs="Times New Roman"/>
          <w:sz w:val="24"/>
          <w:szCs w:val="24"/>
        </w:rPr>
        <w:t xml:space="preserve"> </w:t>
      </w:r>
      <w:r w:rsidR="00FA5489" w:rsidRPr="00B1132A">
        <w:rPr>
          <w:rFonts w:ascii="Times New Roman" w:hAnsi="Times New Roman" w:cs="Times New Roman"/>
          <w:sz w:val="24"/>
          <w:szCs w:val="24"/>
        </w:rPr>
        <w:t>Eur</w:t>
      </w:r>
      <w:r w:rsidR="00FA5489" w:rsidRPr="006B5120">
        <w:rPr>
          <w:rFonts w:ascii="Times New Roman" w:hAnsi="Times New Roman" w:cs="Times New Roman"/>
          <w:sz w:val="24"/>
          <w:szCs w:val="24"/>
        </w:rPr>
        <w:t xml:space="preserve"> </w:t>
      </w:r>
      <w:r w:rsidR="00FA5489">
        <w:rPr>
          <w:rFonts w:ascii="Times New Roman" w:hAnsi="Times New Roman" w:cs="Times New Roman"/>
          <w:sz w:val="24"/>
          <w:szCs w:val="24"/>
        </w:rPr>
        <w:t>su</w:t>
      </w:r>
      <w:r w:rsidR="00FA5489" w:rsidRPr="006B5120">
        <w:rPr>
          <w:rFonts w:ascii="Times New Roman" w:hAnsi="Times New Roman" w:cs="Times New Roman"/>
          <w:sz w:val="24"/>
          <w:szCs w:val="24"/>
        </w:rPr>
        <w:t xml:space="preserve"> PVM</w:t>
      </w:r>
      <w:r w:rsidR="00FA5489">
        <w:rPr>
          <w:rFonts w:ascii="Times New Roman" w:hAnsi="Times New Roman" w:cs="Times New Roman"/>
          <w:sz w:val="24"/>
          <w:szCs w:val="24"/>
        </w:rPr>
        <w:t xml:space="preserve">. </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7"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7"/>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8"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8"/>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9" w:name="_Toc137194951"/>
      <w:r w:rsidRPr="006B5120">
        <w:rPr>
          <w:rFonts w:ascii="Times New Roman" w:hAnsi="Times New Roman" w:cs="Times New Roman"/>
          <w:b/>
          <w:bCs/>
          <w:color w:val="auto"/>
          <w:sz w:val="24"/>
          <w:szCs w:val="24"/>
        </w:rPr>
        <w:t>Specialieji reikalavimai pasiūlymų rengimui ir pateikimui</w:t>
      </w:r>
      <w:bookmarkEnd w:id="72"/>
      <w:bookmarkEnd w:id="73"/>
      <w:bookmarkEnd w:id="74"/>
      <w:bookmarkEnd w:id="79"/>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80"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80"/>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1" w:name="_Toc15392775"/>
      <w:bookmarkStart w:id="82" w:name="_Toc137194953"/>
      <w:r w:rsidRPr="000D6E9F">
        <w:rPr>
          <w:rFonts w:ascii="Times New Roman" w:hAnsi="Times New Roman" w:cs="Times New Roman"/>
          <w:b/>
          <w:bCs/>
          <w:color w:val="auto"/>
          <w:sz w:val="24"/>
          <w:szCs w:val="24"/>
        </w:rPr>
        <w:t>P</w:t>
      </w:r>
      <w:bookmarkEnd w:id="81"/>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2"/>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3" w:name="_Hlk161154184"/>
      <w:r w:rsidRPr="001160A4">
        <w:rPr>
          <w:rFonts w:ascii="Times New Roman" w:hAnsi="Times New Roman"/>
          <w:sz w:val="24"/>
          <w:szCs w:val="24"/>
        </w:rPr>
        <w:t xml:space="preserve">ekonomiškai naudingiausią Pasiūlymą išrenka pagal </w:t>
      </w:r>
      <w:bookmarkEnd w:id="83"/>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4" w:name="_Ref39425999"/>
      <w:bookmarkStart w:id="85" w:name="_Ref39426005"/>
      <w:bookmarkStart w:id="86" w:name="_Toc126333937"/>
      <w:bookmarkStart w:id="87"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4"/>
      <w:bookmarkEnd w:id="85"/>
      <w:bookmarkEnd w:id="86"/>
      <w:bookmarkEnd w:id="87"/>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8" w:name="_Toc137194955"/>
      <w:r w:rsidRPr="00E8267A">
        <w:rPr>
          <w:rFonts w:ascii="Times New Roman" w:eastAsiaTheme="majorEastAsia" w:hAnsi="Times New Roman" w:cs="Times New Roman"/>
          <w:b/>
          <w:bCs/>
          <w:sz w:val="24"/>
          <w:szCs w:val="24"/>
        </w:rPr>
        <w:lastRenderedPageBreak/>
        <w:t>9. Kitos sąlygos</w:t>
      </w:r>
      <w:bookmarkEnd w:id="88"/>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3EB8983C" w14:textId="4AB50F30" w:rsidR="00142A3C" w:rsidRDefault="00142A3C" w:rsidP="009C4623">
      <w:pPr>
        <w:spacing w:line="240" w:lineRule="auto"/>
        <w:ind w:firstLine="0"/>
        <w:rPr>
          <w:rFonts w:cstheme="minorHAnsi"/>
        </w:rPr>
      </w:pPr>
    </w:p>
    <w:p w14:paraId="1F1472AA" w14:textId="6E7FAF82" w:rsidR="00142A3C" w:rsidRDefault="00142A3C" w:rsidP="009C4623">
      <w:pPr>
        <w:spacing w:line="240" w:lineRule="auto"/>
        <w:ind w:firstLine="0"/>
        <w:rPr>
          <w:rFonts w:cstheme="minorHAnsi"/>
        </w:rPr>
      </w:pPr>
    </w:p>
    <w:p w14:paraId="337D0091" w14:textId="77777777" w:rsidR="00142A3C" w:rsidRDefault="00142A3C" w:rsidP="009C4623">
      <w:pPr>
        <w:spacing w:line="240" w:lineRule="auto"/>
        <w:ind w:firstLine="0"/>
        <w:rPr>
          <w:rFonts w:cstheme="minorHAnsi"/>
        </w:rPr>
      </w:pPr>
    </w:p>
    <w:p w14:paraId="2A12414F" w14:textId="77777777" w:rsidR="00BE4E5C" w:rsidRDefault="00BE4E5C" w:rsidP="009C4623">
      <w:pPr>
        <w:spacing w:line="240" w:lineRule="auto"/>
        <w:ind w:firstLine="0"/>
        <w:rPr>
          <w:rFonts w:cstheme="minorHAnsi"/>
        </w:rPr>
      </w:pPr>
    </w:p>
    <w:p w14:paraId="196038A3" w14:textId="77777777" w:rsidR="00BE4E5C" w:rsidRDefault="00BE4E5C" w:rsidP="009C4623">
      <w:pPr>
        <w:spacing w:line="240" w:lineRule="auto"/>
        <w:ind w:firstLine="0"/>
        <w:rPr>
          <w:rFonts w:cstheme="minorHAnsi"/>
        </w:rPr>
      </w:pPr>
    </w:p>
    <w:p w14:paraId="1B697CE4" w14:textId="77777777" w:rsidR="00BE4E5C" w:rsidRDefault="00BE4E5C" w:rsidP="009C4623">
      <w:pPr>
        <w:spacing w:line="240" w:lineRule="auto"/>
        <w:ind w:firstLine="0"/>
        <w:rPr>
          <w:rFonts w:cstheme="minorHAnsi"/>
        </w:rPr>
      </w:pPr>
    </w:p>
    <w:p w14:paraId="38E8E8BB" w14:textId="77777777" w:rsidR="00BE4E5C" w:rsidRDefault="00BE4E5C" w:rsidP="009C4623">
      <w:pPr>
        <w:spacing w:line="240" w:lineRule="auto"/>
        <w:ind w:firstLine="0"/>
        <w:rPr>
          <w:rFonts w:cstheme="minorHAnsi"/>
        </w:rPr>
      </w:pPr>
    </w:p>
    <w:p w14:paraId="78A31547" w14:textId="23742BE5" w:rsidR="000D6E9F" w:rsidRDefault="000D6E9F" w:rsidP="000D6E9F">
      <w:pPr>
        <w:spacing w:line="240" w:lineRule="auto"/>
        <w:ind w:right="333"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 xml:space="preserve">atsako dalyviui, ar jis sutinka </w:t>
            </w:r>
            <w:r w:rsidR="000D6E9F" w:rsidRPr="000D6E9F">
              <w:rPr>
                <w:sz w:val="24"/>
                <w:szCs w:val="24"/>
              </w:rPr>
              <w:lastRenderedPageBreak/>
              <w:t>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lastRenderedPageBreak/>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lastRenderedPageBreak/>
              <w:t>7</w:t>
            </w:r>
          </w:p>
        </w:tc>
        <w:tc>
          <w:tcPr>
            <w:tcW w:w="2551" w:type="dxa"/>
          </w:tcPr>
          <w:p w14:paraId="47C2C88C" w14:textId="77777777" w:rsidR="000D6E9F" w:rsidRPr="000D6E9F" w:rsidRDefault="000D6E9F" w:rsidP="000D6E9F">
            <w:pPr>
              <w:rPr>
                <w:sz w:val="24"/>
                <w:szCs w:val="24"/>
              </w:rPr>
            </w:pPr>
            <w:r w:rsidRPr="000D6E9F">
              <w:rPr>
                <w:sz w:val="24"/>
                <w:szCs w:val="24"/>
              </w:rPr>
              <w:t>Pasiūlymo galiojimo užtikrinimas pirkimo dalyviui grąžinamas (arba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privalo išnagrinėti dalyvio pretenziją, priimti motyvuotą sprendimą ir apie jį, taip pat apie anksčiau praneštų pirkimo procedūros terminų pasikeitimą raštu pranešti pretenziją </w:t>
            </w:r>
            <w:r w:rsidRPr="000D6E9F">
              <w:rPr>
                <w:sz w:val="24"/>
                <w:szCs w:val="24"/>
              </w:rPr>
              <w:lastRenderedPageBreak/>
              <w:t>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lastRenderedPageBreak/>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402929A8"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1. Užsakovas: Raseinių rajono savivaldybės administracija, įstaigos kodas 288740810, V. Kudirkos g. 5, 60150 Raseiniai;</w:t>
      </w:r>
    </w:p>
    <w:p w14:paraId="062FF4B7"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2. Statinio projekto pavadinimas: Girkalnio sen. Žvirgždžių k. Kalno g. (kelias 3v116) dalies kapitalinio remonto techninis darbo projektas;</w:t>
      </w:r>
    </w:p>
    <w:p w14:paraId="78CBCC6C"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3. Statinio adresas: Girkalnio sen., Žvirgždžių k., Kalno g. (kelias 3v116);</w:t>
      </w:r>
    </w:p>
    <w:p w14:paraId="3D6E3110"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4. Pirkimo objektas:  Girkalnio sen. Žvirgždžių k. Kalno g. (kelias 3v116) dalies kapitalinio remonto techninio darbo projekto bendroji ekspertizė;</w:t>
      </w:r>
    </w:p>
    <w:p w14:paraId="475D06F5"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5. Statinio paskirtis: Susisiekimo komunikacijos: keliai, gatvės;</w:t>
      </w:r>
    </w:p>
    <w:p w14:paraId="56E0BE2B"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 xml:space="preserve">6. Statinio projekto stadija: Statinio techninis darbo projektas;  </w:t>
      </w:r>
    </w:p>
    <w:p w14:paraId="06EC574F"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7. Statinio statybos rūšis: Statinio kapitalinis remontas;</w:t>
      </w:r>
    </w:p>
    <w:p w14:paraId="33DE2374"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 xml:space="preserve">8. Statinio kategorija: Nesudėtingi statiniai; </w:t>
      </w:r>
    </w:p>
    <w:p w14:paraId="6C02E3FE"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9. Finansavimas: Projektas finansuojamas Kelių priežiūros ir plėtros programos lėšomis;</w:t>
      </w:r>
    </w:p>
    <w:p w14:paraId="45F172B8"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5ACAE8F7"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355829B1" w14:textId="77777777" w:rsidR="00BC2876" w:rsidRPr="00BC2876" w:rsidRDefault="00BC2876" w:rsidP="00BC2876">
      <w:pPr>
        <w:rPr>
          <w:rFonts w:ascii="Times New Roman" w:hAnsi="Times New Roman"/>
          <w:sz w:val="24"/>
          <w:szCs w:val="24"/>
        </w:rPr>
      </w:pPr>
      <w:r w:rsidRPr="00BC2876">
        <w:rPr>
          <w:rFonts w:ascii="Times New Roman" w:hAnsi="Times New Roman"/>
          <w:sz w:val="24"/>
          <w:szCs w:val="24"/>
        </w:rPr>
        <w:t>12. Bendrosios projekto ekspertizės / darbo projekto dalies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2F96C457" w14:textId="77777777" w:rsidR="00275C1D" w:rsidRDefault="00275C1D" w:rsidP="007F187D">
      <w:pPr>
        <w:rPr>
          <w:rFonts w:ascii="Times New Roman" w:hAnsi="Times New Roman"/>
          <w:sz w:val="24"/>
          <w:szCs w:val="24"/>
        </w:rPr>
      </w:pPr>
    </w:p>
    <w:p w14:paraId="45F701A4" w14:textId="77777777" w:rsidR="00275C1D" w:rsidRDefault="00275C1D" w:rsidP="007F187D">
      <w:pPr>
        <w:rPr>
          <w:rFonts w:ascii="Times New Roman" w:hAnsi="Times New Roman"/>
          <w:sz w:val="24"/>
          <w:szCs w:val="24"/>
        </w:rPr>
      </w:pPr>
    </w:p>
    <w:p w14:paraId="3006C7B9" w14:textId="77777777" w:rsidR="00275C1D" w:rsidRDefault="00275C1D"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52A3A486"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00BC2876" w:rsidRPr="00BC2876">
        <w:rPr>
          <w:rFonts w:ascii="Times New Roman" w:hAnsi="Times New Roman"/>
          <w:sz w:val="24"/>
          <w:szCs w:val="24"/>
        </w:rPr>
        <w:t xml:space="preserve">Girkalnio sen. Žvirgždžių k. Kalno g. (kelias 3v116) </w:t>
      </w:r>
      <w:r w:rsidR="00275C1D" w:rsidRPr="00275C1D">
        <w:rPr>
          <w:rFonts w:ascii="Times New Roman" w:hAnsi="Times New Roman"/>
          <w:sz w:val="24"/>
          <w:szCs w:val="24"/>
        </w:rPr>
        <w:t>dalies kapitalinio remonto techninis darbo projektas</w:t>
      </w:r>
      <w:r w:rsidR="00275C1D">
        <w:rPr>
          <w:rFonts w:ascii="Times New Roman" w:hAnsi="Times New Roman"/>
          <w:sz w:val="24"/>
          <w:szCs w:val="24"/>
        </w:rPr>
        <w:t>.</w:t>
      </w:r>
    </w:p>
    <w:p w14:paraId="0FAD1B82" w14:textId="251F376E"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Pr="00275C1D" w:rsidRDefault="005F00BE" w:rsidP="007F187D">
      <w:pPr>
        <w:spacing w:line="276" w:lineRule="auto"/>
        <w:rPr>
          <w:rFonts w:ascii="Times New Roman" w:hAnsi="Times New Roman"/>
          <w:sz w:val="16"/>
          <w:szCs w:val="16"/>
        </w:rPr>
      </w:pPr>
    </w:p>
    <w:p w14:paraId="27EF3B5A" w14:textId="0E57C9E2"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BC2876">
        <w:rPr>
          <w:rFonts w:ascii="Times New Roman" w:hAnsi="Times New Roman"/>
          <w:sz w:val="24"/>
          <w:szCs w:val="24"/>
        </w:rPr>
        <w:t>28</w:t>
      </w:r>
      <w:r w:rsidR="00275C1D">
        <w:rPr>
          <w:rFonts w:ascii="Times New Roman" w:hAnsi="Times New Roman"/>
          <w:sz w:val="24"/>
          <w:szCs w:val="24"/>
        </w:rPr>
        <w:t>0 000,00 Eur su PVM</w:t>
      </w:r>
      <w:r w:rsidRPr="005F00BE">
        <w:rPr>
          <w:rFonts w:ascii="Times New Roman" w:hAnsi="Times New Roman"/>
          <w:sz w:val="24"/>
          <w:szCs w:val="24"/>
        </w:rPr>
        <w:t>.</w:t>
      </w:r>
    </w:p>
    <w:p w14:paraId="03628A25" w14:textId="77777777" w:rsidR="00D23491" w:rsidRDefault="00D23491" w:rsidP="007F187D">
      <w:pPr>
        <w:spacing w:line="276" w:lineRule="auto"/>
        <w:rPr>
          <w:rFonts w:ascii="Times New Roman" w:hAnsi="Times New Roman"/>
          <w:sz w:val="24"/>
          <w:szCs w:val="24"/>
        </w:rPr>
      </w:pPr>
    </w:p>
    <w:tbl>
      <w:tblPr>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5"/>
        <w:gridCol w:w="915"/>
        <w:gridCol w:w="1247"/>
        <w:gridCol w:w="2976"/>
      </w:tblGrid>
      <w:tr w:rsidR="00BC2876" w:rsidRPr="00BC2876" w14:paraId="1636ABA8" w14:textId="77777777" w:rsidTr="00945D14">
        <w:trPr>
          <w:trHeight w:val="533"/>
        </w:trPr>
        <w:tc>
          <w:tcPr>
            <w:tcW w:w="9463" w:type="dxa"/>
            <w:gridSpan w:val="4"/>
            <w:shd w:val="clear" w:color="auto" w:fill="FFFFFF"/>
            <w:vAlign w:val="center"/>
          </w:tcPr>
          <w:p w14:paraId="2690A5D5" w14:textId="77777777" w:rsidR="00BC2876" w:rsidRPr="00BC2876" w:rsidRDefault="00BC2876" w:rsidP="00BC2876">
            <w:pPr>
              <w:spacing w:line="240" w:lineRule="auto"/>
              <w:ind w:firstLine="0"/>
              <w:jc w:val="center"/>
              <w:rPr>
                <w:rFonts w:ascii="Times New Roman" w:eastAsia="Calibri" w:hAnsi="Times New Roman" w:cs="Times New Roman"/>
                <w:b/>
                <w:sz w:val="24"/>
                <w:szCs w:val="24"/>
              </w:rPr>
            </w:pPr>
            <w:r w:rsidRPr="00BC2876">
              <w:rPr>
                <w:rFonts w:ascii="Times New Roman" w:eastAsia="Calibri" w:hAnsi="Times New Roman" w:cs="Times New Roman"/>
                <w:b/>
                <w:sz w:val="24"/>
                <w:szCs w:val="24"/>
              </w:rPr>
              <w:t>BENDRIEJI STATINIŲ RODIKLIAI</w:t>
            </w:r>
          </w:p>
        </w:tc>
      </w:tr>
      <w:tr w:rsidR="00BC2876" w:rsidRPr="00BC2876" w14:paraId="4D93CCEA" w14:textId="77777777" w:rsidTr="00BC2876">
        <w:trPr>
          <w:trHeight w:val="533"/>
        </w:trPr>
        <w:tc>
          <w:tcPr>
            <w:tcW w:w="4325" w:type="dxa"/>
            <w:shd w:val="clear" w:color="auto" w:fill="FFFFFF"/>
          </w:tcPr>
          <w:p w14:paraId="4A640640"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Pavadinimas</w:t>
            </w:r>
          </w:p>
        </w:tc>
        <w:tc>
          <w:tcPr>
            <w:tcW w:w="915" w:type="dxa"/>
            <w:shd w:val="clear" w:color="auto" w:fill="FFFFFF"/>
          </w:tcPr>
          <w:p w14:paraId="7A50A441"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Mato vnt.</w:t>
            </w:r>
          </w:p>
        </w:tc>
        <w:tc>
          <w:tcPr>
            <w:tcW w:w="1247" w:type="dxa"/>
            <w:shd w:val="clear" w:color="auto" w:fill="FFFFFF"/>
          </w:tcPr>
          <w:p w14:paraId="02BA5E1C"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Kiekis</w:t>
            </w:r>
          </w:p>
        </w:tc>
        <w:tc>
          <w:tcPr>
            <w:tcW w:w="2976" w:type="dxa"/>
            <w:shd w:val="clear" w:color="auto" w:fill="FFFFFF"/>
          </w:tcPr>
          <w:p w14:paraId="42B8FB77"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Pastabos</w:t>
            </w:r>
          </w:p>
        </w:tc>
      </w:tr>
      <w:tr w:rsidR="00BC2876" w:rsidRPr="00BC2876" w14:paraId="77FA305F" w14:textId="77777777" w:rsidTr="00BC2876">
        <w:trPr>
          <w:trHeight w:val="465"/>
        </w:trPr>
        <w:tc>
          <w:tcPr>
            <w:tcW w:w="4325" w:type="dxa"/>
            <w:shd w:val="clear" w:color="auto" w:fill="FFFFFF"/>
            <w:vAlign w:val="center"/>
          </w:tcPr>
          <w:p w14:paraId="3A28FED5"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III. SUSIEKIMO KOMUNIKACIJOS: keliai, gatvės</w:t>
            </w:r>
          </w:p>
        </w:tc>
        <w:tc>
          <w:tcPr>
            <w:tcW w:w="915" w:type="dxa"/>
            <w:shd w:val="clear" w:color="auto" w:fill="FFFFFF"/>
          </w:tcPr>
          <w:p w14:paraId="51C4F257"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c>
          <w:tcPr>
            <w:tcW w:w="1247" w:type="dxa"/>
            <w:shd w:val="clear" w:color="auto" w:fill="FFFFFF"/>
          </w:tcPr>
          <w:p w14:paraId="0B91DFF5"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c>
          <w:tcPr>
            <w:tcW w:w="2976" w:type="dxa"/>
            <w:shd w:val="clear" w:color="auto" w:fill="FFFFFF"/>
          </w:tcPr>
          <w:p w14:paraId="76496024"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35B85DF8" w14:textId="77777777" w:rsidTr="00945D14">
        <w:trPr>
          <w:trHeight w:val="446"/>
        </w:trPr>
        <w:tc>
          <w:tcPr>
            <w:tcW w:w="4325" w:type="dxa"/>
            <w:vAlign w:val="center"/>
          </w:tcPr>
          <w:p w14:paraId="541EB0E9"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 Kalno g.</w:t>
            </w:r>
            <w:r w:rsidRPr="00BC2876">
              <w:rPr>
                <w:rFonts w:ascii="Calibri" w:eastAsia="Calibri" w:hAnsi="Calibri" w:cs="Times New Roman"/>
                <w:sz w:val="22"/>
                <w:szCs w:val="22"/>
              </w:rPr>
              <w:t xml:space="preserve"> (</w:t>
            </w:r>
            <w:r w:rsidRPr="00BC2876">
              <w:rPr>
                <w:rFonts w:ascii="Times New Roman" w:eastAsia="Calibri" w:hAnsi="Times New Roman" w:cs="Times New Roman"/>
                <w:sz w:val="24"/>
                <w:szCs w:val="24"/>
              </w:rPr>
              <w:t>kelias 3v116);</w:t>
            </w:r>
          </w:p>
        </w:tc>
        <w:tc>
          <w:tcPr>
            <w:tcW w:w="915" w:type="dxa"/>
            <w:vAlign w:val="center"/>
          </w:tcPr>
          <w:p w14:paraId="3875B2FC"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p>
        </w:tc>
        <w:tc>
          <w:tcPr>
            <w:tcW w:w="1247" w:type="dxa"/>
            <w:vAlign w:val="center"/>
          </w:tcPr>
          <w:p w14:paraId="16604D4F"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p>
        </w:tc>
        <w:tc>
          <w:tcPr>
            <w:tcW w:w="2976" w:type="dxa"/>
            <w:vAlign w:val="center"/>
          </w:tcPr>
          <w:p w14:paraId="0782886C"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 xml:space="preserve">Unik. Nr. </w:t>
            </w:r>
            <w:r w:rsidRPr="00BC2876">
              <w:rPr>
                <w:rFonts w:ascii="Calibri" w:eastAsia="Calibri" w:hAnsi="Calibri" w:cs="Times New Roman"/>
                <w:sz w:val="22"/>
                <w:szCs w:val="22"/>
              </w:rPr>
              <w:t xml:space="preserve"> </w:t>
            </w:r>
            <w:r w:rsidRPr="00BC2876">
              <w:rPr>
                <w:rFonts w:ascii="Times New Roman" w:eastAsia="Calibri" w:hAnsi="Times New Roman" w:cs="Times New Roman"/>
                <w:sz w:val="24"/>
                <w:szCs w:val="24"/>
              </w:rPr>
              <w:t xml:space="preserve">4400-5533-4804 </w:t>
            </w:r>
          </w:p>
        </w:tc>
      </w:tr>
      <w:tr w:rsidR="00BC2876" w:rsidRPr="00BC2876" w14:paraId="78C0C63B" w14:textId="77777777" w:rsidTr="00945D14">
        <w:trPr>
          <w:trHeight w:val="391"/>
        </w:trPr>
        <w:tc>
          <w:tcPr>
            <w:tcW w:w="4325" w:type="dxa"/>
            <w:tcBorders>
              <w:top w:val="single" w:sz="4" w:space="0" w:color="auto"/>
              <w:left w:val="single" w:sz="4" w:space="0" w:color="auto"/>
              <w:bottom w:val="single" w:sz="4" w:space="0" w:color="auto"/>
              <w:right w:val="single" w:sz="4" w:space="0" w:color="auto"/>
            </w:tcBorders>
            <w:vAlign w:val="center"/>
          </w:tcPr>
          <w:p w14:paraId="7CF9B88D" w14:textId="77777777" w:rsidR="00BC2876" w:rsidRPr="00BC2876" w:rsidRDefault="00BC2876" w:rsidP="00BC2876">
            <w:pPr>
              <w:spacing w:line="240" w:lineRule="auto"/>
              <w:ind w:left="360"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1.1. kategorija</w:t>
            </w:r>
          </w:p>
        </w:tc>
        <w:tc>
          <w:tcPr>
            <w:tcW w:w="915" w:type="dxa"/>
            <w:tcBorders>
              <w:top w:val="single" w:sz="4" w:space="0" w:color="auto"/>
              <w:left w:val="single" w:sz="4" w:space="0" w:color="auto"/>
              <w:bottom w:val="single" w:sz="4" w:space="0" w:color="auto"/>
              <w:right w:val="single" w:sz="4" w:space="0" w:color="auto"/>
            </w:tcBorders>
            <w:vAlign w:val="center"/>
          </w:tcPr>
          <w:p w14:paraId="1329E1AD"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vAlign w:val="center"/>
          </w:tcPr>
          <w:p w14:paraId="48C3656A" w14:textId="77777777" w:rsidR="00BC2876" w:rsidRPr="00BC2876" w:rsidRDefault="00BC2876" w:rsidP="00BC2876">
            <w:pPr>
              <w:spacing w:line="240" w:lineRule="auto"/>
              <w:ind w:firstLine="0"/>
              <w:jc w:val="center"/>
              <w:rPr>
                <w:rFonts w:ascii="Times New Roman" w:eastAsia="Calibri" w:hAnsi="Times New Roman" w:cs="Times New Roman"/>
                <w:sz w:val="24"/>
                <w:szCs w:val="24"/>
                <w:vertAlign w:val="subscript"/>
              </w:rPr>
            </w:pPr>
            <w:r w:rsidRPr="00BC2876">
              <w:rPr>
                <w:rFonts w:ascii="Times New Roman" w:eastAsia="Calibri" w:hAnsi="Times New Roman" w:cs="Times New Roman"/>
                <w:sz w:val="24"/>
                <w:szCs w:val="24"/>
              </w:rPr>
              <w:t>II</w:t>
            </w:r>
            <w:r w:rsidRPr="00BC2876">
              <w:rPr>
                <w:rFonts w:ascii="Times New Roman" w:eastAsia="Calibri" w:hAnsi="Times New Roman" w:cs="Times New Roman"/>
                <w:sz w:val="24"/>
                <w:szCs w:val="24"/>
                <w:vertAlign w:val="subscript"/>
              </w:rPr>
              <w:t>v</w:t>
            </w:r>
            <w:r w:rsidRPr="00BC2876">
              <w:rPr>
                <w:rFonts w:ascii="Times New Roman" w:eastAsia="Calibri" w:hAnsi="Times New Roman" w:cs="Times New Roman"/>
                <w:sz w:val="24"/>
                <w:szCs w:val="24"/>
              </w:rPr>
              <w:t xml:space="preserve"> gr. </w:t>
            </w:r>
          </w:p>
        </w:tc>
        <w:tc>
          <w:tcPr>
            <w:tcW w:w="2976" w:type="dxa"/>
          </w:tcPr>
          <w:p w14:paraId="0B167CDC"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3AE065E9" w14:textId="77777777" w:rsidTr="00945D14">
        <w:trPr>
          <w:trHeight w:val="410"/>
        </w:trPr>
        <w:tc>
          <w:tcPr>
            <w:tcW w:w="4325" w:type="dxa"/>
            <w:tcBorders>
              <w:top w:val="single" w:sz="4" w:space="0" w:color="auto"/>
              <w:left w:val="single" w:sz="4" w:space="0" w:color="auto"/>
              <w:bottom w:val="single" w:sz="4" w:space="0" w:color="auto"/>
              <w:right w:val="single" w:sz="4" w:space="0" w:color="auto"/>
            </w:tcBorders>
            <w:vAlign w:val="center"/>
          </w:tcPr>
          <w:p w14:paraId="1681BC1F" w14:textId="77777777" w:rsidR="00BC2876" w:rsidRPr="00BC2876" w:rsidRDefault="00BC2876" w:rsidP="00BC2876">
            <w:pPr>
              <w:spacing w:line="240" w:lineRule="auto"/>
              <w:ind w:left="360"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1.2. ilgis</w:t>
            </w:r>
          </w:p>
        </w:tc>
        <w:tc>
          <w:tcPr>
            <w:tcW w:w="915" w:type="dxa"/>
            <w:tcBorders>
              <w:top w:val="single" w:sz="4" w:space="0" w:color="auto"/>
              <w:left w:val="single" w:sz="4" w:space="0" w:color="auto"/>
              <w:bottom w:val="single" w:sz="4" w:space="0" w:color="auto"/>
              <w:right w:val="single" w:sz="4" w:space="0" w:color="auto"/>
            </w:tcBorders>
            <w:vAlign w:val="center"/>
          </w:tcPr>
          <w:p w14:paraId="0A1AC051"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km</w:t>
            </w:r>
          </w:p>
        </w:tc>
        <w:tc>
          <w:tcPr>
            <w:tcW w:w="1247" w:type="dxa"/>
            <w:tcBorders>
              <w:top w:val="single" w:sz="4" w:space="0" w:color="auto"/>
              <w:left w:val="single" w:sz="4" w:space="0" w:color="auto"/>
              <w:bottom w:val="single" w:sz="4" w:space="0" w:color="auto"/>
              <w:right w:val="single" w:sz="4" w:space="0" w:color="auto"/>
            </w:tcBorders>
            <w:vAlign w:val="center"/>
          </w:tcPr>
          <w:p w14:paraId="3F5088BE"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 xml:space="preserve">     3,22</w:t>
            </w:r>
          </w:p>
        </w:tc>
        <w:tc>
          <w:tcPr>
            <w:tcW w:w="2976" w:type="dxa"/>
          </w:tcPr>
          <w:p w14:paraId="0F9AA609"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Remontuojama kelio dalis – Kalno g. 0,489 km</w:t>
            </w:r>
          </w:p>
        </w:tc>
      </w:tr>
      <w:tr w:rsidR="00BC2876" w:rsidRPr="00BC2876" w14:paraId="720B2CE3" w14:textId="77777777" w:rsidTr="00945D14">
        <w:trPr>
          <w:trHeight w:val="416"/>
        </w:trPr>
        <w:tc>
          <w:tcPr>
            <w:tcW w:w="4325" w:type="dxa"/>
            <w:tcBorders>
              <w:top w:val="single" w:sz="4" w:space="0" w:color="auto"/>
              <w:left w:val="single" w:sz="4" w:space="0" w:color="auto"/>
              <w:bottom w:val="single" w:sz="4" w:space="0" w:color="auto"/>
              <w:right w:val="single" w:sz="4" w:space="0" w:color="auto"/>
            </w:tcBorders>
            <w:vAlign w:val="center"/>
          </w:tcPr>
          <w:p w14:paraId="4DB26FCA" w14:textId="77777777" w:rsidR="00BC2876" w:rsidRPr="00BC2876" w:rsidRDefault="00BC2876" w:rsidP="00BC2876">
            <w:pPr>
              <w:spacing w:line="240" w:lineRule="auto"/>
              <w:ind w:left="360"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1.3. važiuojamosios dalies plotis</w:t>
            </w:r>
          </w:p>
        </w:tc>
        <w:tc>
          <w:tcPr>
            <w:tcW w:w="915" w:type="dxa"/>
            <w:tcBorders>
              <w:top w:val="single" w:sz="4" w:space="0" w:color="auto"/>
              <w:left w:val="single" w:sz="4" w:space="0" w:color="auto"/>
              <w:bottom w:val="single" w:sz="4" w:space="0" w:color="auto"/>
              <w:right w:val="single" w:sz="4" w:space="0" w:color="auto"/>
            </w:tcBorders>
            <w:vAlign w:val="center"/>
          </w:tcPr>
          <w:p w14:paraId="5177718C"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m</w:t>
            </w:r>
          </w:p>
        </w:tc>
        <w:tc>
          <w:tcPr>
            <w:tcW w:w="1247" w:type="dxa"/>
            <w:tcBorders>
              <w:top w:val="single" w:sz="4" w:space="0" w:color="auto"/>
              <w:left w:val="single" w:sz="4" w:space="0" w:color="auto"/>
              <w:bottom w:val="single" w:sz="4" w:space="0" w:color="auto"/>
              <w:right w:val="single" w:sz="4" w:space="0" w:color="auto"/>
            </w:tcBorders>
            <w:vAlign w:val="center"/>
          </w:tcPr>
          <w:p w14:paraId="6E4BE78A"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4,5</w:t>
            </w:r>
          </w:p>
        </w:tc>
        <w:tc>
          <w:tcPr>
            <w:tcW w:w="2976" w:type="dxa"/>
          </w:tcPr>
          <w:p w14:paraId="70FE979C"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3E03C5AA" w14:textId="77777777" w:rsidTr="00945D14">
        <w:trPr>
          <w:trHeight w:val="409"/>
        </w:trPr>
        <w:tc>
          <w:tcPr>
            <w:tcW w:w="4325" w:type="dxa"/>
            <w:tcBorders>
              <w:top w:val="single" w:sz="4" w:space="0" w:color="auto"/>
              <w:left w:val="single" w:sz="4" w:space="0" w:color="auto"/>
              <w:bottom w:val="single" w:sz="4" w:space="0" w:color="auto"/>
              <w:right w:val="single" w:sz="4" w:space="0" w:color="auto"/>
            </w:tcBorders>
            <w:vAlign w:val="center"/>
          </w:tcPr>
          <w:p w14:paraId="31C5EBFD" w14:textId="77777777" w:rsidR="00BC2876" w:rsidRPr="00BC2876" w:rsidRDefault="00BC2876" w:rsidP="00BC2876">
            <w:pPr>
              <w:spacing w:line="240" w:lineRule="auto"/>
              <w:ind w:left="360"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1.4. eismo juostų skaičius</w:t>
            </w:r>
          </w:p>
        </w:tc>
        <w:tc>
          <w:tcPr>
            <w:tcW w:w="915" w:type="dxa"/>
            <w:tcBorders>
              <w:top w:val="single" w:sz="4" w:space="0" w:color="auto"/>
              <w:left w:val="single" w:sz="4" w:space="0" w:color="auto"/>
              <w:bottom w:val="single" w:sz="4" w:space="0" w:color="auto"/>
              <w:right w:val="single" w:sz="4" w:space="0" w:color="auto"/>
            </w:tcBorders>
            <w:vAlign w:val="center"/>
          </w:tcPr>
          <w:p w14:paraId="10FB1591"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 xml:space="preserve">vnt. </w:t>
            </w:r>
          </w:p>
        </w:tc>
        <w:tc>
          <w:tcPr>
            <w:tcW w:w="1247" w:type="dxa"/>
            <w:tcBorders>
              <w:top w:val="single" w:sz="4" w:space="0" w:color="auto"/>
              <w:left w:val="single" w:sz="4" w:space="0" w:color="auto"/>
              <w:bottom w:val="single" w:sz="4" w:space="0" w:color="auto"/>
              <w:right w:val="single" w:sz="4" w:space="0" w:color="auto"/>
            </w:tcBorders>
            <w:vAlign w:val="center"/>
          </w:tcPr>
          <w:p w14:paraId="0B770830"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1</w:t>
            </w:r>
          </w:p>
        </w:tc>
        <w:tc>
          <w:tcPr>
            <w:tcW w:w="2976" w:type="dxa"/>
          </w:tcPr>
          <w:p w14:paraId="7081C8DD"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162FA2C2" w14:textId="77777777" w:rsidTr="00945D14">
        <w:trPr>
          <w:trHeight w:val="415"/>
        </w:trPr>
        <w:tc>
          <w:tcPr>
            <w:tcW w:w="4325" w:type="dxa"/>
            <w:tcBorders>
              <w:top w:val="single" w:sz="4" w:space="0" w:color="auto"/>
              <w:left w:val="single" w:sz="4" w:space="0" w:color="auto"/>
              <w:bottom w:val="single" w:sz="4" w:space="0" w:color="auto"/>
              <w:right w:val="single" w:sz="4" w:space="0" w:color="auto"/>
            </w:tcBorders>
            <w:vAlign w:val="center"/>
          </w:tcPr>
          <w:p w14:paraId="31C2DC81" w14:textId="77777777" w:rsidR="00BC2876" w:rsidRPr="00BC2876" w:rsidRDefault="00BC2876" w:rsidP="00BC2876">
            <w:pPr>
              <w:spacing w:line="240" w:lineRule="auto"/>
              <w:ind w:left="360"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1.5. eismo juostų plotis</w:t>
            </w:r>
          </w:p>
        </w:tc>
        <w:tc>
          <w:tcPr>
            <w:tcW w:w="915" w:type="dxa"/>
            <w:tcBorders>
              <w:top w:val="single" w:sz="4" w:space="0" w:color="auto"/>
              <w:left w:val="single" w:sz="4" w:space="0" w:color="auto"/>
              <w:bottom w:val="single" w:sz="4" w:space="0" w:color="auto"/>
              <w:right w:val="single" w:sz="4" w:space="0" w:color="auto"/>
            </w:tcBorders>
            <w:vAlign w:val="center"/>
          </w:tcPr>
          <w:p w14:paraId="1B922139"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m</w:t>
            </w:r>
          </w:p>
        </w:tc>
        <w:tc>
          <w:tcPr>
            <w:tcW w:w="1247" w:type="dxa"/>
            <w:tcBorders>
              <w:top w:val="single" w:sz="4" w:space="0" w:color="auto"/>
              <w:left w:val="single" w:sz="4" w:space="0" w:color="auto"/>
              <w:bottom w:val="single" w:sz="4" w:space="0" w:color="auto"/>
              <w:right w:val="single" w:sz="4" w:space="0" w:color="auto"/>
            </w:tcBorders>
            <w:vAlign w:val="center"/>
          </w:tcPr>
          <w:p w14:paraId="501151CF"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4,5</w:t>
            </w:r>
          </w:p>
        </w:tc>
        <w:tc>
          <w:tcPr>
            <w:tcW w:w="2976" w:type="dxa"/>
          </w:tcPr>
          <w:p w14:paraId="437C64B1"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bl>
    <w:p w14:paraId="15D7815B" w14:textId="77777777" w:rsidR="00275C1D" w:rsidRDefault="00275C1D" w:rsidP="007F187D">
      <w:pPr>
        <w:spacing w:line="276" w:lineRule="auto"/>
        <w:rPr>
          <w:rFonts w:ascii="Times New Roman" w:hAnsi="Times New Roman"/>
          <w:sz w:val="24"/>
          <w:szCs w:val="24"/>
        </w:rPr>
      </w:pPr>
    </w:p>
    <w:p w14:paraId="078A36E9" w14:textId="77777777" w:rsidR="00275C1D" w:rsidRDefault="00275C1D" w:rsidP="007F187D">
      <w:pPr>
        <w:spacing w:line="276" w:lineRule="auto"/>
        <w:rPr>
          <w:rFonts w:ascii="Times New Roman" w:hAnsi="Times New Roman"/>
          <w:sz w:val="24"/>
          <w:szCs w:val="24"/>
        </w:rPr>
      </w:pPr>
    </w:p>
    <w:p w14:paraId="1D380E1A" w14:textId="5E3A5778" w:rsidR="007F187D" w:rsidRPr="00275C1D" w:rsidRDefault="007F187D" w:rsidP="00CB2E8D">
      <w:pPr>
        <w:rPr>
          <w:rFonts w:ascii="Times New Roman" w:hAnsi="Times New Roman" w:cs="Times New Roman"/>
          <w:b/>
          <w:sz w:val="24"/>
          <w:szCs w:val="24"/>
        </w:rPr>
      </w:pPr>
      <w:r w:rsidRPr="00C56636">
        <w:rPr>
          <w:rFonts w:ascii="Times New Roman" w:hAnsi="Times New Roman"/>
          <w:sz w:val="24"/>
          <w:szCs w:val="24"/>
        </w:rPr>
        <w:t xml:space="preserve"> </w:t>
      </w:r>
      <w:r>
        <w:rPr>
          <w:rFonts w:ascii="Arial" w:hAnsi="Arial" w:cs="Arial"/>
          <w:sz w:val="24"/>
          <w:szCs w:val="24"/>
        </w:rPr>
        <w:t xml:space="preserve">                              </w:t>
      </w:r>
      <w:r w:rsidRPr="00275C1D">
        <w:rPr>
          <w:rFonts w:ascii="Times New Roman" w:hAnsi="Times New Roman" w:cs="Times New Roman"/>
          <w:b/>
          <w:sz w:val="24"/>
          <w:szCs w:val="24"/>
        </w:rPr>
        <w:t>STATINIO</w:t>
      </w:r>
      <w:r w:rsidRPr="00275C1D">
        <w:rPr>
          <w:rFonts w:ascii="Times New Roman" w:hAnsi="Times New Roman" w:cs="Times New Roman"/>
          <w:b/>
          <w:spacing w:val="8"/>
          <w:sz w:val="24"/>
          <w:szCs w:val="24"/>
        </w:rPr>
        <w:t xml:space="preserve"> </w:t>
      </w:r>
      <w:r w:rsidRPr="00275C1D">
        <w:rPr>
          <w:rFonts w:ascii="Times New Roman" w:hAnsi="Times New Roman" w:cs="Times New Roman"/>
          <w:b/>
          <w:sz w:val="24"/>
          <w:szCs w:val="24"/>
        </w:rPr>
        <w:t>PROJEKTO</w:t>
      </w:r>
      <w:r w:rsidRPr="00275C1D">
        <w:rPr>
          <w:rFonts w:ascii="Times New Roman" w:hAnsi="Times New Roman" w:cs="Times New Roman"/>
          <w:b/>
          <w:spacing w:val="10"/>
          <w:sz w:val="24"/>
          <w:szCs w:val="24"/>
        </w:rPr>
        <w:t xml:space="preserve"> </w:t>
      </w:r>
      <w:r w:rsidRPr="00275C1D">
        <w:rPr>
          <w:rFonts w:ascii="Times New Roman" w:hAnsi="Times New Roman" w:cs="Times New Roman"/>
          <w:b/>
          <w:sz w:val="24"/>
          <w:szCs w:val="24"/>
        </w:rPr>
        <w:t>SUDĖTIES</w:t>
      </w:r>
      <w:r w:rsidRPr="00275C1D">
        <w:rPr>
          <w:rFonts w:ascii="Times New Roman" w:hAnsi="Times New Roman" w:cs="Times New Roman"/>
          <w:b/>
          <w:spacing w:val="14"/>
          <w:sz w:val="24"/>
          <w:szCs w:val="24"/>
        </w:rPr>
        <w:t xml:space="preserve"> </w:t>
      </w:r>
      <w:r w:rsidRPr="00275C1D">
        <w:rPr>
          <w:rFonts w:ascii="Times New Roman" w:hAnsi="Times New Roman" w:cs="Times New Roman"/>
          <w:b/>
          <w:spacing w:val="-2"/>
          <w:sz w:val="24"/>
          <w:szCs w:val="24"/>
        </w:rPr>
        <w:t>ŽINIARAŠTIS</w:t>
      </w:r>
    </w:p>
    <w:tbl>
      <w:tblPr>
        <w:tblW w:w="9356" w:type="dxa"/>
        <w:tblInd w:w="589"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51"/>
        <w:gridCol w:w="2268"/>
        <w:gridCol w:w="5018"/>
        <w:gridCol w:w="1219"/>
      </w:tblGrid>
      <w:tr w:rsidR="00BC2876" w:rsidRPr="00BC2876" w14:paraId="45D4211A" w14:textId="77777777" w:rsidTr="00BC2876">
        <w:trPr>
          <w:trHeight w:val="606"/>
        </w:trPr>
        <w:tc>
          <w:tcPr>
            <w:tcW w:w="851" w:type="dxa"/>
            <w:vAlign w:val="center"/>
          </w:tcPr>
          <w:p w14:paraId="721EA405"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Bylos tomas</w:t>
            </w:r>
          </w:p>
        </w:tc>
        <w:tc>
          <w:tcPr>
            <w:tcW w:w="2268" w:type="dxa"/>
            <w:vAlign w:val="center"/>
          </w:tcPr>
          <w:p w14:paraId="1C87445C"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Bylos žymuo</w:t>
            </w:r>
          </w:p>
        </w:tc>
        <w:tc>
          <w:tcPr>
            <w:tcW w:w="5018" w:type="dxa"/>
            <w:vAlign w:val="center"/>
          </w:tcPr>
          <w:p w14:paraId="0C5650AC"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Pavadinimas</w:t>
            </w:r>
          </w:p>
        </w:tc>
        <w:tc>
          <w:tcPr>
            <w:tcW w:w="1219" w:type="dxa"/>
            <w:vAlign w:val="center"/>
          </w:tcPr>
          <w:p w14:paraId="66618264" w14:textId="77777777" w:rsidR="00BC2876" w:rsidRPr="00BC2876" w:rsidRDefault="00BC2876" w:rsidP="00BC2876">
            <w:pPr>
              <w:spacing w:line="240" w:lineRule="auto"/>
              <w:ind w:firstLine="0"/>
              <w:jc w:val="left"/>
              <w:rPr>
                <w:rFonts w:ascii="Times New Roman" w:eastAsia="Calibri" w:hAnsi="Times New Roman" w:cs="Times New Roman"/>
                <w:b/>
                <w:sz w:val="24"/>
                <w:szCs w:val="24"/>
              </w:rPr>
            </w:pPr>
            <w:r w:rsidRPr="00BC2876">
              <w:rPr>
                <w:rFonts w:ascii="Times New Roman" w:eastAsia="Calibri" w:hAnsi="Times New Roman" w:cs="Times New Roman"/>
                <w:b/>
                <w:sz w:val="24"/>
                <w:szCs w:val="24"/>
              </w:rPr>
              <w:t>Pastabos</w:t>
            </w:r>
          </w:p>
        </w:tc>
      </w:tr>
      <w:tr w:rsidR="00BC2876" w:rsidRPr="00BC2876" w14:paraId="7F58DB6D" w14:textId="77777777" w:rsidTr="00BC2876">
        <w:trPr>
          <w:trHeight w:val="416"/>
        </w:trPr>
        <w:tc>
          <w:tcPr>
            <w:tcW w:w="851" w:type="dxa"/>
            <w:vAlign w:val="center"/>
          </w:tcPr>
          <w:p w14:paraId="7606B610"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1.</w:t>
            </w:r>
          </w:p>
        </w:tc>
        <w:tc>
          <w:tcPr>
            <w:tcW w:w="2268" w:type="dxa"/>
            <w:vAlign w:val="center"/>
          </w:tcPr>
          <w:p w14:paraId="7A8378EC"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GI2430-TDP-B</w:t>
            </w:r>
          </w:p>
        </w:tc>
        <w:tc>
          <w:tcPr>
            <w:tcW w:w="5018" w:type="dxa"/>
            <w:vAlign w:val="center"/>
          </w:tcPr>
          <w:p w14:paraId="20C2F258"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Bendroji dalis</w:t>
            </w:r>
          </w:p>
        </w:tc>
        <w:tc>
          <w:tcPr>
            <w:tcW w:w="1219" w:type="dxa"/>
          </w:tcPr>
          <w:p w14:paraId="71D7D024"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1485BCE2" w14:textId="77777777" w:rsidTr="00BC2876">
        <w:trPr>
          <w:trHeight w:val="412"/>
        </w:trPr>
        <w:tc>
          <w:tcPr>
            <w:tcW w:w="851" w:type="dxa"/>
            <w:vAlign w:val="center"/>
          </w:tcPr>
          <w:p w14:paraId="0EE6E999"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2.</w:t>
            </w:r>
          </w:p>
        </w:tc>
        <w:tc>
          <w:tcPr>
            <w:tcW w:w="2268" w:type="dxa"/>
            <w:vAlign w:val="center"/>
          </w:tcPr>
          <w:p w14:paraId="4B9C55F1"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GI2430-TDP-S</w:t>
            </w:r>
          </w:p>
        </w:tc>
        <w:tc>
          <w:tcPr>
            <w:tcW w:w="5018" w:type="dxa"/>
            <w:vAlign w:val="center"/>
          </w:tcPr>
          <w:p w14:paraId="4799E3B4"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Susisiekimo dalis</w:t>
            </w:r>
          </w:p>
        </w:tc>
        <w:tc>
          <w:tcPr>
            <w:tcW w:w="1219" w:type="dxa"/>
          </w:tcPr>
          <w:p w14:paraId="75C15278"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r w:rsidR="00BC2876" w:rsidRPr="00BC2876" w14:paraId="2F94E000" w14:textId="77777777" w:rsidTr="00BC2876">
        <w:trPr>
          <w:trHeight w:val="609"/>
        </w:trPr>
        <w:tc>
          <w:tcPr>
            <w:tcW w:w="851" w:type="dxa"/>
            <w:vAlign w:val="center"/>
          </w:tcPr>
          <w:p w14:paraId="69ABE42B" w14:textId="77777777" w:rsidR="00BC2876" w:rsidRPr="00BC2876" w:rsidRDefault="00BC2876" w:rsidP="00BC2876">
            <w:pPr>
              <w:spacing w:line="240" w:lineRule="auto"/>
              <w:ind w:firstLine="0"/>
              <w:jc w:val="center"/>
              <w:rPr>
                <w:rFonts w:ascii="Times New Roman" w:eastAsia="Calibri" w:hAnsi="Times New Roman" w:cs="Times New Roman"/>
                <w:sz w:val="24"/>
                <w:szCs w:val="24"/>
              </w:rPr>
            </w:pPr>
            <w:r w:rsidRPr="00BC2876">
              <w:rPr>
                <w:rFonts w:ascii="Times New Roman" w:eastAsia="Calibri" w:hAnsi="Times New Roman" w:cs="Times New Roman"/>
                <w:sz w:val="24"/>
                <w:szCs w:val="24"/>
              </w:rPr>
              <w:t>3.</w:t>
            </w:r>
          </w:p>
        </w:tc>
        <w:tc>
          <w:tcPr>
            <w:tcW w:w="2268" w:type="dxa"/>
            <w:vAlign w:val="center"/>
          </w:tcPr>
          <w:p w14:paraId="025D3D10"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GI2430-TDP -KS</w:t>
            </w:r>
          </w:p>
        </w:tc>
        <w:tc>
          <w:tcPr>
            <w:tcW w:w="5018" w:type="dxa"/>
            <w:vAlign w:val="center"/>
          </w:tcPr>
          <w:p w14:paraId="4DFC3074"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r w:rsidRPr="00BC2876">
              <w:rPr>
                <w:rFonts w:ascii="Times New Roman" w:eastAsia="Calibri" w:hAnsi="Times New Roman" w:cs="Times New Roman"/>
                <w:sz w:val="24"/>
                <w:szCs w:val="24"/>
              </w:rPr>
              <w:t>Statybos skaičiuojamos kainos nustatymo dalis</w:t>
            </w:r>
          </w:p>
        </w:tc>
        <w:tc>
          <w:tcPr>
            <w:tcW w:w="1219" w:type="dxa"/>
          </w:tcPr>
          <w:p w14:paraId="5EDBC156" w14:textId="77777777" w:rsidR="00BC2876" w:rsidRPr="00BC2876" w:rsidRDefault="00BC2876" w:rsidP="00BC2876">
            <w:pPr>
              <w:spacing w:line="240" w:lineRule="auto"/>
              <w:ind w:firstLine="0"/>
              <w:jc w:val="left"/>
              <w:rPr>
                <w:rFonts w:ascii="Times New Roman" w:eastAsia="Calibri" w:hAnsi="Times New Roman" w:cs="Times New Roman"/>
                <w:sz w:val="24"/>
                <w:szCs w:val="24"/>
              </w:rPr>
            </w:pPr>
          </w:p>
        </w:tc>
      </w:tr>
    </w:tbl>
    <w:p w14:paraId="0A81C69A" w14:textId="77777777" w:rsidR="007F187D" w:rsidRPr="00CB2E8D" w:rsidRDefault="007F187D" w:rsidP="007F187D">
      <w:pPr>
        <w:rPr>
          <w:rFonts w:ascii="Times New Roman" w:hAnsi="Times New Roman"/>
          <w:sz w:val="16"/>
          <w:szCs w:val="16"/>
        </w:rPr>
      </w:pPr>
    </w:p>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423F3C81"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BC2876" w:rsidRPr="00BC2876">
        <w:rPr>
          <w:rFonts w:ascii="Times New Roman" w:hAnsi="Times New Roman"/>
          <w:b/>
          <w:sz w:val="24"/>
          <w:szCs w:val="24"/>
          <w:lang w:eastAsia="en-US"/>
        </w:rPr>
        <w:t xml:space="preserve">GIRKALNIO SEN. ŽVIRGŽDŽIŲ K. KALNO G. (KELIAS 3v116) </w:t>
      </w:r>
      <w:r w:rsidR="005C4B4C" w:rsidRPr="005C4B4C">
        <w:rPr>
          <w:rFonts w:ascii="Times New Roman" w:hAnsi="Times New Roman"/>
          <w:b/>
          <w:sz w:val="24"/>
          <w:szCs w:val="24"/>
          <w:lang w:eastAsia="en-US"/>
        </w:rPr>
        <w:t xml:space="preserve">DALIES KAPITALINIO REMONTO </w:t>
      </w:r>
      <w:r w:rsidR="00E86951">
        <w:rPr>
          <w:rFonts w:ascii="Times New Roman" w:hAnsi="Times New Roman"/>
          <w:b/>
          <w:sz w:val="24"/>
          <w:szCs w:val="24"/>
          <w:lang w:eastAsia="en-US"/>
        </w:rPr>
        <w:t>PROJEKTO BENDROSIOS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lastRenderedPageBreak/>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(kvazisubtiekėjus)***:</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Kvazisubtiekėjas</w:t>
      </w:r>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Eeil.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5C4B4C">
        <w:trPr>
          <w:trHeight w:val="25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9F6468" w14:textId="0F27FBE2" w:rsidR="00581595" w:rsidRDefault="00142A3C" w:rsidP="005C4B4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1680DA3C" w14:textId="77777777" w:rsidR="00142A3C" w:rsidRDefault="00142A3C" w:rsidP="005C4B4C">
            <w:pPr>
              <w:tabs>
                <w:tab w:val="left" w:leader="underscore" w:pos="6293"/>
                <w:tab w:val="left" w:leader="underscore" w:pos="8453"/>
              </w:tabs>
              <w:jc w:val="center"/>
              <w:rPr>
                <w:rFonts w:hAnsi="Times New Roman"/>
                <w:b/>
                <w:bCs/>
                <w:i/>
                <w:lang w:eastAsia="en-GB"/>
              </w:rPr>
            </w:pPr>
          </w:p>
          <w:p w14:paraId="20DBF48D" w14:textId="3D9BA11E"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04CB8B6" w14:textId="77777777" w:rsidR="00142A3C" w:rsidRDefault="00142A3C" w:rsidP="005C4B4C">
            <w:pPr>
              <w:tabs>
                <w:tab w:val="left" w:leader="underscore" w:pos="6293"/>
                <w:tab w:val="left" w:leader="underscore" w:pos="8453"/>
              </w:tabs>
              <w:jc w:val="center"/>
              <w:rPr>
                <w:rFonts w:hAnsi="Times New Roman"/>
                <w:b/>
                <w:bCs/>
                <w:i/>
                <w:lang w:eastAsia="en-GB"/>
              </w:rPr>
            </w:pPr>
          </w:p>
          <w:p w14:paraId="314187FC" w14:textId="5BE5FF83" w:rsidR="00581595" w:rsidRDefault="00581595" w:rsidP="005C4B4C">
            <w:pPr>
              <w:tabs>
                <w:tab w:val="left" w:leader="underscore" w:pos="6293"/>
                <w:tab w:val="left" w:leader="underscore" w:pos="8453"/>
              </w:tabs>
              <w:ind w:firstLine="0"/>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vAlign w:val="center"/>
            <w:hideMark/>
          </w:tcPr>
          <w:p w14:paraId="31545324" w14:textId="77777777" w:rsidR="00142A3C" w:rsidRDefault="00142A3C" w:rsidP="005C4B4C">
            <w:pPr>
              <w:tabs>
                <w:tab w:val="left" w:leader="underscore" w:pos="6293"/>
                <w:tab w:val="left" w:leader="underscore" w:pos="8453"/>
              </w:tabs>
              <w:jc w:val="center"/>
              <w:rPr>
                <w:rFonts w:hAnsi="Times New Roman"/>
                <w:b/>
                <w:bCs/>
                <w:i/>
                <w:lang w:eastAsia="en-GB"/>
              </w:rPr>
            </w:pPr>
          </w:p>
          <w:p w14:paraId="3A0AA251" w14:textId="3A56DC75"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C1F80F9" w14:textId="77777777" w:rsidR="00142A3C" w:rsidRDefault="00142A3C" w:rsidP="005C4B4C">
            <w:pPr>
              <w:tabs>
                <w:tab w:val="left" w:leader="underscore" w:pos="6293"/>
                <w:tab w:val="left" w:leader="underscore" w:pos="8453"/>
              </w:tabs>
              <w:jc w:val="center"/>
              <w:rPr>
                <w:rFonts w:hAnsi="Times New Roman"/>
                <w:b/>
                <w:bCs/>
                <w:i/>
                <w:lang w:eastAsia="en-GB"/>
              </w:rPr>
            </w:pPr>
          </w:p>
          <w:p w14:paraId="4501DA1D" w14:textId="0B064F5E"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44BB267A" w:rsidR="00581595" w:rsidRPr="00581595" w:rsidRDefault="00BC2876" w:rsidP="00581595">
            <w:pPr>
              <w:tabs>
                <w:tab w:val="left" w:leader="underscore" w:pos="6293"/>
                <w:tab w:val="left" w:leader="underscore" w:pos="8453"/>
              </w:tabs>
              <w:ind w:firstLine="0"/>
              <w:rPr>
                <w:rFonts w:hAnsi="Times New Roman"/>
                <w:sz w:val="24"/>
                <w:szCs w:val="24"/>
                <w:lang w:eastAsia="en-GB"/>
              </w:rPr>
            </w:pPr>
            <w:r w:rsidRPr="00BC2876">
              <w:rPr>
                <w:rFonts w:hAnsi="Times New Roman"/>
                <w:sz w:val="24"/>
                <w:szCs w:val="24"/>
              </w:rPr>
              <w:t xml:space="preserve">Girkalnio sen. Žvirgždžių k. Kalno g. (kelias 3v116) </w:t>
            </w:r>
            <w:r w:rsidR="005C4B4C" w:rsidRPr="00275C1D">
              <w:rPr>
                <w:rFonts w:hAnsi="Times New Roman"/>
                <w:sz w:val="24"/>
                <w:szCs w:val="24"/>
              </w:rPr>
              <w:t xml:space="preserve">dalies kapitalinio remonto </w:t>
            </w:r>
            <w:r w:rsidR="00581595" w:rsidRPr="00581595">
              <w:rPr>
                <w:rFonts w:eastAsia="Times New Roman" w:hAnsi="Times New Roman"/>
                <w:sz w:val="24"/>
                <w:szCs w:val="24"/>
              </w:rPr>
              <w:t>projekto ekspertizė</w:t>
            </w:r>
            <w:r w:rsidR="001160A4">
              <w:rPr>
                <w:rFonts w:eastAsia="Times New Roman" w:hAnsi="Times New Roman"/>
                <w:sz w:val="24"/>
                <w:szCs w:val="24"/>
              </w:rPr>
              <w:t>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lastRenderedPageBreak/>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(-os) (atstovaujamo (-os))_______________________________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(-ios)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5C4B4C">
      <w:pPr>
        <w:pStyle w:val="Betarp"/>
        <w:numPr>
          <w:ilvl w:val="0"/>
          <w:numId w:val="11"/>
        </w:numPr>
        <w:tabs>
          <w:tab w:val="clear" w:pos="1440"/>
          <w:tab w:val="num" w:pos="851"/>
        </w:tabs>
        <w:spacing w:line="276" w:lineRule="auto"/>
        <w:ind w:hanging="873"/>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5C4B4C">
      <w:pPr>
        <w:pStyle w:val="Betarp"/>
        <w:tabs>
          <w:tab w:val="left" w:pos="630"/>
          <w:tab w:val="num" w:pos="1350"/>
        </w:tabs>
        <w:spacing w:line="276" w:lineRule="auto"/>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502DDBCB" w:rsidR="007E77F4" w:rsidRPr="005C4B4C" w:rsidRDefault="005C4B4C" w:rsidP="005C4B4C">
      <w:pPr>
        <w:tabs>
          <w:tab w:val="left" w:pos="567"/>
        </w:tabs>
        <w:snapToGrid w:val="0"/>
        <w:spacing w:line="276" w:lineRule="auto"/>
        <w:ind w:right="-1"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007E77F4" w:rsidRPr="005C4B4C">
        <w:rPr>
          <w:rFonts w:ascii="Times New Roman" w:hAnsi="Times New Roman" w:cs="Times New Roman"/>
          <w:spacing w:val="-2"/>
          <w:sz w:val="24"/>
          <w:szCs w:val="24"/>
        </w:rPr>
        <w:t>3. Tiekėjas</w:t>
      </w:r>
      <w:r w:rsidR="007E77F4" w:rsidRPr="005C4B4C">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5C4B4C">
      <w:pPr>
        <w:spacing w:line="276" w:lineRule="auto"/>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6213B3F8" w14:textId="28EC22E9" w:rsidR="00E8267A" w:rsidRDefault="00E8267A" w:rsidP="00112F92">
      <w:pPr>
        <w:spacing w:line="240" w:lineRule="auto"/>
        <w:ind w:left="7314" w:firstLine="0"/>
        <w:rPr>
          <w:rFonts w:cstheme="minorHAnsi"/>
        </w:rPr>
      </w:pPr>
    </w:p>
    <w:p w14:paraId="68FEB199" w14:textId="77777777" w:rsidR="00EA4C45" w:rsidRDefault="00EA4C45"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6AF73F2B"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 xml:space="preserve">Pirkimo sutartis Nr. </w:t>
      </w:r>
      <w:r w:rsidR="00ED27D1">
        <w:rPr>
          <w:rFonts w:ascii="Times New Roman" w:eastAsia="Calibri" w:hAnsi="Times New Roman" w:cs="Times New Roman"/>
          <w:b/>
          <w:sz w:val="28"/>
          <w:szCs w:val="28"/>
        </w:rPr>
        <w:t xml:space="preserve">KF-38E / </w:t>
      </w:r>
      <w:r w:rsidRPr="00EA4C45">
        <w:rPr>
          <w:rFonts w:ascii="Times New Roman" w:eastAsia="Calibri" w:hAnsi="Times New Roman" w:cs="Times New Roman"/>
          <w:b/>
          <w:sz w:val="28"/>
          <w:szCs w:val="28"/>
        </w:rPr>
        <w:t>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6CFEE57B"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BC2876" w:rsidRPr="00BC2876">
        <w:rPr>
          <w:rFonts w:ascii="Times New Roman" w:eastAsia="Calibri" w:hAnsi="Times New Roman" w:cs="Arial"/>
          <w:b/>
          <w:color w:val="000000"/>
          <w:sz w:val="24"/>
          <w:szCs w:val="24"/>
        </w:rPr>
        <w:t xml:space="preserve">Girkalnio sen. Žvirgždžių k. Kalno g. (kelias 3v116) </w:t>
      </w:r>
      <w:r w:rsidR="005C4B4C" w:rsidRPr="005C4B4C">
        <w:rPr>
          <w:rFonts w:ascii="Times New Roman" w:eastAsia="Calibri" w:hAnsi="Times New Roman" w:cs="Arial"/>
          <w:b/>
          <w:color w:val="000000"/>
          <w:sz w:val="24"/>
          <w:szCs w:val="24"/>
        </w:rPr>
        <w:t xml:space="preserve">dalies kapitalinio remonto </w:t>
      </w:r>
      <w:r w:rsidRPr="00EA4C45">
        <w:rPr>
          <w:rFonts w:ascii="Times New Roman" w:eastAsia="Calibri" w:hAnsi="Times New Roman" w:cs="Arial"/>
          <w:b/>
          <w:iCs/>
          <w:sz w:val="24"/>
          <w:szCs w:val="24"/>
        </w:rPr>
        <w:t xml:space="preserve">projekto bendrosios ekspertizės 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(-us) subtiekėją (-us)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4.6.1. jeigu TIEKĖJAS pateikia UŽSAKOVUI projekto ekspertizės pastabas, pagal kurias projektas turi būti pataisytas, TIEKĖJAS turi teisę kartu su šiomis pastabomis pateikti UŽSAKOVUI tarpinį Paslaugų perdavimo </w:t>
      </w:r>
      <w:r w:rsidRPr="00EA4C45">
        <w:rPr>
          <w:rFonts w:ascii="Times New Roman" w:eastAsia="Calibri" w:hAnsi="Times New Roman" w:cs="Times New Roman"/>
          <w:sz w:val="24"/>
          <w:szCs w:val="24"/>
        </w:rPr>
        <w:lastRenderedPageBreak/>
        <w:t>– priėmimo aktą bei sąskaitą, kurios suma už dalį suteiktų Paslaugų būtų ne didesnė nei 70 (septyniasdešimt) proc. Pirkimo sutarties kainos, nurodytos priede Nr. 1;</w:t>
      </w: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0EE080D3" w14:textId="77777777" w:rsidR="005C4B4C" w:rsidRDefault="005C4B4C" w:rsidP="00EA4C45">
      <w:pPr>
        <w:spacing w:line="276" w:lineRule="auto"/>
        <w:ind w:firstLine="0"/>
        <w:rPr>
          <w:rFonts w:ascii="Times New Roman" w:eastAsia="Calibri" w:hAnsi="Times New Roman" w:cs="Times New Roman"/>
          <w:sz w:val="24"/>
          <w:szCs w:val="24"/>
        </w:rPr>
      </w:pPr>
    </w:p>
    <w:p w14:paraId="55BAD666" w14:textId="77777777" w:rsidR="005C4B4C" w:rsidRDefault="005C4B4C" w:rsidP="00EA4C45">
      <w:pPr>
        <w:spacing w:line="276" w:lineRule="auto"/>
        <w:ind w:firstLine="0"/>
        <w:rPr>
          <w:rFonts w:ascii="Times New Roman" w:eastAsia="Calibri" w:hAnsi="Times New Roman" w:cs="Times New Roman"/>
          <w:sz w:val="24"/>
          <w:szCs w:val="24"/>
        </w:rPr>
      </w:pPr>
    </w:p>
    <w:p w14:paraId="7BBFF1C9" w14:textId="77777777" w:rsidR="005C4B4C" w:rsidRPr="00EA4C45" w:rsidRDefault="005C4B4C" w:rsidP="00EA4C45">
      <w:pPr>
        <w:spacing w:line="276" w:lineRule="auto"/>
        <w:ind w:firstLine="0"/>
        <w:rPr>
          <w:rFonts w:ascii="Times New Roman" w:eastAsia="Calibri" w:hAnsi="Times New Roman" w:cs="Times New Roman"/>
          <w:sz w:val="24"/>
          <w:szCs w:val="24"/>
        </w:rPr>
      </w:pP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0DABB5BE" w14:textId="0F67E81C" w:rsidR="005C4B4C"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10.5.3. Pirkimo sutartis buvo pakeista pažeidžiant VPĮ 89 str.;</w:t>
      </w:r>
    </w:p>
    <w:p w14:paraId="1858DB86" w14:textId="2040227C"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3EA5955" w14:textId="5777BE3F"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11. Subtiekimas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subtiekėjo ir (ar) specialisto pasitelkimu, UŽSAKOVAS kartu su TIEKĖJU raštu sudaro susitarimą dėl subtiekėjo ir (ar) specialisto pakeitimo ar naujo subtiekėjo ir (ar) specialisto pasitelkimo, kurį pasirašo Šalys. Šis </w:t>
      </w:r>
      <w:r w:rsidRPr="00EA4C45">
        <w:rPr>
          <w:rFonts w:ascii="Times New Roman" w:eastAsia="Calibri" w:hAnsi="Times New Roman" w:cs="Times New Roman"/>
          <w:sz w:val="24"/>
          <w:szCs w:val="24"/>
        </w:rPr>
        <w:lastRenderedPageBreak/>
        <w:t>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El. paštas: savivaldybe@raseiniai.lt</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...................@.................lt</w:t>
      </w:r>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Direktorius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Default="00E62A50" w:rsidP="00EA4C45">
      <w:pPr>
        <w:spacing w:line="276" w:lineRule="auto"/>
        <w:ind w:firstLine="0"/>
        <w:rPr>
          <w:rFonts w:ascii="Times New Roman" w:eastAsia="Calibri" w:hAnsi="Times New Roman" w:cs="Times New Roman"/>
          <w:sz w:val="24"/>
          <w:szCs w:val="24"/>
        </w:rPr>
      </w:pPr>
    </w:p>
    <w:p w14:paraId="53588672" w14:textId="77777777" w:rsidR="0039639A" w:rsidRPr="00EA4C45" w:rsidRDefault="0039639A"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61199BF3"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Objektas: </w:t>
      </w:r>
      <w:r w:rsidR="00BC2876" w:rsidRPr="00BC2876">
        <w:rPr>
          <w:rFonts w:ascii="Times New Roman" w:hAnsi="Times New Roman"/>
          <w:sz w:val="24"/>
          <w:szCs w:val="24"/>
        </w:rPr>
        <w:t xml:space="preserve">Girkalnio sen. Žvirgždžių k. Kalno g. (kelias 3v116) </w:t>
      </w:r>
      <w:r w:rsidR="0039639A" w:rsidRPr="00275C1D">
        <w:rPr>
          <w:rFonts w:ascii="Times New Roman" w:hAnsi="Times New Roman"/>
          <w:sz w:val="24"/>
          <w:szCs w:val="24"/>
        </w:rPr>
        <w:t>dalies kapitalinio remonto</w:t>
      </w:r>
      <w:r w:rsidRPr="00EA4C45">
        <w:rPr>
          <w:rFonts w:ascii="Times New Roman" w:eastAsia="Calibri" w:hAnsi="Times New Roman" w:cs="Times New Roman"/>
          <w:sz w:val="24"/>
          <w:szCs w:val="24"/>
        </w:rPr>
        <w:t xml:space="preserve">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14AC394D" w:rsidR="00EA4C45" w:rsidRPr="00EA4C45" w:rsidRDefault="0039639A" w:rsidP="00BC2876">
            <w:pPr>
              <w:spacing w:line="240" w:lineRule="auto"/>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Kalno g., </w:t>
            </w:r>
            <w:r w:rsidR="00BC2876">
              <w:rPr>
                <w:rFonts w:ascii="Times New Roman" w:eastAsia="Calibri" w:hAnsi="Times New Roman" w:cs="Times New Roman"/>
                <w:sz w:val="24"/>
                <w:szCs w:val="24"/>
              </w:rPr>
              <w:t>Žvirgždžių</w:t>
            </w:r>
            <w:r>
              <w:rPr>
                <w:rFonts w:ascii="Times New Roman" w:eastAsia="Calibri" w:hAnsi="Times New Roman" w:cs="Times New Roman"/>
                <w:sz w:val="24"/>
                <w:szCs w:val="24"/>
              </w:rPr>
              <w:t xml:space="preserve"> k., </w:t>
            </w:r>
            <w:r w:rsidR="00BC2876">
              <w:rPr>
                <w:rFonts w:ascii="Times New Roman" w:eastAsia="Calibri" w:hAnsi="Times New Roman" w:cs="Times New Roman"/>
                <w:sz w:val="24"/>
                <w:szCs w:val="24"/>
              </w:rPr>
              <w:t>Girkalnio</w:t>
            </w:r>
            <w:r w:rsidR="00EA4C45" w:rsidRPr="00EA4C45">
              <w:rPr>
                <w:rFonts w:ascii="Times New Roman" w:eastAsia="Calibri" w:hAnsi="Times New Roman" w:cs="Times New Roman"/>
                <w:sz w:val="24"/>
                <w:szCs w:val="24"/>
              </w:rPr>
              <w:t xml:space="preserve"> sen., Raseinių r. sav.</w:t>
            </w:r>
          </w:p>
        </w:tc>
        <w:tc>
          <w:tcPr>
            <w:tcW w:w="3543" w:type="dxa"/>
          </w:tcPr>
          <w:p w14:paraId="39770A24" w14:textId="79B139D9" w:rsidR="00EA4C45" w:rsidRPr="00EA4C45" w:rsidRDefault="00BC2876" w:rsidP="00EA4C45">
            <w:pPr>
              <w:spacing w:line="240" w:lineRule="auto"/>
              <w:ind w:firstLine="0"/>
              <w:jc w:val="left"/>
              <w:rPr>
                <w:rFonts w:ascii="Times New Roman" w:eastAsia="Calibri" w:hAnsi="Times New Roman" w:cs="Times New Roman"/>
                <w:sz w:val="24"/>
                <w:szCs w:val="24"/>
              </w:rPr>
            </w:pPr>
            <w:r w:rsidRPr="00BC2876">
              <w:rPr>
                <w:rFonts w:ascii="Times New Roman" w:hAnsi="Times New Roman"/>
                <w:sz w:val="24"/>
                <w:szCs w:val="24"/>
              </w:rPr>
              <w:t xml:space="preserve">Girkalnio sen. Žvirgždžių k. Kalno g. (kelias 3v116) </w:t>
            </w:r>
            <w:r w:rsidR="0039639A" w:rsidRPr="00275C1D">
              <w:rPr>
                <w:rFonts w:ascii="Times New Roman" w:hAnsi="Times New Roman"/>
                <w:sz w:val="24"/>
                <w:szCs w:val="24"/>
              </w:rPr>
              <w:t xml:space="preserve">dalies kapitalinio remonto </w:t>
            </w:r>
            <w:r w:rsidR="00EA4C45" w:rsidRPr="00EA4C45">
              <w:rPr>
                <w:rFonts w:ascii="Times New Roman" w:eastAsia="Calibri" w:hAnsi="Times New Roman" w:cs="Times New Roman"/>
                <w:sz w:val="24"/>
                <w:szCs w:val="24"/>
              </w:rPr>
              <w:t>projekto ekspertizės paslauga</w:t>
            </w:r>
          </w:p>
        </w:tc>
        <w:tc>
          <w:tcPr>
            <w:tcW w:w="2410" w:type="dxa"/>
            <w:vAlign w:val="center"/>
          </w:tcPr>
          <w:p w14:paraId="26CCD2D5" w14:textId="571FBA3B"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458D99B0"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162B0F2D"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1"/>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F24C1" w16cex:dateUtc="2025-02-05T14:58:00Z"/>
  <w16cex:commentExtensible w16cex:durableId="13DD2923" w16cex:dateUtc="2025-02-05T14:58:00Z"/>
  <w16cex:commentExtensible w16cex:durableId="2D556D3C" w16cex:dateUtc="2025-02-05T15:05:00Z"/>
  <w16cex:commentExtensible w16cex:durableId="1CE02B10" w16cex:dateUtc="2025-02-05T15:07:00Z"/>
  <w16cex:commentExtensible w16cex:durableId="6D6D180E" w16cex:dateUtc="2025-02-05T15:13:00Z"/>
  <w16cex:commentExtensible w16cex:durableId="66F671A9" w16cex:dateUtc="2025-02-05T15:16:00Z"/>
  <w16cex:commentExtensible w16cex:durableId="78412876" w16cex:dateUtc="2025-02-05T15:17:00Z"/>
  <w16cex:commentExtensible w16cex:durableId="77F81715" w16cex:dateUtc="2025-02-05T15:27:00Z"/>
  <w16cex:commentExtensible w16cex:durableId="49E1424B" w16cex:dateUtc="2025-02-05T15:29:00Z"/>
  <w16cex:commentExtensible w16cex:durableId="2FC2D848" w16cex:dateUtc="2025-02-05T15:19:00Z"/>
  <w16cex:commentExtensible w16cex:durableId="0B71E48C" w16cex:dateUtc="2025-02-05T15:19:00Z"/>
  <w16cex:commentExtensible w16cex:durableId="5B15892C" w16cex:dateUtc="2025-02-05T15:23:00Z"/>
  <w16cex:commentExtensible w16cex:durableId="3F9F0B4A" w16cex:dateUtc="2025-02-05T15:24:00Z"/>
  <w16cex:commentExtensible w16cex:durableId="07B25266" w16cex:dateUtc="2025-02-05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BD958" w16cid:durableId="1A4F24C1"/>
  <w16cid:commentId w16cid:paraId="7FE7E347" w16cid:durableId="13DD2923"/>
  <w16cid:commentId w16cid:paraId="2783CA6C" w16cid:durableId="2D556D3C"/>
  <w16cid:commentId w16cid:paraId="66E59349" w16cid:durableId="1CE02B10"/>
  <w16cid:commentId w16cid:paraId="3DBF7F81" w16cid:durableId="6D6D180E"/>
  <w16cid:commentId w16cid:paraId="4FB410B5" w16cid:durableId="66F671A9"/>
  <w16cid:commentId w16cid:paraId="7547A6EE" w16cid:durableId="78412876"/>
  <w16cid:commentId w16cid:paraId="70013DE2" w16cid:durableId="77F81715"/>
  <w16cid:commentId w16cid:paraId="7F352A6E" w16cid:durableId="49E1424B"/>
  <w16cid:commentId w16cid:paraId="195866F0" w16cid:durableId="2FC2D848"/>
  <w16cid:commentId w16cid:paraId="0D9362C3" w16cid:durableId="0B71E48C"/>
  <w16cid:commentId w16cid:paraId="46ABE7EE" w16cid:durableId="5B15892C"/>
  <w16cid:commentId w16cid:paraId="6E34D707" w16cid:durableId="3F9F0B4A"/>
  <w16cid:commentId w16cid:paraId="36AAFE3C" w16cid:durableId="07B25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FC677" w14:textId="77777777" w:rsidR="00131A93" w:rsidRDefault="00131A93" w:rsidP="00D05666">
      <w:r>
        <w:separator/>
      </w:r>
    </w:p>
  </w:endnote>
  <w:endnote w:type="continuationSeparator" w:id="0">
    <w:p w14:paraId="71CC8D4B" w14:textId="77777777" w:rsidR="00131A93" w:rsidRDefault="00131A93" w:rsidP="00D05666">
      <w:r>
        <w:continuationSeparator/>
      </w:r>
    </w:p>
  </w:endnote>
  <w:endnote w:type="continuationNotice" w:id="1">
    <w:p w14:paraId="18CE3838" w14:textId="77777777" w:rsidR="00131A93" w:rsidRDefault="00131A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C4B4C" w14:paraId="6DB6132A" w14:textId="77777777" w:rsidTr="0B831528">
      <w:tc>
        <w:tcPr>
          <w:tcW w:w="3600" w:type="dxa"/>
        </w:tcPr>
        <w:p w14:paraId="3DD6CB26" w14:textId="184D4FE5" w:rsidR="005C4B4C" w:rsidRDefault="005C4B4C" w:rsidP="00EA4C45">
          <w:pPr>
            <w:pStyle w:val="Antrats"/>
            <w:tabs>
              <w:tab w:val="clear" w:pos="4513"/>
              <w:tab w:val="clear" w:pos="9026"/>
              <w:tab w:val="left" w:pos="1365"/>
            </w:tabs>
            <w:ind w:left="-115"/>
            <w:jc w:val="left"/>
          </w:pPr>
          <w:r>
            <w:tab/>
          </w:r>
        </w:p>
      </w:tc>
      <w:tc>
        <w:tcPr>
          <w:tcW w:w="3600" w:type="dxa"/>
        </w:tcPr>
        <w:p w14:paraId="0FFE1169" w14:textId="04D5F0EA" w:rsidR="005C4B4C" w:rsidRDefault="005C4B4C" w:rsidP="0B831528">
          <w:pPr>
            <w:pStyle w:val="Antrats"/>
            <w:jc w:val="center"/>
          </w:pPr>
        </w:p>
      </w:tc>
      <w:tc>
        <w:tcPr>
          <w:tcW w:w="3600" w:type="dxa"/>
        </w:tcPr>
        <w:p w14:paraId="637FC8A9" w14:textId="7FCE1B5E" w:rsidR="005C4B4C" w:rsidRDefault="005C4B4C" w:rsidP="0B831528">
          <w:pPr>
            <w:pStyle w:val="Antrats"/>
            <w:ind w:right="-115"/>
            <w:jc w:val="right"/>
          </w:pPr>
        </w:p>
      </w:tc>
    </w:tr>
  </w:tbl>
  <w:p w14:paraId="1418C709" w14:textId="2F0E40AA" w:rsidR="005C4B4C" w:rsidRDefault="005C4B4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C4B4C" w14:paraId="26379111" w14:textId="77777777" w:rsidTr="0B831528">
      <w:tc>
        <w:tcPr>
          <w:tcW w:w="3600" w:type="dxa"/>
        </w:tcPr>
        <w:p w14:paraId="47E711C1" w14:textId="19AB4DF1" w:rsidR="005C4B4C" w:rsidRDefault="005C4B4C" w:rsidP="0B831528">
          <w:pPr>
            <w:pStyle w:val="Antrats"/>
            <w:ind w:left="-115"/>
            <w:jc w:val="left"/>
          </w:pPr>
        </w:p>
      </w:tc>
      <w:tc>
        <w:tcPr>
          <w:tcW w:w="3600" w:type="dxa"/>
        </w:tcPr>
        <w:p w14:paraId="1A5949BA" w14:textId="5C596B32" w:rsidR="005C4B4C" w:rsidRDefault="005C4B4C" w:rsidP="0B831528">
          <w:pPr>
            <w:pStyle w:val="Antrats"/>
            <w:jc w:val="center"/>
          </w:pPr>
        </w:p>
      </w:tc>
      <w:tc>
        <w:tcPr>
          <w:tcW w:w="3600" w:type="dxa"/>
        </w:tcPr>
        <w:p w14:paraId="397999A9" w14:textId="74BE2DF9" w:rsidR="005C4B4C" w:rsidRDefault="005C4B4C" w:rsidP="0B831528">
          <w:pPr>
            <w:pStyle w:val="Antrats"/>
            <w:ind w:right="-115"/>
            <w:jc w:val="right"/>
          </w:pPr>
        </w:p>
      </w:tc>
    </w:tr>
  </w:tbl>
  <w:p w14:paraId="16BE47DF" w14:textId="0FE8012D" w:rsidR="005C4B4C" w:rsidRDefault="005C4B4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9B592" w14:textId="77777777" w:rsidR="00131A93" w:rsidRDefault="00131A93" w:rsidP="00D05666">
      <w:r>
        <w:separator/>
      </w:r>
    </w:p>
  </w:footnote>
  <w:footnote w:type="continuationSeparator" w:id="0">
    <w:p w14:paraId="18AD354F" w14:textId="77777777" w:rsidR="00131A93" w:rsidRDefault="00131A93" w:rsidP="00D05666">
      <w:r>
        <w:continuationSeparator/>
      </w:r>
    </w:p>
  </w:footnote>
  <w:footnote w:type="continuationNotice" w:id="1">
    <w:p w14:paraId="64FAB39A" w14:textId="77777777" w:rsidR="00131A93" w:rsidRDefault="00131A93">
      <w:pPr>
        <w:spacing w:line="240" w:lineRule="auto"/>
      </w:pPr>
    </w:p>
  </w:footnote>
  <w:footnote w:id="2">
    <w:p w14:paraId="6DE320EC" w14:textId="77777777" w:rsidR="005C4B4C" w:rsidRPr="00E26C73" w:rsidRDefault="005C4B4C"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5C4B4C" w:rsidRPr="00E26C73" w:rsidRDefault="005C4B4C"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5C4B4C" w:rsidRPr="00E26C73" w:rsidRDefault="005C4B4C"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5C4B4C" w:rsidRPr="00E26C73" w:rsidRDefault="005C4B4C"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5C4B4C" w:rsidRDefault="005C4B4C">
        <w:pPr>
          <w:pStyle w:val="Antrats"/>
          <w:jc w:val="center"/>
        </w:pPr>
        <w:r>
          <w:fldChar w:fldCharType="begin"/>
        </w:r>
        <w:r>
          <w:instrText>PAGE   \* MERGEFORMAT</w:instrText>
        </w:r>
        <w:r>
          <w:fldChar w:fldCharType="separate"/>
        </w:r>
        <w:r w:rsidR="006C5D3A">
          <w:rPr>
            <w:noProof/>
          </w:rPr>
          <w:t>20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5C4B4C" w:rsidRDefault="005C4B4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4"/>
  </w:num>
  <w:num w:numId="2">
    <w:abstractNumId w:val="25"/>
  </w:num>
  <w:num w:numId="3">
    <w:abstractNumId w:val="15"/>
  </w:num>
  <w:num w:numId="4">
    <w:abstractNumId w:val="34"/>
  </w:num>
  <w:num w:numId="5">
    <w:abstractNumId w:val="8"/>
  </w:num>
  <w:num w:numId="6">
    <w:abstractNumId w:val="3"/>
  </w:num>
  <w:num w:numId="7">
    <w:abstractNumId w:val="16"/>
  </w:num>
  <w:num w:numId="8">
    <w:abstractNumId w:val="22"/>
  </w:num>
  <w:num w:numId="9">
    <w:abstractNumId w:val="9"/>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18"/>
  </w:num>
  <w:num w:numId="16">
    <w:abstractNumId w:val="0"/>
  </w:num>
  <w:num w:numId="17">
    <w:abstractNumId w:val="11"/>
  </w:num>
  <w:num w:numId="18">
    <w:abstractNumId w:val="35"/>
  </w:num>
  <w:num w:numId="19">
    <w:abstractNumId w:val="38"/>
  </w:num>
  <w:num w:numId="20">
    <w:abstractNumId w:val="36"/>
  </w:num>
  <w:num w:numId="21">
    <w:abstractNumId w:val="20"/>
  </w:num>
  <w:num w:numId="22">
    <w:abstractNumId w:val="26"/>
  </w:num>
  <w:num w:numId="23">
    <w:abstractNumId w:val="5"/>
  </w:num>
  <w:num w:numId="24">
    <w:abstractNumId w:val="33"/>
  </w:num>
  <w:num w:numId="25">
    <w:abstractNumId w:val="21"/>
  </w:num>
  <w:num w:numId="26">
    <w:abstractNumId w:val="32"/>
  </w:num>
  <w:num w:numId="27">
    <w:abstractNumId w:val="29"/>
  </w:num>
  <w:num w:numId="28">
    <w:abstractNumId w:val="7"/>
  </w:num>
  <w:num w:numId="29">
    <w:abstractNumId w:val="2"/>
  </w:num>
  <w:num w:numId="30">
    <w:abstractNumId w:val="6"/>
  </w:num>
  <w:num w:numId="31">
    <w:abstractNumId w:val="30"/>
  </w:num>
  <w:num w:numId="32">
    <w:abstractNumId w:val="37"/>
  </w:num>
  <w:num w:numId="33">
    <w:abstractNumId w:val="12"/>
  </w:num>
  <w:num w:numId="34">
    <w:abstractNumId w:val="17"/>
  </w:num>
  <w:num w:numId="35">
    <w:abstractNumId w:val="27"/>
  </w:num>
  <w:num w:numId="36">
    <w:abstractNumId w:val="13"/>
  </w:num>
  <w:num w:numId="37">
    <w:abstractNumId w:val="1"/>
  </w:num>
  <w:num w:numId="38">
    <w:abstractNumId w:val="28"/>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A93"/>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6DD"/>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5C1D"/>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639A"/>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A29"/>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B4C"/>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D3A"/>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5828"/>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755"/>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920"/>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6"/>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AC3"/>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D1"/>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869FC"/>
    <w:rsid w:val="00196F30"/>
    <w:rsid w:val="00197EDC"/>
    <w:rsid w:val="001A6EE0"/>
    <w:rsid w:val="001E3B26"/>
    <w:rsid w:val="0020241D"/>
    <w:rsid w:val="00256A57"/>
    <w:rsid w:val="002876B4"/>
    <w:rsid w:val="00295EF8"/>
    <w:rsid w:val="002C1509"/>
    <w:rsid w:val="002C56F2"/>
    <w:rsid w:val="002D1C16"/>
    <w:rsid w:val="00322788"/>
    <w:rsid w:val="0034449F"/>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59D5"/>
    <w:rsid w:val="00975C18"/>
    <w:rsid w:val="0097687E"/>
    <w:rsid w:val="009C5E39"/>
    <w:rsid w:val="009E6FBD"/>
    <w:rsid w:val="009F444E"/>
    <w:rsid w:val="00A02E8E"/>
    <w:rsid w:val="00A03CB8"/>
    <w:rsid w:val="00A447B7"/>
    <w:rsid w:val="00A55596"/>
    <w:rsid w:val="00A63B24"/>
    <w:rsid w:val="00A87851"/>
    <w:rsid w:val="00AC07D5"/>
    <w:rsid w:val="00AD09B5"/>
    <w:rsid w:val="00AD33B3"/>
    <w:rsid w:val="00AE4B5D"/>
    <w:rsid w:val="00B02DFF"/>
    <w:rsid w:val="00B031BD"/>
    <w:rsid w:val="00B14A38"/>
    <w:rsid w:val="00B604DE"/>
    <w:rsid w:val="00B70DD9"/>
    <w:rsid w:val="00C2149D"/>
    <w:rsid w:val="00C64F5A"/>
    <w:rsid w:val="00C72C58"/>
    <w:rsid w:val="00C94D18"/>
    <w:rsid w:val="00CA01C8"/>
    <w:rsid w:val="00CA177E"/>
    <w:rsid w:val="00CD27B6"/>
    <w:rsid w:val="00CD58A3"/>
    <w:rsid w:val="00CF4CEB"/>
    <w:rsid w:val="00D1288B"/>
    <w:rsid w:val="00D47680"/>
    <w:rsid w:val="00D94C60"/>
    <w:rsid w:val="00DE23D8"/>
    <w:rsid w:val="00DE4E32"/>
    <w:rsid w:val="00DF2F78"/>
    <w:rsid w:val="00E1780C"/>
    <w:rsid w:val="00E464CE"/>
    <w:rsid w:val="00E672BD"/>
    <w:rsid w:val="00E706A7"/>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658077D-0700-469C-AF0B-4CA1DE06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50</Pages>
  <Words>86675</Words>
  <Characters>49406</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Valmantas Bentnorius</cp:lastModifiedBy>
  <cp:revision>18</cp:revision>
  <cp:lastPrinted>2025-02-05T12:46:00Z</cp:lastPrinted>
  <dcterms:created xsi:type="dcterms:W3CDTF">2025-02-09T17:08:00Z</dcterms:created>
  <dcterms:modified xsi:type="dcterms:W3CDTF">2025-02-14T11:50:00Z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