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F035" w14:textId="73D46A1A" w:rsidR="009B1139" w:rsidRPr="003116BD" w:rsidRDefault="00DF1C49" w:rsidP="003116BD">
      <w:pPr>
        <w:pBdr>
          <w:left w:val="double" w:sz="18" w:space="4" w:color="1F4E79"/>
        </w:pBdr>
        <w:spacing w:after="0"/>
        <w:jc w:val="center"/>
        <w:rPr>
          <w:rFonts w:asciiTheme="minorHAnsi" w:eastAsia="Times New Roman" w:hAnsiTheme="minorHAnsi" w:cstheme="minorHAnsi"/>
          <w:b/>
          <w:bCs/>
          <w:caps/>
          <w:color w:val="0070C0"/>
          <w:sz w:val="32"/>
          <w:szCs w:val="32"/>
          <w:lang w:eastAsia="ja-JP" w:bidi="lt-LT"/>
        </w:rPr>
      </w:pPr>
      <w:r w:rsidRPr="009E4E36">
        <w:rPr>
          <w:rFonts w:asciiTheme="minorHAnsi" w:eastAsia="Times New Roman" w:hAnsiTheme="minorHAnsi" w:cstheme="minorHAnsi"/>
          <w:b/>
          <w:caps/>
          <w:color w:val="0070C0"/>
          <w:kern w:val="28"/>
          <w:sz w:val="32"/>
          <w:szCs w:val="32"/>
          <w:lang w:eastAsia="ja-JP"/>
        </w:rPr>
        <w:t xml:space="preserve">NUMATOMO VYKDYTI VIEŠOJO PIRKIMO </w:t>
      </w:r>
      <w:r w:rsidRPr="009E4E36">
        <w:rPr>
          <w:rFonts w:asciiTheme="minorHAnsi" w:eastAsia="Times New Roman" w:hAnsiTheme="minorHAnsi" w:cstheme="minorHAnsi"/>
          <w:b/>
          <w:caps/>
          <w:color w:val="0070C0"/>
          <w:kern w:val="28"/>
          <w:sz w:val="32"/>
          <w:szCs w:val="32"/>
          <w:lang w:eastAsia="ja-JP" w:bidi="lt-LT"/>
        </w:rPr>
        <w:t>„</w:t>
      </w:r>
      <w:r w:rsidR="00F91A2D" w:rsidRPr="00F91A2D">
        <w:rPr>
          <w:rFonts w:asciiTheme="minorHAnsi" w:eastAsia="Times New Roman" w:hAnsiTheme="minorHAnsi" w:cstheme="minorHAnsi"/>
          <w:b/>
          <w:bCs/>
          <w:caps/>
          <w:color w:val="0070C0"/>
          <w:sz w:val="32"/>
          <w:szCs w:val="32"/>
          <w:lang w:val="de-DE" w:eastAsia="ja-JP" w:bidi="lt-LT"/>
        </w:rPr>
        <w:t xml:space="preserve">SAULĖS ELEKTRINĖS SU ELEKTROS ENERGIJOS KAUPIMO SISTEMA (AKUMULIATORIAIS) PROJEKTAVIMO, ĮRANGOS TIEKIMO BEI MONTAVIMO DARBAI </w:t>
      </w:r>
      <w:r w:rsidR="00F91A2D" w:rsidRPr="00F91A2D">
        <w:rPr>
          <w:rFonts w:asciiTheme="minorHAnsi" w:eastAsia="Times New Roman" w:hAnsiTheme="minorHAnsi" w:cstheme="minorHAnsi"/>
          <w:b/>
          <w:bCs/>
          <w:caps/>
          <w:color w:val="0070C0"/>
          <w:sz w:val="32"/>
          <w:szCs w:val="32"/>
          <w:lang w:eastAsia="ja-JP" w:bidi="lt-LT"/>
        </w:rPr>
        <w:t>(Naudos gavėjas: Molodižnės licėjaus administracija, Ukraina)</w:t>
      </w:r>
      <w:r w:rsidRPr="009E4E36">
        <w:rPr>
          <w:rFonts w:asciiTheme="minorHAnsi" w:eastAsia="Times New Roman" w:hAnsiTheme="minorHAnsi" w:cstheme="minorHAnsi"/>
          <w:b/>
          <w:caps/>
          <w:color w:val="0070C0"/>
          <w:kern w:val="28"/>
          <w:sz w:val="32"/>
          <w:szCs w:val="32"/>
          <w:lang w:eastAsia="ja-JP" w:bidi="lt-LT"/>
        </w:rPr>
        <w:t>“ RINKOS KONSULTACIJOS</w:t>
      </w:r>
      <w:r w:rsidR="009B1139" w:rsidRPr="009E4E36">
        <w:rPr>
          <w:rFonts w:asciiTheme="minorHAnsi" w:eastAsia="Times New Roman" w:hAnsiTheme="minorHAnsi" w:cstheme="minorHAnsi"/>
          <w:b/>
          <w:caps/>
          <w:color w:val="0070C0"/>
          <w:kern w:val="28"/>
          <w:sz w:val="32"/>
          <w:szCs w:val="32"/>
          <w:lang w:eastAsia="ja-JP"/>
        </w:rPr>
        <w:t xml:space="preserve"> SUVESTINĖ</w:t>
      </w:r>
    </w:p>
    <w:p w14:paraId="229E05F6" w14:textId="77777777" w:rsidR="001C525D" w:rsidRPr="009E4E36" w:rsidRDefault="001C525D">
      <w:pPr>
        <w:rPr>
          <w:rFonts w:asciiTheme="minorHAnsi" w:hAnsiTheme="minorHAnsi" w:cstheme="minorHAnsi"/>
        </w:rPr>
      </w:pPr>
    </w:p>
    <w:tbl>
      <w:tblPr>
        <w:tblStyle w:val="GridTable5Dark-Accent1"/>
        <w:tblW w:w="15446" w:type="dxa"/>
        <w:tblLook w:val="04A0" w:firstRow="1" w:lastRow="0" w:firstColumn="1" w:lastColumn="0" w:noHBand="0" w:noVBand="1"/>
      </w:tblPr>
      <w:tblGrid>
        <w:gridCol w:w="2268"/>
        <w:gridCol w:w="13178"/>
      </w:tblGrid>
      <w:tr w:rsidR="007E1BD0" w:rsidRPr="009E4E36" w14:paraId="6E7BDD28" w14:textId="77777777" w:rsidTr="008F503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5446" w:type="dxa"/>
            <w:gridSpan w:val="2"/>
            <w:tcBorders>
              <w:bottom w:val="single" w:sz="4" w:space="0" w:color="FFFFFF" w:themeColor="background1"/>
            </w:tcBorders>
            <w:vAlign w:val="center"/>
          </w:tcPr>
          <w:p w14:paraId="23577DA5" w14:textId="77777777" w:rsidR="007E1BD0" w:rsidRPr="009E4E36" w:rsidRDefault="007E1BD0" w:rsidP="008F5036">
            <w:pPr>
              <w:pStyle w:val="ListParagraph"/>
              <w:numPr>
                <w:ilvl w:val="0"/>
                <w:numId w:val="2"/>
              </w:numPr>
              <w:jc w:val="center"/>
              <w:rPr>
                <w:rFonts w:asciiTheme="minorHAnsi" w:hAnsiTheme="minorHAnsi" w:cstheme="minorHAnsi"/>
                <w:color w:val="000000" w:themeColor="text1"/>
              </w:rPr>
            </w:pPr>
            <w:r w:rsidRPr="009E4E36">
              <w:rPr>
                <w:rFonts w:asciiTheme="minorHAnsi" w:hAnsiTheme="minorHAnsi" w:cstheme="minorHAnsi"/>
              </w:rPr>
              <w:t xml:space="preserve">RINKOS </w:t>
            </w:r>
            <w:r w:rsidR="00405B84" w:rsidRPr="009E4E36">
              <w:rPr>
                <w:rFonts w:asciiTheme="minorHAnsi" w:hAnsiTheme="minorHAnsi" w:cstheme="minorHAnsi"/>
              </w:rPr>
              <w:t xml:space="preserve">KONSULTACIJOS </w:t>
            </w:r>
            <w:r w:rsidRPr="009E4E36">
              <w:rPr>
                <w:rFonts w:asciiTheme="minorHAnsi" w:hAnsiTheme="minorHAnsi" w:cstheme="minorHAnsi"/>
              </w:rPr>
              <w:t>OBJEKTAS IR TIKSLAS</w:t>
            </w:r>
          </w:p>
        </w:tc>
      </w:tr>
      <w:tr w:rsidR="00AF322D" w:rsidRPr="009E4E36" w14:paraId="5FC35DB5" w14:textId="77777777" w:rsidTr="0044232F">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vAlign w:val="center"/>
          </w:tcPr>
          <w:p w14:paraId="20E04CE8" w14:textId="77777777" w:rsidR="007E1BD0" w:rsidRPr="009E4E36" w:rsidRDefault="009B1139" w:rsidP="007E1BD0">
            <w:pPr>
              <w:jc w:val="center"/>
              <w:rPr>
                <w:rFonts w:asciiTheme="minorHAnsi" w:hAnsiTheme="minorHAnsi" w:cstheme="minorHAnsi"/>
              </w:rPr>
            </w:pPr>
            <w:r w:rsidRPr="009E4E36">
              <w:rPr>
                <w:rFonts w:asciiTheme="minorHAnsi" w:hAnsiTheme="minorHAnsi" w:cstheme="minorHAnsi"/>
              </w:rPr>
              <w:t>Pirkimo</w:t>
            </w:r>
            <w:r w:rsidR="007E1BD0" w:rsidRPr="009E4E36">
              <w:rPr>
                <w:rFonts w:asciiTheme="minorHAnsi" w:hAnsiTheme="minorHAnsi" w:cstheme="minorHAnsi"/>
              </w:rPr>
              <w:t xml:space="preserve"> objektas</w:t>
            </w:r>
          </w:p>
          <w:p w14:paraId="57F3200B" w14:textId="77777777" w:rsidR="007E1BD0" w:rsidRPr="009E4E36" w:rsidRDefault="007E1BD0" w:rsidP="007E1BD0">
            <w:pPr>
              <w:jc w:val="center"/>
              <w:rPr>
                <w:rFonts w:asciiTheme="minorHAnsi" w:hAnsiTheme="minorHAnsi" w:cstheme="minorHAnsi"/>
              </w:rPr>
            </w:pPr>
            <w:r w:rsidRPr="009E4E36">
              <w:rPr>
                <w:rFonts w:asciiTheme="minorHAnsi" w:hAnsiTheme="minorHAnsi" w:cstheme="minorHAnsi"/>
                <w:b w:val="0"/>
                <w:iCs/>
              </w:rPr>
              <w:t>(trumpai apibrėžiamas pirkimo objektas)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5011B1" w14:textId="18C1893F" w:rsidR="007E1BD0" w:rsidRPr="009E4E36" w:rsidRDefault="00F52FCE" w:rsidP="003116BD">
            <w:pPr>
              <w:tabs>
                <w:tab w:val="left" w:pos="720"/>
                <w:tab w:val="left" w:pos="2552"/>
                <w:tab w:val="left" w:pos="2694"/>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F52FCE">
              <w:rPr>
                <w:rFonts w:asciiTheme="minorHAnsi" w:hAnsiTheme="minorHAnsi" w:cstheme="minorHAnsi"/>
                <w:color w:val="000000"/>
              </w:rPr>
              <w:t xml:space="preserve">VšĮ Centrinė projektų valdymo agentūra numato </w:t>
            </w:r>
            <w:r w:rsidRPr="003116BD">
              <w:rPr>
                <w:rFonts w:asciiTheme="minorHAnsi" w:hAnsiTheme="minorHAnsi" w:cstheme="minorHAnsi"/>
                <w:color w:val="000000"/>
              </w:rPr>
              <w:t xml:space="preserve">pirkti </w:t>
            </w:r>
            <w:r w:rsidR="00F91A2D">
              <w:rPr>
                <w:rFonts w:asciiTheme="minorHAnsi" w:hAnsiTheme="minorHAnsi" w:cstheme="minorHAnsi"/>
                <w:color w:val="000000"/>
              </w:rPr>
              <w:t>s</w:t>
            </w:r>
            <w:r w:rsidR="00F91A2D" w:rsidRPr="00F91A2D">
              <w:rPr>
                <w:rFonts w:asciiTheme="minorHAnsi" w:hAnsiTheme="minorHAnsi" w:cstheme="minorHAnsi"/>
                <w:color w:val="000000"/>
              </w:rPr>
              <w:t>aulės fotovoltinės elektrinės (120 kW galios) su akumuliatorine energijos kaupimo sistema (120 kWh talpos) projektavimo paslaug</w:t>
            </w:r>
            <w:r w:rsidR="00F91A2D">
              <w:rPr>
                <w:rFonts w:asciiTheme="minorHAnsi" w:hAnsiTheme="minorHAnsi" w:cstheme="minorHAnsi"/>
                <w:color w:val="000000"/>
              </w:rPr>
              <w:t>a</w:t>
            </w:r>
            <w:r w:rsidR="00F91A2D" w:rsidRPr="00F91A2D">
              <w:rPr>
                <w:rFonts w:asciiTheme="minorHAnsi" w:hAnsiTheme="minorHAnsi" w:cstheme="minorHAnsi"/>
                <w:color w:val="000000"/>
              </w:rPr>
              <w:t>s, įrangos tiekim</w:t>
            </w:r>
            <w:r w:rsidR="00F91A2D">
              <w:rPr>
                <w:rFonts w:asciiTheme="minorHAnsi" w:hAnsiTheme="minorHAnsi" w:cstheme="minorHAnsi"/>
                <w:color w:val="000000"/>
              </w:rPr>
              <w:t>o</w:t>
            </w:r>
            <w:r w:rsidR="00F91A2D" w:rsidRPr="00F91A2D">
              <w:rPr>
                <w:rFonts w:asciiTheme="minorHAnsi" w:hAnsiTheme="minorHAnsi" w:cstheme="minorHAnsi"/>
                <w:color w:val="000000"/>
              </w:rPr>
              <w:t xml:space="preserve"> ir montavimo darb</w:t>
            </w:r>
            <w:r w:rsidR="00F91A2D">
              <w:rPr>
                <w:rFonts w:asciiTheme="minorHAnsi" w:hAnsiTheme="minorHAnsi" w:cstheme="minorHAnsi"/>
                <w:color w:val="000000"/>
              </w:rPr>
              <w:t>ų</w:t>
            </w:r>
            <w:r w:rsidR="00F91A2D" w:rsidRPr="00F91A2D">
              <w:rPr>
                <w:rFonts w:asciiTheme="minorHAnsi" w:hAnsiTheme="minorHAnsi" w:cstheme="minorHAnsi"/>
                <w:color w:val="000000"/>
              </w:rPr>
              <w:t>, skirt</w:t>
            </w:r>
            <w:r w:rsidR="00F91A2D">
              <w:rPr>
                <w:rFonts w:asciiTheme="minorHAnsi" w:hAnsiTheme="minorHAnsi" w:cstheme="minorHAnsi"/>
                <w:color w:val="000000"/>
              </w:rPr>
              <w:t>ų</w:t>
            </w:r>
            <w:r w:rsidR="00F91A2D" w:rsidRPr="00F91A2D">
              <w:rPr>
                <w:rFonts w:asciiTheme="minorHAnsi" w:hAnsiTheme="minorHAnsi" w:cstheme="minorHAnsi"/>
                <w:color w:val="000000"/>
              </w:rPr>
              <w:t xml:space="preserve"> užtikrinti pastovų elektros energijos tiekimą Molodižnės licėjaus (Odesa) pastatui ir 780 vietų slėptuvei.</w:t>
            </w:r>
            <w:r w:rsidR="00F91A2D">
              <w:rPr>
                <w:rFonts w:asciiTheme="minorHAnsi" w:hAnsiTheme="minorHAnsi" w:cstheme="minorHAnsi"/>
                <w:color w:val="000000"/>
              </w:rPr>
              <w:t xml:space="preserve"> Naudos gavėjas - </w:t>
            </w:r>
            <w:r w:rsidR="00F91A2D" w:rsidRPr="00F91A2D">
              <w:rPr>
                <w:rFonts w:asciiTheme="minorHAnsi" w:hAnsiTheme="minorHAnsi" w:cstheme="minorHAnsi"/>
                <w:color w:val="000000"/>
              </w:rPr>
              <w:t>Molodižnės licėjaus administracija</w:t>
            </w:r>
            <w:r w:rsidR="00F91A2D">
              <w:rPr>
                <w:rFonts w:asciiTheme="minorHAnsi" w:hAnsiTheme="minorHAnsi" w:cstheme="minorHAnsi"/>
                <w:color w:val="000000"/>
              </w:rPr>
              <w:t>.</w:t>
            </w:r>
          </w:p>
        </w:tc>
      </w:tr>
      <w:tr w:rsidR="00AF322D" w:rsidRPr="009E4E36" w14:paraId="2EA89F8F" w14:textId="77777777" w:rsidTr="0044232F">
        <w:trPr>
          <w:trHeight w:val="55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vAlign w:val="center"/>
          </w:tcPr>
          <w:p w14:paraId="64EEE19C" w14:textId="77777777" w:rsidR="00C539D4" w:rsidRPr="009E4E36" w:rsidRDefault="00C539D4" w:rsidP="00405B84">
            <w:pPr>
              <w:jc w:val="center"/>
              <w:rPr>
                <w:rFonts w:asciiTheme="minorHAnsi" w:hAnsiTheme="minorHAnsi" w:cstheme="minorHAnsi"/>
              </w:rPr>
            </w:pPr>
            <w:r w:rsidRPr="009E4E36">
              <w:rPr>
                <w:rFonts w:asciiTheme="minorHAnsi" w:hAnsiTheme="minorHAnsi" w:cstheme="minorHAnsi"/>
              </w:rPr>
              <w:t xml:space="preserve">Rinkos </w:t>
            </w:r>
            <w:r w:rsidR="00405B84" w:rsidRPr="009E4E36">
              <w:rPr>
                <w:rFonts w:asciiTheme="minorHAnsi" w:hAnsiTheme="minorHAnsi" w:cstheme="minorHAnsi"/>
              </w:rPr>
              <w:t>konsultacijos tikslas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8F7C84" w14:textId="4E989646" w:rsidR="00C539D4" w:rsidRPr="009E4E36" w:rsidRDefault="00A538DC" w:rsidP="00A538DC">
            <w:pPr>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Rinkos konsultacijos metu </w:t>
            </w:r>
            <w:r w:rsidRPr="00A538DC">
              <w:rPr>
                <w:rFonts w:asciiTheme="minorHAnsi" w:hAnsiTheme="minorHAnsi" w:cstheme="minorHAnsi"/>
              </w:rPr>
              <w:t>gauta informacija bus naudojama priimant sprendimus dėl pirkimo organizavimo ir vykdymo</w:t>
            </w:r>
            <w:r>
              <w:rPr>
                <w:rFonts w:asciiTheme="minorHAnsi" w:hAnsiTheme="minorHAnsi" w:cstheme="minorHAnsi"/>
              </w:rPr>
              <w:t>.</w:t>
            </w:r>
          </w:p>
        </w:tc>
      </w:tr>
      <w:tr w:rsidR="004E2D3E" w:rsidRPr="009E4E36" w14:paraId="49C64909" w14:textId="77777777" w:rsidTr="008F503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15FDEEFE" w14:textId="77777777" w:rsidR="004E2D3E" w:rsidRPr="009E4E36" w:rsidRDefault="00405B84" w:rsidP="008F5036">
            <w:pPr>
              <w:pStyle w:val="ListParagraph"/>
              <w:numPr>
                <w:ilvl w:val="0"/>
                <w:numId w:val="2"/>
              </w:numPr>
              <w:jc w:val="center"/>
              <w:rPr>
                <w:rFonts w:asciiTheme="minorHAnsi" w:hAnsiTheme="minorHAnsi" w:cstheme="minorHAnsi"/>
                <w:b w:val="0"/>
                <w:bCs w:val="0"/>
              </w:rPr>
            </w:pPr>
            <w:r w:rsidRPr="009E4E36">
              <w:rPr>
                <w:rFonts w:asciiTheme="minorHAnsi" w:hAnsiTheme="minorHAnsi" w:cstheme="minorHAnsi"/>
              </w:rPr>
              <w:t>RINKOS KONSULTACIJOS ATLIKIMAS</w:t>
            </w:r>
          </w:p>
        </w:tc>
      </w:tr>
      <w:tr w:rsidR="00AF322D" w:rsidRPr="009E4E36" w14:paraId="5E3A45B7" w14:textId="77777777" w:rsidTr="0044232F">
        <w:trPr>
          <w:trHeight w:val="41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vAlign w:val="center"/>
          </w:tcPr>
          <w:p w14:paraId="56ECB20A" w14:textId="77777777" w:rsidR="004E2D3E" w:rsidRPr="009E4E36" w:rsidRDefault="00405B84" w:rsidP="00405B84">
            <w:pPr>
              <w:spacing w:before="120" w:after="120"/>
              <w:jc w:val="center"/>
              <w:rPr>
                <w:rFonts w:asciiTheme="minorHAnsi" w:hAnsiTheme="minorHAnsi" w:cstheme="minorHAnsi"/>
              </w:rPr>
            </w:pPr>
            <w:r w:rsidRPr="009E4E36">
              <w:rPr>
                <w:rFonts w:asciiTheme="minorHAnsi" w:hAnsiTheme="minorHAnsi" w:cstheme="minorHAnsi"/>
              </w:rPr>
              <w:t>Naudotos priemonės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75374F" w14:textId="77777777" w:rsidR="002B755E" w:rsidRDefault="007E1BD0" w:rsidP="002B755E">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4E36">
              <w:rPr>
                <w:rFonts w:asciiTheme="minorHAnsi" w:hAnsiTheme="minorHAnsi" w:cstheme="minorHAnsi"/>
              </w:rPr>
              <w:t>Rinkos konsulta</w:t>
            </w:r>
            <w:r w:rsidR="00A11D5B">
              <w:rPr>
                <w:rFonts w:asciiTheme="minorHAnsi" w:hAnsiTheme="minorHAnsi" w:cstheme="minorHAnsi"/>
              </w:rPr>
              <w:t xml:space="preserve">cija </w:t>
            </w:r>
            <w:r w:rsidR="002B755E">
              <w:rPr>
                <w:rFonts w:asciiTheme="minorHAnsi" w:hAnsiTheme="minorHAnsi" w:cstheme="minorHAnsi"/>
              </w:rPr>
              <w:t>buvo paskelbta CVP IS priemonėmis:</w:t>
            </w:r>
          </w:p>
          <w:p w14:paraId="0841B9B9" w14:textId="59F26FDA" w:rsidR="000C276C" w:rsidRPr="00F62330" w:rsidRDefault="000523CF" w:rsidP="00F62330">
            <w:pPr>
              <w:pStyle w:val="ListParagraph"/>
              <w:numPr>
                <w:ilvl w:val="0"/>
                <w:numId w:val="21"/>
              </w:numPr>
              <w:ind w:left="61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1" w:history="1">
              <w:r w:rsidRPr="007B6CFB">
                <w:rPr>
                  <w:rStyle w:val="Hyperlink"/>
                </w:rPr>
                <w:t>https://viesiejipirkimai.lt/epps/pmc/viewPmc.do?resourceId=833766</w:t>
              </w:r>
            </w:hyperlink>
            <w:r>
              <w:t xml:space="preserve"> </w:t>
            </w:r>
            <w:r w:rsidR="00732E21">
              <w:t xml:space="preserve"> </w:t>
            </w:r>
            <w:r w:rsidR="00A538DC">
              <w:rPr>
                <w:rFonts w:asciiTheme="minorHAnsi" w:hAnsiTheme="minorHAnsi" w:cstheme="minorHAnsi"/>
              </w:rPr>
              <w:t xml:space="preserve"> </w:t>
            </w:r>
            <w:r w:rsidR="00F62330" w:rsidRPr="00F62330">
              <w:rPr>
                <w:rFonts w:asciiTheme="minorHAnsi" w:hAnsiTheme="minorHAnsi" w:cstheme="minorHAnsi"/>
              </w:rPr>
              <w:t xml:space="preserve"> </w:t>
            </w:r>
          </w:p>
          <w:p w14:paraId="51770652" w14:textId="0FD78B92" w:rsidR="007214E0" w:rsidRPr="00C27F77" w:rsidRDefault="007214E0" w:rsidP="00A538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0"/>
                <w:szCs w:val="10"/>
              </w:rPr>
            </w:pPr>
          </w:p>
        </w:tc>
      </w:tr>
      <w:tr w:rsidR="00B04B58" w:rsidRPr="009E4E36" w14:paraId="7B58F932" w14:textId="77777777" w:rsidTr="008F5036">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51B3D757" w14:textId="18B5CBF0" w:rsidR="00B04B58" w:rsidRPr="009E4E36" w:rsidRDefault="00B04B58" w:rsidP="003A2649">
            <w:pPr>
              <w:pStyle w:val="ListParagraph"/>
              <w:numPr>
                <w:ilvl w:val="0"/>
                <w:numId w:val="2"/>
              </w:numPr>
              <w:jc w:val="center"/>
              <w:rPr>
                <w:rFonts w:asciiTheme="minorHAnsi" w:hAnsiTheme="minorHAnsi" w:cstheme="minorHAnsi"/>
                <w:caps/>
              </w:rPr>
            </w:pPr>
            <w:r w:rsidRPr="009E4E36">
              <w:rPr>
                <w:rFonts w:asciiTheme="minorHAnsi" w:hAnsiTheme="minorHAnsi" w:cstheme="minorHAnsi"/>
                <w:caps/>
              </w:rPr>
              <w:t>Rinkos dalyvių pateiktų atsakymų nagrinėjimas</w:t>
            </w:r>
          </w:p>
        </w:tc>
      </w:tr>
      <w:tr w:rsidR="004B3D6B" w:rsidRPr="009E4E36" w14:paraId="19E5A925" w14:textId="2B4B29DE" w:rsidTr="0044232F">
        <w:trPr>
          <w:trHeight w:val="406"/>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2D1BADC2" w14:textId="1DF780D6" w:rsidR="004B3D6B" w:rsidRPr="006A41D7" w:rsidRDefault="004B3D6B" w:rsidP="00A05843">
            <w:pPr>
              <w:spacing w:before="120" w:after="120"/>
              <w:jc w:val="center"/>
              <w:rPr>
                <w:rFonts w:asciiTheme="minorHAnsi" w:hAnsiTheme="minorHAnsi" w:cstheme="minorHAnsi"/>
              </w:rPr>
            </w:pPr>
            <w:r>
              <w:rPr>
                <w:rFonts w:asciiTheme="minorHAnsi" w:hAnsiTheme="minorHAnsi" w:cs="Times New Roman"/>
              </w:rPr>
              <w:t>Klausimai</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D460A2" w14:textId="216407ED" w:rsidR="004B3D6B" w:rsidRPr="006A41D7" w:rsidRDefault="004B3D6B" w:rsidP="009E4E36">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Pr>
                <w:rFonts w:asciiTheme="minorHAnsi" w:hAnsiTheme="minorHAnsi" w:cs="Times New Roman"/>
                <w:b/>
              </w:rPr>
              <w:t>Sprendimas</w:t>
            </w:r>
          </w:p>
        </w:tc>
      </w:tr>
      <w:tr w:rsidR="00A538DC" w:rsidRPr="009E4E36" w14:paraId="0013ABC7" w14:textId="77777777" w:rsidTr="00884B1E">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08DF7838" w14:textId="3FA5F29F" w:rsidR="00A538DC" w:rsidRPr="00D36AEA" w:rsidRDefault="00A538DC" w:rsidP="00884B1E">
            <w:pPr>
              <w:pStyle w:val="ListParagraph"/>
              <w:numPr>
                <w:ilvl w:val="0"/>
                <w:numId w:val="23"/>
              </w:numPr>
              <w:jc w:val="center"/>
              <w:rPr>
                <w:rFonts w:asciiTheme="minorHAnsi" w:hAnsiTheme="minorHAnsi" w:cs="Times New Roman"/>
                <w:i/>
                <w:iCs/>
              </w:rPr>
            </w:pPr>
            <w:r w:rsidRPr="00D36AEA">
              <w:rPr>
                <w:rFonts w:asciiTheme="minorHAnsi" w:hAnsiTheme="minorHAnsi" w:cs="Times New Roman"/>
                <w:i/>
                <w:iCs/>
              </w:rPr>
              <w:t>Pirkimo reikalavimai</w:t>
            </w:r>
          </w:p>
        </w:tc>
      </w:tr>
      <w:tr w:rsidR="009651B0" w:rsidRPr="009E4E36" w14:paraId="2C037A90" w14:textId="77777777" w:rsidTr="0044232F">
        <w:trPr>
          <w:trHeight w:val="656"/>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1A13A93E" w14:textId="40C51A40" w:rsidR="00A538DC" w:rsidRPr="00D36AEA" w:rsidRDefault="00D36AEA" w:rsidP="00D36AEA">
            <w:pPr>
              <w:rPr>
                <w:rFonts w:asciiTheme="minorHAnsi" w:hAnsiTheme="minorHAnsi" w:cstheme="minorHAnsi"/>
              </w:rPr>
            </w:pPr>
            <w:r w:rsidRPr="00D36AEA">
              <w:rPr>
                <w:rFonts w:asciiTheme="minorHAnsi" w:hAnsiTheme="minorHAnsi" w:cstheme="minorHAnsi"/>
                <w:b w:val="0"/>
                <w:bCs w:val="0"/>
              </w:rPr>
              <w:t>1.</w:t>
            </w:r>
            <w:r>
              <w:rPr>
                <w:rFonts w:asciiTheme="minorHAnsi" w:hAnsiTheme="minorHAnsi" w:cstheme="minorHAnsi"/>
              </w:rPr>
              <w:t xml:space="preserve">1. </w:t>
            </w:r>
            <w:r w:rsidR="00A538DC" w:rsidRPr="00D36AEA">
              <w:rPr>
                <w:rFonts w:asciiTheme="minorHAnsi" w:hAnsiTheme="minorHAnsi" w:cstheme="minorHAnsi"/>
              </w:rPr>
              <w:t>Perkančioji organizacija neplanuoja pirkimo objekto skaidyti į dalis.</w:t>
            </w:r>
          </w:p>
          <w:p w14:paraId="6C0ADAB8" w14:textId="7F507281" w:rsidR="009651B0" w:rsidRPr="00A538DC" w:rsidRDefault="00A538DC" w:rsidP="00A538DC">
            <w:pPr>
              <w:rPr>
                <w:rFonts w:asciiTheme="minorHAnsi" w:hAnsiTheme="minorHAnsi" w:cstheme="minorHAnsi"/>
              </w:rPr>
            </w:pPr>
            <w:r w:rsidRPr="00A538DC">
              <w:rPr>
                <w:rFonts w:asciiTheme="minorHAnsi" w:hAnsiTheme="minorHAnsi" w:cstheme="minorHAnsi"/>
              </w:rPr>
              <w:t>Ar pirkimo objekto neskaidymas įtakotų Jūsų apsisprendimą dalyvauti pirkime?</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5BC09" w14:textId="06840CCA" w:rsidR="00884B1E" w:rsidRPr="00A538DC" w:rsidRDefault="001B6CEA" w:rsidP="00884B1E">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 xml:space="preserve">Perkančioji organizacija nusprendė neskaidyti pirkimo objekto į dalis. </w:t>
            </w:r>
            <w:r w:rsidR="00884B1E">
              <w:rPr>
                <w:rFonts w:asciiTheme="minorHAnsi" w:hAnsiTheme="minorHAnsi" w:cs="Times New Roman"/>
              </w:rPr>
              <w:t xml:space="preserve">Rinkos konsultacijos metu nei vienas iš dalyvių nepasisakė, kad pirkimo objekto neskaidymas į dalis galėtų įtakoti tiekėjo galimybes dalyvauti pirkimo procedūrose, todėl nėra pagrindo teigti, kad toks perkančiosios organizacijos sprendimas galėtų neigiamai įtakoti konkurenciją. </w:t>
            </w:r>
          </w:p>
        </w:tc>
      </w:tr>
      <w:tr w:rsidR="007D44C1" w:rsidRPr="009E4E36" w14:paraId="40465709" w14:textId="77777777" w:rsidTr="0044232F">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311AF639" w14:textId="7DF34281" w:rsidR="007D44C1" w:rsidRPr="001B6CEA" w:rsidRDefault="00D36AEA" w:rsidP="00A538DC">
            <w:pPr>
              <w:rPr>
                <w:rFonts w:asciiTheme="minorHAnsi" w:hAnsiTheme="minorHAnsi" w:cstheme="minorHAnsi"/>
              </w:rPr>
            </w:pPr>
            <w:r w:rsidRPr="001B6CEA">
              <w:rPr>
                <w:rFonts w:asciiTheme="minorHAnsi" w:hAnsiTheme="minorHAnsi" w:cstheme="minorHAnsi"/>
              </w:rPr>
              <w:lastRenderedPageBreak/>
              <w:t xml:space="preserve">1.2. </w:t>
            </w:r>
            <w:r w:rsidR="00C27F77" w:rsidRPr="001B6CEA">
              <w:rPr>
                <w:rFonts w:asciiTheme="minorHAnsi" w:hAnsiTheme="minorHAnsi" w:cstheme="minorHAnsi"/>
              </w:rPr>
              <w:t>Kokia galėtų būti preliminari Darbų kaina</w:t>
            </w:r>
            <w:r w:rsidR="00C27F77" w:rsidRPr="001B6CEA">
              <w:rPr>
                <w:rFonts w:asciiTheme="minorHAnsi" w:hAnsiTheme="minorHAnsi" w:cstheme="minorHAnsi"/>
                <w:vertAlign w:val="superscript"/>
              </w:rPr>
              <w:footnoteReference w:id="1"/>
            </w:r>
            <w:r w:rsidR="00C27F77" w:rsidRPr="001B6CEA">
              <w:rPr>
                <w:rFonts w:asciiTheme="minorHAnsi" w:hAnsiTheme="minorHAnsi" w:cstheme="minorHAnsi"/>
              </w:rPr>
              <w:t xml:space="preserve"> įskaitant pristatymo, eksporto (jei tokios taikomos) procedūras bei visus susijusius mokesčius bei išlaidas?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1EE18" w14:textId="765A74DA" w:rsidR="00644E43" w:rsidRPr="008711AF" w:rsidRDefault="00644E43" w:rsidP="00644E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711AF">
              <w:rPr>
                <w:rFonts w:asciiTheme="minorHAnsi" w:hAnsiTheme="minorHAnsi" w:cstheme="minorHAnsi"/>
              </w:rPr>
              <w:t xml:space="preserve">Komisija atsižvelgs į rinkos dalyvių pateiktą informaciją dėl </w:t>
            </w:r>
            <w:r w:rsidR="00C20C6C">
              <w:rPr>
                <w:rFonts w:asciiTheme="minorHAnsi" w:hAnsiTheme="minorHAnsi" w:cstheme="minorHAnsi"/>
              </w:rPr>
              <w:t>pirkimo objekto įgyvendinimo</w:t>
            </w:r>
            <w:r w:rsidRPr="008711AF">
              <w:rPr>
                <w:rFonts w:asciiTheme="minorHAnsi" w:hAnsiTheme="minorHAnsi" w:cstheme="minorHAnsi"/>
              </w:rPr>
              <w:t xml:space="preserve"> kainų, priimant sprendimą dėl pirkimui aktualių verčių nustatymo. </w:t>
            </w:r>
          </w:p>
          <w:p w14:paraId="1F6B5C51" w14:textId="0DF7B686" w:rsidR="00541789" w:rsidRPr="009E4E36" w:rsidRDefault="00541789" w:rsidP="00541789">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p>
        </w:tc>
      </w:tr>
      <w:tr w:rsidR="007D44C1" w:rsidRPr="009E4E36" w14:paraId="6832DA98" w14:textId="77777777" w:rsidTr="0044232F">
        <w:trPr>
          <w:trHeight w:val="97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02CEB44A" w14:textId="05F17150" w:rsidR="007D44C1" w:rsidRPr="00A538DC" w:rsidRDefault="00D36AEA" w:rsidP="007D44C1">
            <w:pPr>
              <w:rPr>
                <w:rFonts w:asciiTheme="minorHAnsi" w:hAnsiTheme="minorHAnsi" w:cstheme="minorHAnsi"/>
              </w:rPr>
            </w:pPr>
            <w:r>
              <w:rPr>
                <w:rFonts w:asciiTheme="minorHAnsi" w:hAnsiTheme="minorHAnsi" w:cstheme="minorHAnsi"/>
              </w:rPr>
              <w:t xml:space="preserve">1.3. </w:t>
            </w:r>
            <w:r w:rsidR="00A538DC" w:rsidRPr="00A538DC">
              <w:rPr>
                <w:rFonts w:asciiTheme="minorHAnsi" w:hAnsiTheme="minorHAnsi" w:cstheme="minorHAnsi"/>
              </w:rPr>
              <w:t>Ar Jūsų sutartinių įsipareigojimų vykdymui būtų reikalingas avansinis mokėjimas?* Jei taip, tai kokio dydžio?</w:t>
            </w:r>
          </w:p>
          <w:p w14:paraId="59817AB2" w14:textId="44F7E0C1" w:rsidR="00A538DC" w:rsidRPr="00A538DC" w:rsidRDefault="00A538DC" w:rsidP="007D44C1">
            <w:pPr>
              <w:rPr>
                <w:rFonts w:asciiTheme="minorHAnsi" w:hAnsiTheme="minorHAnsi" w:cstheme="minorHAnsi"/>
              </w:rPr>
            </w:pPr>
            <w:r w:rsidRPr="00A538DC">
              <w:rPr>
                <w:rFonts w:asciiTheme="minorHAnsi" w:hAnsiTheme="minorHAnsi" w:cstheme="minorHAnsi"/>
              </w:rPr>
              <w:t>*Pažymime, kad avansas privalės būti užtikrintas ne mažesnės nei prašomo avanso sumos avanso garantija - banko ar finansų įstaigos išduota finansine garantija.</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EBDA1" w14:textId="64A548C9" w:rsidR="00A70F6A" w:rsidRPr="007A1676" w:rsidRDefault="00441672" w:rsidP="001D0403">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N</w:t>
            </w:r>
            <w:r w:rsidRPr="00CC5A60">
              <w:rPr>
                <w:rFonts w:asciiTheme="minorHAnsi" w:hAnsiTheme="minorHAnsi" w:cs="Times New Roman"/>
              </w:rPr>
              <w:t xml:space="preserve">uspręsta </w:t>
            </w:r>
            <w:r>
              <w:rPr>
                <w:rFonts w:asciiTheme="minorHAnsi" w:hAnsiTheme="minorHAnsi" w:cs="Times New Roman"/>
              </w:rPr>
              <w:t>numatyti ne didesnio kaip 5</w:t>
            </w:r>
            <w:r w:rsidRPr="00CC5A60">
              <w:rPr>
                <w:rFonts w:asciiTheme="minorHAnsi" w:hAnsiTheme="minorHAnsi" w:cs="Times New Roman"/>
              </w:rPr>
              <w:t>0 proc. avansinio mokėjimo galimybę. Tiekėjas, norėdamas gauti avansinį apmokėjimą, turės pateikti Sutarties sąlygas atitinkantį avanso grąžinimo užtikrinimą.</w:t>
            </w:r>
          </w:p>
        </w:tc>
      </w:tr>
      <w:tr w:rsidR="00C27F77" w:rsidRPr="009E4E36" w14:paraId="5CE63B38" w14:textId="77777777" w:rsidTr="0044232F">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6EE6E11B" w14:textId="00A38B0D" w:rsidR="00C27F77" w:rsidRPr="001B6CEA" w:rsidRDefault="00C27F77" w:rsidP="007D44C1">
            <w:pPr>
              <w:rPr>
                <w:rFonts w:asciiTheme="minorHAnsi" w:hAnsiTheme="minorHAnsi" w:cstheme="minorHAnsi"/>
              </w:rPr>
            </w:pPr>
            <w:r w:rsidRPr="001B6CEA">
              <w:rPr>
                <w:rFonts w:asciiTheme="minorHAnsi" w:hAnsiTheme="minorHAnsi" w:cstheme="minorHAnsi"/>
              </w:rPr>
              <w:t>1.4. Kiek pageidautumėte numatyti tarpinių mokėjimų Sutartyje? Ar dviejų tarpinių mokėjimų užtektų?</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56BEE6" w14:textId="3C38B1CF" w:rsidR="00C27F77" w:rsidRDefault="001B6CEA" w:rsidP="001D040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Perkančioji organizacija, atsižvelgdama į patirtį buvusiuose projektuose bei rinkos konsultacijos dalyvių atsakymus nusprendė Sutarties projekte numatyti dviejų tarpinių mokėjimų galimybę.</w:t>
            </w:r>
            <w:r w:rsidR="00A16370">
              <w:rPr>
                <w:rFonts w:asciiTheme="minorHAnsi" w:hAnsiTheme="minorHAnsi" w:cs="Times New Roman"/>
              </w:rPr>
              <w:t xml:space="preserve"> Galutinis apmokėjimas bus atliekamas įgyvendinus visą pirkimo objektą bei pasirašius priėmimo perdavimo aktą (be trūkumų).</w:t>
            </w:r>
          </w:p>
        </w:tc>
      </w:tr>
      <w:tr w:rsidR="009651B0" w:rsidRPr="009E4E36" w14:paraId="128D68E3" w14:textId="77777777" w:rsidTr="0044232F">
        <w:trPr>
          <w:trHeight w:val="55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48B923EA" w14:textId="3E761FFD" w:rsidR="00A538DC" w:rsidRPr="00A538DC" w:rsidRDefault="00D36AEA" w:rsidP="00A538DC">
            <w:pPr>
              <w:rPr>
                <w:rFonts w:ascii="Calibri" w:hAnsi="Calibri" w:cs="Calibri"/>
              </w:rPr>
            </w:pPr>
            <w:r>
              <w:rPr>
                <w:rFonts w:ascii="Calibri" w:hAnsi="Calibri" w:cs="Calibri"/>
              </w:rPr>
              <w:t>1.</w:t>
            </w:r>
            <w:r w:rsidR="001B6CEA">
              <w:rPr>
                <w:rFonts w:ascii="Calibri" w:hAnsi="Calibri" w:cs="Calibri"/>
              </w:rPr>
              <w:t>5</w:t>
            </w:r>
            <w:r>
              <w:rPr>
                <w:rFonts w:ascii="Calibri" w:hAnsi="Calibri" w:cs="Calibri"/>
              </w:rPr>
              <w:t xml:space="preserve">. </w:t>
            </w:r>
            <w:r w:rsidR="00A538DC" w:rsidRPr="00A538DC">
              <w:rPr>
                <w:rFonts w:ascii="Calibri" w:hAnsi="Calibri" w:cs="Calibri"/>
              </w:rPr>
              <w:t xml:space="preserve">Ar Jūsų įmonė atitinka numatomus nustatyti kvalifikacijos reikalavimus (žr. </w:t>
            </w:r>
            <w:r w:rsidR="00C27F77">
              <w:rPr>
                <w:rFonts w:ascii="Calibri" w:hAnsi="Calibri" w:cs="Calibri"/>
              </w:rPr>
              <w:t>2</w:t>
            </w:r>
            <w:r w:rsidR="00A538DC" w:rsidRPr="00A538DC">
              <w:rPr>
                <w:rFonts w:ascii="Calibri" w:hAnsi="Calibri" w:cs="Calibri"/>
              </w:rPr>
              <w:t xml:space="preserve"> priedą)? </w:t>
            </w:r>
          </w:p>
          <w:p w14:paraId="2C1B0AA1" w14:textId="01A3A9DE" w:rsidR="009651B0" w:rsidRPr="00A538DC" w:rsidRDefault="00A538DC" w:rsidP="00A538DC">
            <w:pPr>
              <w:rPr>
                <w:rFonts w:ascii="Calibri" w:hAnsi="Calibri" w:cs="Calibri"/>
              </w:rPr>
            </w:pPr>
            <w:r w:rsidRPr="00A538DC">
              <w:rPr>
                <w:rFonts w:ascii="Calibri" w:hAnsi="Calibri" w:cs="Calibri"/>
              </w:rPr>
              <w:t>Ar turėtumėte jiems pastabų?</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3FC5C" w14:textId="2338CAFB" w:rsidR="00C37774" w:rsidRDefault="00C37774" w:rsidP="00C37774">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Siekianti įsitikinti tiekėjo pajėgumais bei patirtimi įgyvendinant panašaus pobūdžio sutartis, nuspręsta taikyti žemiau pateiktą kvalifikacijos reikalavimą:</w:t>
            </w:r>
          </w:p>
          <w:tbl>
            <w:tblPr>
              <w:tblW w:w="4988"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398"/>
              <w:gridCol w:w="6523"/>
            </w:tblGrid>
            <w:tr w:rsidR="00C37774" w:rsidRPr="00B44358" w14:paraId="516F102B" w14:textId="77777777" w:rsidTr="009971E2">
              <w:trPr>
                <w:trHeight w:val="241"/>
              </w:trPr>
              <w:tc>
                <w:tcPr>
                  <w:tcW w:w="2476" w:type="pct"/>
                  <w:shd w:val="clear" w:color="auto" w:fill="auto"/>
                  <w:vAlign w:val="center"/>
                </w:tcPr>
                <w:p w14:paraId="0DD54119" w14:textId="77777777" w:rsidR="00C37774" w:rsidRPr="00B44358" w:rsidRDefault="00C37774" w:rsidP="00C37774">
                  <w:pPr>
                    <w:spacing w:after="0"/>
                    <w:jc w:val="center"/>
                    <w:rPr>
                      <w:rFonts w:asciiTheme="minorHAnsi" w:eastAsia="Calibri" w:hAnsiTheme="minorHAnsi" w:cstheme="minorHAnsi"/>
                      <w:b/>
                      <w:color w:val="000000" w:themeColor="text1"/>
                      <w:spacing w:val="-8"/>
                    </w:rPr>
                  </w:pPr>
                  <w:r w:rsidRPr="00B44358">
                    <w:rPr>
                      <w:rFonts w:asciiTheme="minorHAnsi" w:eastAsia="Calibri" w:hAnsiTheme="minorHAnsi" w:cstheme="minorHAnsi"/>
                      <w:b/>
                      <w:color w:val="000000" w:themeColor="text1"/>
                      <w:spacing w:val="-8"/>
                    </w:rPr>
                    <w:t>Kvalifikacijos reikalavimai</w:t>
                  </w:r>
                </w:p>
              </w:tc>
              <w:tc>
                <w:tcPr>
                  <w:tcW w:w="2524" w:type="pct"/>
                  <w:shd w:val="clear" w:color="auto" w:fill="auto"/>
                  <w:vAlign w:val="center"/>
                </w:tcPr>
                <w:p w14:paraId="492F103B" w14:textId="77777777" w:rsidR="00C37774" w:rsidRPr="00B44358" w:rsidRDefault="00C37774" w:rsidP="00C37774">
                  <w:pPr>
                    <w:spacing w:after="0"/>
                    <w:jc w:val="center"/>
                    <w:rPr>
                      <w:rFonts w:asciiTheme="minorHAnsi" w:eastAsia="Calibri" w:hAnsiTheme="minorHAnsi" w:cstheme="minorHAnsi"/>
                      <w:b/>
                      <w:color w:val="000000" w:themeColor="text1"/>
                      <w:spacing w:val="-8"/>
                    </w:rPr>
                  </w:pPr>
                  <w:r w:rsidRPr="00B44358">
                    <w:rPr>
                      <w:rFonts w:asciiTheme="minorHAnsi" w:eastAsia="Calibri" w:hAnsiTheme="minorHAnsi" w:cstheme="minorHAnsi"/>
                      <w:b/>
                      <w:color w:val="000000" w:themeColor="text1"/>
                      <w:spacing w:val="-8"/>
                    </w:rPr>
                    <w:t>Atitiktį įrodantys dokumentai</w:t>
                  </w:r>
                </w:p>
                <w:p w14:paraId="2D8E9175" w14:textId="77777777" w:rsidR="00C37774" w:rsidRPr="00B44358" w:rsidRDefault="00C37774" w:rsidP="00C37774">
                  <w:pPr>
                    <w:spacing w:after="0"/>
                    <w:jc w:val="center"/>
                    <w:rPr>
                      <w:rFonts w:asciiTheme="minorHAnsi" w:eastAsia="Calibri" w:hAnsiTheme="minorHAnsi" w:cstheme="minorHAnsi"/>
                      <w:color w:val="000000" w:themeColor="text1"/>
                      <w:spacing w:val="-8"/>
                    </w:rPr>
                  </w:pPr>
                  <w:r w:rsidRPr="00B44358">
                    <w:rPr>
                      <w:rFonts w:asciiTheme="minorHAnsi" w:eastAsia="Calibri" w:hAnsiTheme="minorHAnsi" w:cstheme="minorHAnsi"/>
                      <w:color w:val="000000" w:themeColor="text1"/>
                      <w:spacing w:val="-8"/>
                    </w:rPr>
                    <w:t>(teikiami perkančiajai organizacijai paprašius)</w:t>
                  </w:r>
                </w:p>
              </w:tc>
            </w:tr>
            <w:tr w:rsidR="00C37774" w:rsidRPr="00B44358" w14:paraId="75360D91" w14:textId="77777777" w:rsidTr="009971E2">
              <w:trPr>
                <w:trHeight w:val="257"/>
              </w:trPr>
              <w:tc>
                <w:tcPr>
                  <w:tcW w:w="2476" w:type="pct"/>
                  <w:shd w:val="clear" w:color="auto" w:fill="auto"/>
                </w:tcPr>
                <w:p w14:paraId="48019C3E"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spacing w:val="-8"/>
                      <w:lang w:val="en-GB"/>
                    </w:rPr>
                    <w:t>During the last 5* years before the end of the offer submission deadline, the supplier under one or more contracts as carried out works for the installation of solar power plant(s) for a total value of at least EUR 60 000,00 excluding VAT and the execution of the most important works was proper as well as the final results were adequate.</w:t>
                  </w:r>
                </w:p>
                <w:p w14:paraId="00D3D8E9"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p>
                <w:p w14:paraId="5A3502B6" w14:textId="032E917A"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spacing w:val="-8"/>
                      <w:lang w:val="en-GB"/>
                    </w:rPr>
                    <w:t>The most important work is the installation of the above mentioned solar power plant (including inverters</w:t>
                  </w:r>
                  <w:r w:rsidR="00561435">
                    <w:rPr>
                      <w:rFonts w:asciiTheme="minorHAnsi" w:eastAsia="Calibri" w:hAnsiTheme="minorHAnsi" w:cstheme="minorHAnsi"/>
                      <w:spacing w:val="-8"/>
                      <w:lang w:val="en-GB"/>
                    </w:rPr>
                    <w:t xml:space="preserve"> and (or)</w:t>
                  </w:r>
                  <w:r w:rsidRPr="00A16370">
                    <w:rPr>
                      <w:rFonts w:asciiTheme="minorHAnsi" w:eastAsia="Calibri" w:hAnsiTheme="minorHAnsi" w:cstheme="minorHAnsi"/>
                      <w:spacing w:val="-8"/>
                      <w:lang w:val="en-GB"/>
                    </w:rPr>
                    <w:t xml:space="preserve"> accumulators).</w:t>
                  </w:r>
                </w:p>
                <w:p w14:paraId="3EB5F66E"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spacing w:val="-8"/>
                      <w:lang w:val="en-GB"/>
                    </w:rPr>
                    <w:t xml:space="preserve"> </w:t>
                  </w:r>
                </w:p>
                <w:p w14:paraId="65BBB7FE"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bCs/>
                      <w:spacing w:val="-8"/>
                      <w:lang w:val="en-GB"/>
                    </w:rPr>
                    <w:t>-</w:t>
                  </w:r>
                  <w:r w:rsidRPr="00A16370">
                    <w:rPr>
                      <w:rFonts w:asciiTheme="minorHAnsi" w:eastAsia="Calibri" w:hAnsiTheme="minorHAnsi" w:cstheme="minorHAnsi"/>
                      <w:spacing w:val="-8"/>
                      <w:lang w:val="en-GB"/>
                    </w:rPr>
                    <w:t xml:space="preserve"> if the proposal is submitted by a group of economic operators, the requirement must be met by all the members of the group of economic operators together (the experience of the members of the group of economic operators is aggregated), taking into account the obligations they assume;</w:t>
                  </w:r>
                </w:p>
                <w:p w14:paraId="6D8E89E6"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bCs/>
                      <w:spacing w:val="-8"/>
                      <w:lang w:val="en-GB"/>
                    </w:rPr>
                    <w:t xml:space="preserve">- </w:t>
                  </w:r>
                  <w:r w:rsidRPr="00A16370">
                    <w:rPr>
                      <w:rFonts w:asciiTheme="minorHAnsi" w:eastAsia="Calibri" w:hAnsiTheme="minorHAnsi" w:cstheme="minorHAnsi"/>
                      <w:spacing w:val="-8"/>
                      <w:lang w:val="en-GB"/>
                    </w:rPr>
                    <w:t>the supplier may rely on the capacities of other economic operators only if those entities themselves carry out that part of the contract which requires the capacity at their disposal;</w:t>
                  </w:r>
                </w:p>
                <w:p w14:paraId="104D3BB6"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bCs/>
                      <w:spacing w:val="-8"/>
                      <w:lang w:val="en-GB"/>
                    </w:rPr>
                    <w:t xml:space="preserve">- </w:t>
                  </w:r>
                  <w:r w:rsidRPr="00A16370">
                    <w:rPr>
                      <w:rFonts w:asciiTheme="minorHAnsi" w:eastAsia="Calibri" w:hAnsiTheme="minorHAnsi" w:cstheme="minorHAnsi"/>
                      <w:spacing w:val="-8"/>
                      <w:lang w:val="en-GB"/>
                    </w:rPr>
                    <w:t>this requirement shall not be imposed on sub-contractors.</w:t>
                  </w:r>
                </w:p>
                <w:p w14:paraId="7DF87208"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spacing w:val="-8"/>
                      <w:lang w:val="en-GB"/>
                    </w:rPr>
                    <w:t> </w:t>
                  </w:r>
                </w:p>
                <w:p w14:paraId="6B157E99" w14:textId="3F3B9099" w:rsidR="00C37774" w:rsidRPr="00B44358" w:rsidRDefault="00A16370" w:rsidP="00A16370">
                  <w:pPr>
                    <w:widowControl w:val="0"/>
                    <w:tabs>
                      <w:tab w:val="left" w:pos="1276"/>
                    </w:tabs>
                    <w:spacing w:after="0"/>
                    <w:outlineLvl w:val="1"/>
                    <w:rPr>
                      <w:rFonts w:asciiTheme="minorHAnsi" w:eastAsia="Calibri" w:hAnsiTheme="minorHAnsi" w:cstheme="minorHAnsi"/>
                      <w:spacing w:val="-8"/>
                    </w:rPr>
                  </w:pPr>
                  <w:r w:rsidRPr="00A16370">
                    <w:rPr>
                      <w:rFonts w:asciiTheme="minorHAnsi" w:eastAsia="Calibri" w:hAnsiTheme="minorHAnsi" w:cstheme="minorHAnsi"/>
                      <w:iCs/>
                      <w:spacing w:val="-8"/>
                      <w:lang w:val="en-GB"/>
                    </w:rPr>
                    <w:t>The supplier shall not be prohibited from relying on a contract which the supplier performed not alone but jointly with other economic operators. However, in such a case, it is precisely the works carried out by a particular economic operator involved in the procurement, their volume, their value, and not the entire subject matter of the contract performed that must be assessed.</w:t>
                  </w:r>
                </w:p>
                <w:p w14:paraId="32A6A972" w14:textId="77777777" w:rsidR="00C37774" w:rsidRPr="00B44358" w:rsidRDefault="00C37774" w:rsidP="00C37774">
                  <w:pPr>
                    <w:spacing w:after="0"/>
                    <w:contextualSpacing/>
                    <w:rPr>
                      <w:rFonts w:asciiTheme="minorHAnsi" w:eastAsia="Calibri" w:hAnsiTheme="minorHAnsi" w:cstheme="minorHAnsi"/>
                      <w:color w:val="000000" w:themeColor="text1"/>
                      <w:spacing w:val="-8"/>
                    </w:rPr>
                  </w:pPr>
                </w:p>
                <w:p w14:paraId="3EBF499D" w14:textId="77777777" w:rsidR="00C37774" w:rsidRPr="00B44358" w:rsidRDefault="00C37774" w:rsidP="00C37774">
                  <w:pPr>
                    <w:spacing w:after="0"/>
                    <w:contextualSpacing/>
                    <w:rPr>
                      <w:rFonts w:asciiTheme="minorHAnsi" w:eastAsia="Calibri" w:hAnsiTheme="minorHAnsi" w:cstheme="minorHAnsi"/>
                      <w:color w:val="000000" w:themeColor="text1"/>
                      <w:spacing w:val="-8"/>
                    </w:rPr>
                  </w:pPr>
                </w:p>
              </w:tc>
              <w:tc>
                <w:tcPr>
                  <w:tcW w:w="2524" w:type="pct"/>
                  <w:shd w:val="clear" w:color="auto" w:fill="auto"/>
                </w:tcPr>
                <w:p w14:paraId="5CEEEE20"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Documents to be submitted:</w:t>
                  </w:r>
                </w:p>
                <w:p w14:paraId="55322A60"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(1) a list of the works executed by the supplier during the last 5 years or during the period from the date of registration of the supplier (if the supplier has been in business for less than 5 (five) years), in accordance with the form set out in Annex 6 to the terms and conditions of the contract, entitled "List of works performed by the supplier";</w:t>
                  </w:r>
                </w:p>
                <w:p w14:paraId="00907C2C"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2) certificates from the Customer on the proper execution  of the contract or other documents from the customer and/ or supplier proving the proper execution of the contract. In the event that the supplier submits documents other than those provided by the customer in support of the proper performance of the contract, the supplier is required to provide an explanation of how those documents prove the satisfactory performance of the contract.</w:t>
                  </w:r>
                </w:p>
                <w:p w14:paraId="41F8488D"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p>
                <w:p w14:paraId="6D041546"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Proper performance of the contract is considered to be justified if the supporting documents (certificates, etc.) confirm that the supplier's contractual obligations have been properly fulfilled</w:t>
                  </w:r>
                </w:p>
                <w:p w14:paraId="50B111BE"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p>
                <w:p w14:paraId="340294D8"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In order to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030A4FB" w14:textId="6214EEBE" w:rsidR="00C37774" w:rsidRPr="00B44358" w:rsidRDefault="00A16370" w:rsidP="00A16370">
                  <w:pPr>
                    <w:widowControl w:val="0"/>
                    <w:tabs>
                      <w:tab w:val="left" w:pos="1276"/>
                    </w:tabs>
                    <w:spacing w:after="0"/>
                    <w:outlineLvl w:val="1"/>
                    <w:rPr>
                      <w:rFonts w:asciiTheme="minorHAnsi" w:eastAsia="Calibri" w:hAnsiTheme="minorHAnsi" w:cstheme="minorHAnsi"/>
                      <w:color w:val="000000" w:themeColor="text1"/>
                      <w:spacing w:val="-8"/>
                      <w:u w:val="single"/>
                    </w:rPr>
                  </w:pPr>
                  <w:r w:rsidRPr="00A16370">
                    <w:rPr>
                      <w:rFonts w:asciiTheme="minorHAnsi" w:eastAsia="Calibri" w:hAnsiTheme="minorHAnsi" w:cstheme="minorHAnsi"/>
                      <w:bCs/>
                      <w:color w:val="000000" w:themeColor="text1"/>
                      <w:spacing w:val="-8"/>
                      <w:lang w:val="en-GB"/>
                    </w:rPr>
                    <w:t>In order to clarify the information about the manufactured and/or sold goods, the Contracting Authority reserves the right to contact the customer's contact person indicated by the supplier without prior notice.</w:t>
                  </w:r>
                </w:p>
              </w:tc>
            </w:tr>
          </w:tbl>
          <w:p w14:paraId="7DBD882C" w14:textId="35B37275" w:rsidR="001D0403" w:rsidRPr="009E4E36" w:rsidRDefault="001D0403" w:rsidP="00FF725C">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p>
        </w:tc>
      </w:tr>
      <w:tr w:rsidR="009651B0" w:rsidRPr="009E4E36" w14:paraId="08327916" w14:textId="77777777" w:rsidTr="0044232F">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56701DF9" w14:textId="66618318" w:rsidR="009651B0" w:rsidRPr="001B6CEA" w:rsidRDefault="00D36AEA" w:rsidP="00A538DC">
            <w:pPr>
              <w:rPr>
                <w:rFonts w:asciiTheme="minorHAnsi" w:hAnsiTheme="minorHAnsi" w:cstheme="minorHAnsi"/>
              </w:rPr>
            </w:pPr>
            <w:r w:rsidRPr="001B6CEA">
              <w:rPr>
                <w:rFonts w:asciiTheme="minorHAnsi" w:hAnsiTheme="minorHAnsi" w:cstheme="minorHAnsi"/>
              </w:rPr>
              <w:t>1.</w:t>
            </w:r>
            <w:r w:rsidR="001B6CEA" w:rsidRPr="001B6CEA">
              <w:rPr>
                <w:rFonts w:asciiTheme="minorHAnsi" w:hAnsiTheme="minorHAnsi" w:cstheme="minorHAnsi"/>
              </w:rPr>
              <w:t>6</w:t>
            </w:r>
            <w:r w:rsidRPr="001B6CEA">
              <w:rPr>
                <w:rFonts w:asciiTheme="minorHAnsi" w:hAnsiTheme="minorHAnsi" w:cstheme="minorHAnsi"/>
              </w:rPr>
              <w:t xml:space="preserve">. </w:t>
            </w:r>
            <w:r w:rsidR="001B6CEA" w:rsidRPr="001B6CEA">
              <w:rPr>
                <w:rFonts w:asciiTheme="minorHAnsi" w:hAnsiTheme="minorHAnsi" w:cstheme="minorHAnsi"/>
              </w:rPr>
              <w:t>Ar būtų poreikis apsilankyti vietoje objekto apžiūrai?</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15FBCA" w14:textId="0646B9D7" w:rsidR="00390909" w:rsidRDefault="00390909" w:rsidP="00390909">
            <w:pPr>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 xml:space="preserve">Nuspręsta </w:t>
            </w:r>
            <w:r w:rsidRPr="00390909">
              <w:rPr>
                <w:rFonts w:asciiTheme="minorHAnsi" w:hAnsiTheme="minorHAnsi" w:cs="Times New Roman"/>
              </w:rPr>
              <w:t>pasiūlymus vertinti pagal kainos ir kokybės santykį, taikant šiuos pasiūlymų vertinimo kriterijus:</w:t>
            </w:r>
            <w:r>
              <w:rPr>
                <w:rFonts w:asciiTheme="minorHAnsi" w:hAnsiTheme="minorHAnsi" w:cs="Times New Roman"/>
              </w:rPr>
              <w:t xml:space="preserve"> </w:t>
            </w:r>
          </w:p>
          <w:tbl>
            <w:tblPr>
              <w:tblW w:w="5011" w:type="pct"/>
              <w:tblCellMar>
                <w:left w:w="0" w:type="dxa"/>
                <w:right w:w="0" w:type="dxa"/>
              </w:tblCellMar>
              <w:tblLook w:val="04A0" w:firstRow="1" w:lastRow="0" w:firstColumn="1" w:lastColumn="0" w:noHBand="0" w:noVBand="1"/>
            </w:tblPr>
            <w:tblGrid>
              <w:gridCol w:w="7846"/>
              <w:gridCol w:w="5124"/>
            </w:tblGrid>
            <w:tr w:rsidR="00390909" w:rsidRPr="00302A53" w14:paraId="019A23E8" w14:textId="77777777" w:rsidTr="000F64F0">
              <w:trPr>
                <w:cantSplit/>
                <w:tblHeader/>
              </w:trPr>
              <w:tc>
                <w:tcPr>
                  <w:tcW w:w="591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DF0602D" w14:textId="77777777" w:rsidR="00390909" w:rsidRPr="00390909" w:rsidRDefault="00390909" w:rsidP="00390909">
                  <w:pPr>
                    <w:spacing w:after="60"/>
                    <w:jc w:val="center"/>
                    <w:rPr>
                      <w:rFonts w:asciiTheme="minorHAnsi" w:hAnsiTheme="minorHAnsi" w:cs="Times New Roman"/>
                    </w:rPr>
                  </w:pPr>
                  <w:r w:rsidRPr="00390909">
                    <w:rPr>
                      <w:rFonts w:asciiTheme="minorHAnsi" w:hAnsiTheme="minorHAnsi" w:cs="Times New Roman"/>
                    </w:rPr>
                    <w:t>Vertinimo kriterijai</w:t>
                  </w:r>
                </w:p>
              </w:tc>
              <w:tc>
                <w:tcPr>
                  <w:tcW w:w="3864"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79A67317" w14:textId="77777777" w:rsidR="00390909" w:rsidRPr="00390909" w:rsidRDefault="00390909" w:rsidP="00390909">
                  <w:pPr>
                    <w:spacing w:after="60"/>
                    <w:ind w:hanging="7"/>
                    <w:jc w:val="center"/>
                    <w:rPr>
                      <w:rFonts w:asciiTheme="minorHAnsi" w:hAnsiTheme="minorHAnsi" w:cs="Times New Roman"/>
                    </w:rPr>
                  </w:pPr>
                  <w:r w:rsidRPr="00390909">
                    <w:rPr>
                      <w:rFonts w:asciiTheme="minorHAnsi" w:hAnsiTheme="minorHAnsi" w:cs="Times New Roman"/>
                    </w:rPr>
                    <w:t>Lyginamasis svoris ekonominio naudingumo įvertinime</w:t>
                  </w:r>
                </w:p>
              </w:tc>
            </w:tr>
            <w:tr w:rsidR="00390909" w:rsidRPr="00302A53" w14:paraId="236B6814" w14:textId="77777777" w:rsidTr="000F64F0">
              <w:trPr>
                <w:cantSplit/>
              </w:trPr>
              <w:tc>
                <w:tcPr>
                  <w:tcW w:w="59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603A26" w14:textId="77777777" w:rsidR="00390909" w:rsidRPr="00390909" w:rsidRDefault="00390909" w:rsidP="00390909">
                  <w:pPr>
                    <w:spacing w:after="60"/>
                    <w:rPr>
                      <w:rFonts w:asciiTheme="minorHAnsi" w:hAnsiTheme="minorHAnsi" w:cs="Times New Roman"/>
                    </w:rPr>
                  </w:pPr>
                  <w:r w:rsidRPr="00390909">
                    <w:rPr>
                      <w:rFonts w:asciiTheme="minorHAnsi" w:hAnsiTheme="minorHAnsi" w:cs="Times New Roman"/>
                    </w:rPr>
                    <w:t>Pirmas kriterijus: Kaina (C)</w:t>
                  </w:r>
                </w:p>
              </w:tc>
              <w:tc>
                <w:tcPr>
                  <w:tcW w:w="38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A3867E" w14:textId="77777777" w:rsidR="00390909" w:rsidRPr="00390909" w:rsidRDefault="00390909" w:rsidP="00390909">
                  <w:pPr>
                    <w:spacing w:after="60"/>
                    <w:jc w:val="center"/>
                    <w:rPr>
                      <w:rFonts w:asciiTheme="minorHAnsi" w:hAnsiTheme="minorHAnsi" w:cs="Times New Roman"/>
                    </w:rPr>
                  </w:pPr>
                  <w:r w:rsidRPr="00390909">
                    <w:rPr>
                      <w:rFonts w:asciiTheme="minorHAnsi" w:hAnsiTheme="minorHAnsi" w:cs="Times New Roman"/>
                    </w:rPr>
                    <w:t>X= 90</w:t>
                  </w:r>
                </w:p>
              </w:tc>
            </w:tr>
            <w:tr w:rsidR="00390909" w:rsidRPr="00302A53" w14:paraId="5693878C" w14:textId="77777777" w:rsidTr="000F64F0">
              <w:tc>
                <w:tcPr>
                  <w:tcW w:w="59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84905B" w14:textId="6A9D1E72" w:rsidR="00390909" w:rsidRPr="00390909" w:rsidRDefault="00390909" w:rsidP="00390909">
                  <w:pPr>
                    <w:spacing w:after="60"/>
                    <w:rPr>
                      <w:rFonts w:asciiTheme="minorHAnsi" w:hAnsiTheme="minorHAnsi" w:cs="Times New Roman"/>
                    </w:rPr>
                  </w:pPr>
                  <w:r w:rsidRPr="00390909">
                    <w:rPr>
                      <w:rFonts w:asciiTheme="minorHAnsi" w:hAnsiTheme="minorHAnsi" w:cs="Times New Roman"/>
                    </w:rPr>
                    <w:t xml:space="preserve">Antras kriterijus: </w:t>
                  </w:r>
                  <w:r w:rsidR="00A16370">
                    <w:rPr>
                      <w:rFonts w:asciiTheme="minorHAnsi" w:hAnsiTheme="minorHAnsi" w:cs="Times New Roman"/>
                    </w:rPr>
                    <w:t>Darbų atlikimo</w:t>
                  </w:r>
                  <w:r w:rsidRPr="00390909">
                    <w:rPr>
                      <w:rFonts w:asciiTheme="minorHAnsi" w:hAnsiTheme="minorHAnsi" w:cs="Times New Roman"/>
                    </w:rPr>
                    <w:t xml:space="preserve"> terminas (T)</w:t>
                  </w:r>
                </w:p>
              </w:tc>
              <w:tc>
                <w:tcPr>
                  <w:tcW w:w="38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A2E762" w14:textId="77777777" w:rsidR="00390909" w:rsidRPr="00390909" w:rsidRDefault="00390909" w:rsidP="00390909">
                  <w:pPr>
                    <w:spacing w:after="60"/>
                    <w:jc w:val="center"/>
                    <w:rPr>
                      <w:rFonts w:asciiTheme="minorHAnsi" w:hAnsiTheme="minorHAnsi" w:cs="Times New Roman"/>
                    </w:rPr>
                  </w:pPr>
                  <w:r w:rsidRPr="00390909">
                    <w:rPr>
                      <w:rFonts w:asciiTheme="minorHAnsi" w:hAnsiTheme="minorHAnsi" w:cs="Times New Roman"/>
                    </w:rPr>
                    <w:t>Y= 10</w:t>
                  </w:r>
                </w:p>
              </w:tc>
            </w:tr>
          </w:tbl>
          <w:p w14:paraId="5DEB6564" w14:textId="77777777" w:rsidR="00A16370" w:rsidRDefault="00A16370" w:rsidP="00390909">
            <w:pPr>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sidRPr="00A16370">
              <w:rPr>
                <w:rFonts w:asciiTheme="minorHAnsi" w:hAnsiTheme="minorHAnsi" w:cs="Times New Roman"/>
              </w:rPr>
              <w:t>Antrasis kriterijus „Darbų atlikimo terminas“ (T) pasirinktas, atsižvelgiant į įtemptą Naudos gavėjo geopolitinę situaciją bei galimas grėsmes nacionaliniam saugumui bei energetiniam stabilumui, dėl ko kyla poreikis kaip įmanoma greičiau aprūpinti Naudos gavėja saulės energijos gaminimo bei kaupimo įranga.</w:t>
            </w:r>
          </w:p>
          <w:p w14:paraId="76363494" w14:textId="3CFE477B" w:rsidR="00390909" w:rsidRPr="00390909" w:rsidRDefault="00390909" w:rsidP="00390909">
            <w:pPr>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 xml:space="preserve">Pasiūlymų vertinimo tvarka nurodyta Pirkimo sąlygose. Sutarties projekte (Pirkimo sąlygų priedas) atitinkamai numatomos kokybinio kriterijaus laikymosi užtikrinimo priemonės – atitinkamo dydžio delspinigių mokėjimas už vėlavimą </w:t>
            </w:r>
            <w:r w:rsidR="00C20C6C">
              <w:rPr>
                <w:rFonts w:asciiTheme="minorHAnsi" w:hAnsiTheme="minorHAnsi" w:cs="Times New Roman"/>
              </w:rPr>
              <w:t>atlikti darbus</w:t>
            </w:r>
            <w:r>
              <w:rPr>
                <w:rFonts w:asciiTheme="minorHAnsi" w:hAnsiTheme="minorHAnsi" w:cs="Times New Roman"/>
              </w:rPr>
              <w:t>.</w:t>
            </w:r>
          </w:p>
          <w:p w14:paraId="3675CB57" w14:textId="618A910B" w:rsidR="009651B0" w:rsidRPr="009E4E36" w:rsidRDefault="009651B0" w:rsidP="00972177">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p>
        </w:tc>
      </w:tr>
      <w:tr w:rsidR="009651B0" w:rsidRPr="009E4E36" w14:paraId="1E6917A8" w14:textId="77777777" w:rsidTr="0044232F">
        <w:trPr>
          <w:trHeight w:val="42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6F87B0A3" w14:textId="7E9F00FF" w:rsidR="009651B0" w:rsidRPr="00A538DC" w:rsidRDefault="00D36AEA" w:rsidP="00361209">
            <w:pPr>
              <w:rPr>
                <w:rFonts w:asciiTheme="minorHAnsi" w:hAnsiTheme="minorHAnsi" w:cstheme="minorHAnsi"/>
              </w:rPr>
            </w:pPr>
            <w:r>
              <w:rPr>
                <w:rFonts w:asciiTheme="minorHAnsi" w:hAnsiTheme="minorHAnsi" w:cstheme="minorHAnsi"/>
              </w:rPr>
              <w:t>1.</w:t>
            </w:r>
            <w:r w:rsidR="001B6CEA">
              <w:rPr>
                <w:rFonts w:asciiTheme="minorHAnsi" w:hAnsiTheme="minorHAnsi" w:cstheme="minorHAnsi"/>
              </w:rPr>
              <w:t>7</w:t>
            </w:r>
            <w:r>
              <w:rPr>
                <w:rFonts w:asciiTheme="minorHAnsi" w:hAnsiTheme="minorHAnsi" w:cstheme="minorHAnsi"/>
              </w:rPr>
              <w:t xml:space="preserve">. </w:t>
            </w:r>
            <w:r w:rsidR="00A538DC" w:rsidRPr="00A538DC">
              <w:rPr>
                <w:rFonts w:asciiTheme="minorHAnsi" w:hAnsiTheme="minorHAnsi" w:cstheme="minorHAnsi"/>
              </w:rPr>
              <w:t>Kiti siūlymai / pastebėjimai</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D04C7D" w14:textId="60F9D13C" w:rsidR="000E4134" w:rsidRPr="000366D4" w:rsidRDefault="00A16370" w:rsidP="000E4134">
            <w:pPr>
              <w:tabs>
                <w:tab w:val="left" w:pos="314"/>
                <w:tab w:val="left" w:pos="462"/>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Pr>
                <w:rFonts w:asciiTheme="minorHAnsi" w:hAnsiTheme="minorHAnsi"/>
              </w:rPr>
              <w:t xml:space="preserve">Perkančioji organizacija atsižvelgė į rinkos konsultacijos dalyvių pateiktus papildomus pastebėjimus pirkimo objektui (žr. </w:t>
            </w:r>
            <w:r w:rsidR="00740525">
              <w:rPr>
                <w:rFonts w:asciiTheme="minorHAnsi" w:hAnsiTheme="minorHAnsi"/>
              </w:rPr>
              <w:t xml:space="preserve">suvestinės </w:t>
            </w:r>
            <w:r>
              <w:rPr>
                <w:rFonts w:asciiTheme="minorHAnsi" w:hAnsiTheme="minorHAnsi"/>
              </w:rPr>
              <w:t>2.7 punktą).</w:t>
            </w:r>
            <w:r w:rsidR="000366D4" w:rsidRPr="000366D4">
              <w:rPr>
                <w:rFonts w:asciiTheme="minorHAnsi" w:hAnsiTheme="minorHAnsi"/>
                <w:b/>
                <w:bCs/>
              </w:rPr>
              <w:t xml:space="preserve"> </w:t>
            </w:r>
          </w:p>
        </w:tc>
      </w:tr>
      <w:tr w:rsidR="00A538DC" w:rsidRPr="009E4E36" w14:paraId="0E09CDA5" w14:textId="77777777" w:rsidTr="00D36AEA">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594B4D5F" w14:textId="23A3AA63" w:rsidR="00A538DC" w:rsidRPr="00D36AEA" w:rsidRDefault="00A538DC" w:rsidP="00D36AEA">
            <w:pPr>
              <w:pStyle w:val="ListParagraph"/>
              <w:numPr>
                <w:ilvl w:val="0"/>
                <w:numId w:val="23"/>
              </w:numPr>
              <w:jc w:val="center"/>
              <w:rPr>
                <w:rFonts w:asciiTheme="minorHAnsi" w:hAnsiTheme="minorHAnsi" w:cs="Times New Roman"/>
                <w:i/>
                <w:iCs/>
              </w:rPr>
            </w:pPr>
            <w:r w:rsidRPr="00D36AEA">
              <w:rPr>
                <w:rFonts w:asciiTheme="minorHAnsi" w:hAnsiTheme="minorHAnsi" w:cs="Times New Roman"/>
                <w:i/>
                <w:iCs/>
              </w:rPr>
              <w:t>Techninė specifikacija</w:t>
            </w:r>
          </w:p>
        </w:tc>
      </w:tr>
      <w:tr w:rsidR="009651B0" w:rsidRPr="009E4E36" w14:paraId="7BFFF103" w14:textId="77777777" w:rsidTr="0044232F">
        <w:trPr>
          <w:trHeight w:val="5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39951AB8" w14:textId="0F004977" w:rsidR="009651B0" w:rsidRPr="00D36AEA" w:rsidRDefault="00D36AEA" w:rsidP="00D36AEA">
            <w:pPr>
              <w:rPr>
                <w:rFonts w:asciiTheme="minorHAnsi" w:hAnsiTheme="minorHAnsi" w:cstheme="minorHAnsi"/>
              </w:rPr>
            </w:pPr>
            <w:r w:rsidRPr="00D36AEA">
              <w:rPr>
                <w:rFonts w:asciiTheme="minorHAnsi" w:hAnsiTheme="minorHAnsi" w:cstheme="minorHAnsi"/>
                <w:b w:val="0"/>
                <w:bCs w:val="0"/>
              </w:rPr>
              <w:t>2.</w:t>
            </w:r>
            <w:r>
              <w:rPr>
                <w:rFonts w:asciiTheme="minorHAnsi" w:hAnsiTheme="minorHAnsi" w:cstheme="minorHAnsi"/>
              </w:rPr>
              <w:t xml:space="preserve">1. </w:t>
            </w:r>
            <w:r w:rsidR="00A538DC" w:rsidRPr="00D36AEA">
              <w:rPr>
                <w:rFonts w:asciiTheme="minorHAnsi" w:hAnsiTheme="minorHAnsi" w:cstheme="minorHAnsi"/>
              </w:rPr>
              <w:t xml:space="preserve">Ar galite pasiūlyti </w:t>
            </w:r>
            <w:r w:rsidR="001B6CEA">
              <w:rPr>
                <w:rFonts w:asciiTheme="minorHAnsi" w:hAnsiTheme="minorHAnsi" w:cstheme="minorHAnsi"/>
              </w:rPr>
              <w:t>pirkimo objektą</w:t>
            </w:r>
            <w:r w:rsidR="00A538DC" w:rsidRPr="00D36AEA">
              <w:rPr>
                <w:rFonts w:asciiTheme="minorHAnsi" w:hAnsiTheme="minorHAnsi" w:cstheme="minorHAnsi"/>
              </w:rPr>
              <w:t xml:space="preserve"> pagal techninės specifikacijos reikalavimus?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E5B26" w14:textId="00DD587B" w:rsidR="009651B0" w:rsidRPr="00D31AC4" w:rsidRDefault="00A16370" w:rsidP="009651B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imes New Roman"/>
              </w:rPr>
              <w:t>Perkančioji organizacija įvertino rinkos dalyvių galimybes realizuoti pirkimo objektą pagal Techninės specifikacijos reikalavimus bei atsižvelgdama į pateiktus rinkos dalyvių siūlymus, aktualizavo tam tikrus techninius reikalavimus pirkimo objektui.</w:t>
            </w:r>
          </w:p>
        </w:tc>
      </w:tr>
      <w:tr w:rsidR="009651B0" w:rsidRPr="009E4E36" w14:paraId="09C8D733" w14:textId="77777777" w:rsidTr="0044232F">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5607F6FD" w14:textId="77777777" w:rsidR="001B6CEA" w:rsidRPr="001B6CEA" w:rsidRDefault="00D36AEA" w:rsidP="001B6CEA">
            <w:pPr>
              <w:rPr>
                <w:rFonts w:asciiTheme="minorHAnsi" w:hAnsiTheme="minorHAnsi" w:cstheme="minorHAnsi"/>
              </w:rPr>
            </w:pPr>
            <w:r w:rsidRPr="001B6CEA">
              <w:rPr>
                <w:rFonts w:asciiTheme="minorHAnsi" w:hAnsiTheme="minorHAnsi" w:cstheme="minorHAnsi"/>
              </w:rPr>
              <w:t xml:space="preserve">2.2. </w:t>
            </w:r>
            <w:r w:rsidR="001B6CEA" w:rsidRPr="001B6CEA">
              <w:rPr>
                <w:rFonts w:asciiTheme="minorHAnsi" w:hAnsiTheme="minorHAnsi" w:cstheme="minorHAnsi"/>
              </w:rPr>
              <w:t>Prašome nurodyti siūlomos įrangos gamintojus ir modelius, nurodant jų kilmės šalį</w:t>
            </w:r>
            <w:r w:rsidR="001B6CEA" w:rsidRPr="001B6CEA">
              <w:rPr>
                <w:rFonts w:asciiTheme="minorHAnsi" w:hAnsiTheme="minorHAnsi" w:cstheme="minorHAnsi"/>
                <w:vertAlign w:val="superscript"/>
              </w:rPr>
              <w:footnoteReference w:id="2"/>
            </w:r>
            <w:r w:rsidR="001B6CEA" w:rsidRPr="001B6CEA">
              <w:rPr>
                <w:rFonts w:asciiTheme="minorHAnsi" w:hAnsiTheme="minorHAnsi" w:cstheme="minorHAnsi"/>
              </w:rPr>
              <w:t xml:space="preserve">. </w:t>
            </w:r>
          </w:p>
          <w:p w14:paraId="54C1328B" w14:textId="0A9B2892" w:rsidR="001B6CEA" w:rsidRPr="001B6CEA" w:rsidRDefault="001B6CEA" w:rsidP="001B6CEA">
            <w:pPr>
              <w:rPr>
                <w:rFonts w:asciiTheme="minorHAnsi" w:hAnsiTheme="minorHAnsi" w:cstheme="minorHAnsi"/>
                <w:b w:val="0"/>
                <w:bCs w:val="0"/>
              </w:rPr>
            </w:pPr>
            <w:r w:rsidRPr="001B6CEA">
              <w:rPr>
                <w:rFonts w:asciiTheme="minorHAnsi" w:hAnsiTheme="minorHAnsi" w:cstheme="minorHAnsi"/>
              </w:rPr>
              <w:t>*Atkreipiame dėmesį, kad siūlomos įrangos gamintojas (-ai) turi būti registruotas (-i) ES arba EEE priklausančioje valstybėje.</w:t>
            </w:r>
          </w:p>
          <w:p w14:paraId="26F80BB7" w14:textId="6529190D" w:rsidR="001B6CEA" w:rsidRPr="001B6CEA" w:rsidRDefault="001B6CEA" w:rsidP="00A800F0">
            <w:pPr>
              <w:rPr>
                <w:rFonts w:asciiTheme="minorHAnsi" w:hAnsiTheme="minorHAnsi" w:cstheme="minorHAnsi"/>
              </w:rPr>
            </w:pP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375F9" w14:textId="55238443" w:rsidR="009651B0" w:rsidRPr="009E4E36" w:rsidRDefault="00A16370" w:rsidP="00183E4E">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Perkančioji organ</w:t>
            </w:r>
            <w:r w:rsidR="00174C2E">
              <w:rPr>
                <w:rFonts w:asciiTheme="minorHAnsi" w:hAnsiTheme="minorHAnsi" w:cs="Times New Roman"/>
              </w:rPr>
              <w:t>i</w:t>
            </w:r>
            <w:r>
              <w:rPr>
                <w:rFonts w:asciiTheme="minorHAnsi" w:hAnsiTheme="minorHAnsi" w:cs="Times New Roman"/>
              </w:rPr>
              <w:t xml:space="preserve">zacija susipažinto su </w:t>
            </w:r>
            <w:r w:rsidR="00174C2E">
              <w:rPr>
                <w:rFonts w:asciiTheme="minorHAnsi" w:hAnsiTheme="minorHAnsi" w:cs="Times New Roman"/>
              </w:rPr>
              <w:t xml:space="preserve">tiekėjų nurodyta informacija dėl prekių </w:t>
            </w:r>
            <w:r w:rsidR="00C20C6C">
              <w:rPr>
                <w:rFonts w:asciiTheme="minorHAnsi" w:hAnsiTheme="minorHAnsi" w:cs="Times New Roman"/>
              </w:rPr>
              <w:t xml:space="preserve">gamintojų, </w:t>
            </w:r>
            <w:r w:rsidR="00174C2E">
              <w:rPr>
                <w:rFonts w:asciiTheme="minorHAnsi" w:hAnsiTheme="minorHAnsi" w:cs="Times New Roman"/>
              </w:rPr>
              <w:t>modelių bei</w:t>
            </w:r>
            <w:r w:rsidR="00C20C6C">
              <w:rPr>
                <w:rFonts w:asciiTheme="minorHAnsi" w:hAnsiTheme="minorHAnsi" w:cs="Times New Roman"/>
              </w:rPr>
              <w:t xml:space="preserve"> jų</w:t>
            </w:r>
            <w:r w:rsidR="00174C2E">
              <w:rPr>
                <w:rFonts w:asciiTheme="minorHAnsi" w:hAnsiTheme="minorHAnsi" w:cs="Times New Roman"/>
              </w:rPr>
              <w:t xml:space="preserve"> kilmės.</w:t>
            </w:r>
          </w:p>
        </w:tc>
      </w:tr>
      <w:tr w:rsidR="009651B0" w:rsidRPr="009E4E36" w14:paraId="559F15C8" w14:textId="77777777" w:rsidTr="0044232F">
        <w:trPr>
          <w:trHeight w:val="1402"/>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6662DA37" w14:textId="52CA5D3C" w:rsidR="009651B0" w:rsidRPr="001B6CEA" w:rsidRDefault="00D36AEA" w:rsidP="00361209">
            <w:pPr>
              <w:rPr>
                <w:rFonts w:asciiTheme="minorHAnsi" w:hAnsiTheme="minorHAnsi" w:cstheme="minorHAnsi"/>
              </w:rPr>
            </w:pPr>
            <w:r w:rsidRPr="001B6CEA">
              <w:rPr>
                <w:rFonts w:asciiTheme="minorHAnsi" w:hAnsiTheme="minorHAnsi" w:cstheme="minorHAnsi"/>
              </w:rPr>
              <w:t xml:space="preserve">2.3. </w:t>
            </w:r>
            <w:r w:rsidR="001B6CEA" w:rsidRPr="001B6CEA">
              <w:rPr>
                <w:rFonts w:asciiTheme="minorHAnsi" w:hAnsiTheme="minorHAnsi" w:cstheme="minorHAnsi"/>
              </w:rPr>
              <w:t>Ar pirkimo objektas yra aiškus? Jei ne, prašome nurodyti, kas neaišku ir ką turėtumėme patikslinti (pasiūlymus galite įrašyti čia arba 1 priede).</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3CBDC" w14:textId="119A027E" w:rsidR="002B02D8" w:rsidRPr="009E4E36" w:rsidRDefault="00174C2E" w:rsidP="00E5345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Atliktos rinkos konsultacijos rezultatai leidžia daryti išvadą, kad pirkimo objektas yra aiškus ir rinkos dalyviams supra</w:t>
            </w:r>
            <w:r w:rsidR="00C20C6C">
              <w:rPr>
                <w:rFonts w:asciiTheme="minorHAnsi" w:hAnsiTheme="minorHAnsi" w:cs="Times New Roman"/>
              </w:rPr>
              <w:t>n</w:t>
            </w:r>
            <w:r>
              <w:rPr>
                <w:rFonts w:asciiTheme="minorHAnsi" w:hAnsiTheme="minorHAnsi" w:cs="Times New Roman"/>
              </w:rPr>
              <w:t>tamas.</w:t>
            </w:r>
          </w:p>
        </w:tc>
      </w:tr>
      <w:tr w:rsidR="009651B0" w:rsidRPr="009E4E36" w14:paraId="3CAF68BA" w14:textId="77777777" w:rsidTr="0044232F">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7C1AC322" w14:textId="77777777" w:rsidR="001B6CEA" w:rsidRPr="001B6CEA" w:rsidRDefault="00D36AEA" w:rsidP="001B6CEA">
            <w:pPr>
              <w:rPr>
                <w:rFonts w:asciiTheme="minorHAnsi" w:hAnsiTheme="minorHAnsi" w:cstheme="minorHAnsi"/>
              </w:rPr>
            </w:pPr>
            <w:r w:rsidRPr="001B6CEA">
              <w:rPr>
                <w:rFonts w:asciiTheme="minorHAnsi" w:hAnsiTheme="minorHAnsi" w:cstheme="minorHAnsi"/>
              </w:rPr>
              <w:t xml:space="preserve">2.4. </w:t>
            </w:r>
            <w:r w:rsidR="001B6CEA" w:rsidRPr="001B6CEA">
              <w:rPr>
                <w:rFonts w:asciiTheme="minorHAnsi" w:hAnsiTheme="minorHAnsi" w:cstheme="minorHAnsi"/>
              </w:rPr>
              <w:t xml:space="preserve">Jei negalite pasiūlyti techninės specifikacijos atitinkančių prekių, ar galėtumėte pasiūlyti alternatyvių savybių prekių? </w:t>
            </w:r>
          </w:p>
          <w:p w14:paraId="537E4747" w14:textId="29BCF0C1" w:rsidR="009651B0" w:rsidRPr="001B6CEA" w:rsidRDefault="001B6CEA" w:rsidP="001B6CEA">
            <w:pPr>
              <w:rPr>
                <w:rFonts w:asciiTheme="minorHAnsi" w:hAnsiTheme="minorHAnsi" w:cstheme="minorHAnsi"/>
              </w:rPr>
            </w:pPr>
            <w:r w:rsidRPr="001B6CEA">
              <w:rPr>
                <w:rFonts w:asciiTheme="minorHAnsi" w:hAnsiTheme="minorHAnsi" w:cstheme="minorHAnsi"/>
              </w:rPr>
              <w:t>Jei taip, tai kokių techninių savybių prekes galėtumėte pasiūlyti (prašome nurodyti čia arba 1 priede ir pateikti techninius dokumentus).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80D5D9" w14:textId="28FD1719" w:rsidR="009651B0" w:rsidRPr="00D31AC4" w:rsidRDefault="006560E0" w:rsidP="00BA4AFF">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Žr. Suvestinės 2.</w:t>
            </w:r>
            <w:r w:rsidR="00174C2E">
              <w:rPr>
                <w:rFonts w:asciiTheme="minorHAnsi" w:hAnsiTheme="minorHAnsi" w:cs="Times New Roman"/>
              </w:rPr>
              <w:t>7</w:t>
            </w:r>
            <w:r>
              <w:rPr>
                <w:rFonts w:asciiTheme="minorHAnsi" w:hAnsiTheme="minorHAnsi" w:cs="Times New Roman"/>
              </w:rPr>
              <w:t xml:space="preserve"> punktą.</w:t>
            </w:r>
          </w:p>
        </w:tc>
      </w:tr>
      <w:tr w:rsidR="009651B0" w:rsidRPr="009E4E36" w14:paraId="307BB80E" w14:textId="77777777" w:rsidTr="0044232F">
        <w:trPr>
          <w:trHeight w:val="129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23EE3D60" w14:textId="72C7E6AA" w:rsidR="009651B0" w:rsidRPr="001B6CEA" w:rsidRDefault="00D36AEA" w:rsidP="00A538DC">
            <w:pPr>
              <w:rPr>
                <w:rFonts w:asciiTheme="minorHAnsi" w:hAnsiTheme="minorHAnsi" w:cstheme="minorHAnsi"/>
              </w:rPr>
            </w:pPr>
            <w:r w:rsidRPr="001B6CEA">
              <w:rPr>
                <w:rFonts w:asciiTheme="minorHAnsi" w:hAnsiTheme="minorHAnsi" w:cstheme="minorHAnsi"/>
              </w:rPr>
              <w:t xml:space="preserve">2.5. </w:t>
            </w:r>
            <w:r w:rsidR="001B6CEA" w:rsidRPr="001B6CEA">
              <w:rPr>
                <w:rFonts w:asciiTheme="minorHAnsi" w:hAnsiTheme="minorHAnsi" w:cstheme="minorHAnsi"/>
              </w:rPr>
              <w:t>Kokie būtų preliminarūs Jūsų siūlomų Darbų atlikimo terminai?</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1F0D80" w14:textId="77777777" w:rsidR="00E53457" w:rsidRDefault="000366D4" w:rsidP="009651B0">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sidRPr="007467D9">
              <w:rPr>
                <w:rFonts w:asciiTheme="minorHAnsi" w:hAnsiTheme="minorHAnsi" w:cs="Times New Roman"/>
              </w:rPr>
              <w:t xml:space="preserve">Nuspęsta nustatyti </w:t>
            </w:r>
            <w:r w:rsidR="00174C2E">
              <w:rPr>
                <w:rFonts w:asciiTheme="minorHAnsi" w:hAnsiTheme="minorHAnsi" w:cs="Times New Roman"/>
              </w:rPr>
              <w:t>6</w:t>
            </w:r>
            <w:r w:rsidRPr="007467D9">
              <w:rPr>
                <w:rFonts w:asciiTheme="minorHAnsi" w:hAnsiTheme="minorHAnsi" w:cs="Times New Roman"/>
              </w:rPr>
              <w:t xml:space="preserve"> mėn. </w:t>
            </w:r>
            <w:r w:rsidR="0001018B">
              <w:rPr>
                <w:rFonts w:asciiTheme="minorHAnsi" w:hAnsiTheme="minorHAnsi" w:cs="Times New Roman"/>
              </w:rPr>
              <w:t xml:space="preserve">maksimalų </w:t>
            </w:r>
            <w:r w:rsidR="00174C2E">
              <w:rPr>
                <w:rFonts w:asciiTheme="minorHAnsi" w:hAnsiTheme="minorHAnsi" w:cs="Times New Roman"/>
              </w:rPr>
              <w:t>darbų atlikimo</w:t>
            </w:r>
            <w:r w:rsidRPr="007467D9">
              <w:rPr>
                <w:rFonts w:asciiTheme="minorHAnsi" w:hAnsiTheme="minorHAnsi" w:cs="Times New Roman"/>
              </w:rPr>
              <w:t xml:space="preserve"> terminą, kuris atsižvelgiant į </w:t>
            </w:r>
            <w:r w:rsidR="00174C2E">
              <w:rPr>
                <w:rFonts w:asciiTheme="minorHAnsi" w:hAnsiTheme="minorHAnsi" w:cs="Times New Roman"/>
              </w:rPr>
              <w:t xml:space="preserve">reikiamos įrangos kiekį, darbų atlikimo specifiką </w:t>
            </w:r>
            <w:r>
              <w:rPr>
                <w:rFonts w:asciiTheme="minorHAnsi" w:hAnsiTheme="minorHAnsi" w:cs="Times New Roman"/>
              </w:rPr>
              <w:t xml:space="preserve">bei </w:t>
            </w:r>
            <w:r w:rsidRPr="007467D9">
              <w:rPr>
                <w:rFonts w:asciiTheme="minorHAnsi" w:hAnsiTheme="minorHAnsi" w:cs="Times New Roman"/>
              </w:rPr>
              <w:t>rinkos galimybes yra pagrįstas bei pakankamas tinkamam ir savalaikiam sutartinių įsipareigojimų įvykdymui.</w:t>
            </w:r>
            <w:r>
              <w:rPr>
                <w:rFonts w:asciiTheme="minorHAnsi" w:hAnsiTheme="minorHAnsi" w:cs="Times New Roman"/>
              </w:rPr>
              <w:t xml:space="preserve"> </w:t>
            </w:r>
            <w:r w:rsidR="00174C2E">
              <w:rPr>
                <w:rFonts w:asciiTheme="minorHAnsi" w:hAnsiTheme="minorHAnsi" w:cs="Times New Roman"/>
              </w:rPr>
              <w:t xml:space="preserve">Taip pat pažymėtina, kad vienas iš pasiūlymo vertinimo kriterijų yra „Darbų atlikimo terminas“, tad tiekėjui siūlančiam trumpesnį nei maksimalų (6 mėn.) darbų atlikimo terminą, šiam tiekėjui bus skiriami ekonominio naudingumo balai. </w:t>
            </w:r>
          </w:p>
          <w:p w14:paraId="1817F12B" w14:textId="7145D8E0" w:rsidR="00174C2E" w:rsidRPr="00D31AC4" w:rsidRDefault="00174C2E" w:rsidP="009651B0">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Plačiau su pasiūlymų vertinimo kriterijais bei vertinimo tvarka galima susipažinti Pirkimo dokumentuose.</w:t>
            </w:r>
          </w:p>
        </w:tc>
      </w:tr>
      <w:tr w:rsidR="001B6CEA" w:rsidRPr="009E4E36" w14:paraId="4259F511" w14:textId="77777777" w:rsidTr="0044232F">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5B071318" w14:textId="505BE8D0" w:rsidR="001B6CEA" w:rsidRPr="001B6CEA" w:rsidRDefault="001B6CEA" w:rsidP="00A538DC">
            <w:pPr>
              <w:rPr>
                <w:rFonts w:asciiTheme="minorHAnsi" w:hAnsiTheme="minorHAnsi" w:cstheme="minorHAnsi"/>
              </w:rPr>
            </w:pPr>
            <w:r w:rsidRPr="001B6CEA">
              <w:rPr>
                <w:rFonts w:asciiTheme="minorHAnsi" w:hAnsiTheme="minorHAnsi" w:cstheme="minorHAnsi"/>
              </w:rPr>
              <w:t>2.6. Kokios yra Jūsų siūlomų Darbų bei įrangos garantinės priežiūros sąlygos (laikotarpis)?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746BD7" w14:textId="38C5BA39" w:rsidR="001B6CEA" w:rsidRPr="007467D9" w:rsidRDefault="00740525" w:rsidP="009651B0">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Perkančioji organizacija nusprendė patikslinti Techninėje specifikacijoje nurodytus garantinius terminus taikomus prekėms ir darbams (žr. suvestinės 2.7 p.).</w:t>
            </w:r>
          </w:p>
        </w:tc>
      </w:tr>
      <w:tr w:rsidR="00946C81" w:rsidRPr="009E4E36" w14:paraId="1C061CE7" w14:textId="77777777" w:rsidTr="0044232F">
        <w:trPr>
          <w:trHeight w:val="129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0B073B7B" w14:textId="4F2DBD70" w:rsidR="00946C81" w:rsidRPr="001B6CEA" w:rsidRDefault="00946C81" w:rsidP="00946C81">
            <w:pPr>
              <w:rPr>
                <w:rFonts w:asciiTheme="minorHAnsi" w:hAnsiTheme="minorHAnsi" w:cstheme="minorHAnsi"/>
              </w:rPr>
            </w:pPr>
            <w:r w:rsidRPr="001B6CEA">
              <w:rPr>
                <w:rFonts w:asciiTheme="minorHAnsi" w:hAnsiTheme="minorHAnsi" w:cstheme="minorHAnsi"/>
              </w:rPr>
              <w:t>2.7. Ar turite kitų pastabų ar pasiūlymų?</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4032C" w14:textId="77777777" w:rsidR="00946C81" w:rsidRDefault="00946C81" w:rsidP="00946C81">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Perkančioji organizacija įvertinusi rinkos konsultacijos dalyvių pateiktus atsakymus, taip pat savo iniciatyva nusprendė Techninėje specifikacijoje atlikti žemiau nurodytas korekcijas:</w:t>
            </w:r>
          </w:p>
          <w:p w14:paraId="074A8CF3" w14:textId="77777777" w:rsidR="00946C81" w:rsidRPr="00D22312" w:rsidRDefault="00946C81" w:rsidP="00946C81">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w:t>
            </w:r>
            <w:r w:rsidRPr="00D22312">
              <w:rPr>
                <w:rFonts w:asciiTheme="minorHAnsi" w:hAnsiTheme="minorHAnsi" w:cs="Times New Roman"/>
                <w:b/>
                <w:bCs/>
              </w:rPr>
              <w:t>4.</w:t>
            </w:r>
            <w:r>
              <w:rPr>
                <w:rFonts w:asciiTheme="minorHAnsi" w:hAnsiTheme="minorHAnsi" w:cs="Times New Roman"/>
              </w:rPr>
              <w:t xml:space="preserve"> </w:t>
            </w:r>
            <w:r w:rsidRPr="00D22312">
              <w:rPr>
                <w:rFonts w:ascii="Calibri" w:eastAsia="Times New Roman" w:hAnsi="Calibri" w:cs="Calibri"/>
                <w:b/>
                <w:sz w:val="24"/>
                <w:szCs w:val="24"/>
                <w:lang w:val="en-US"/>
              </w:rPr>
              <w:t>REIKALAVIMAI PIRKIMO OBJEKTUI</w:t>
            </w:r>
          </w:p>
          <w:p w14:paraId="520DF136" w14:textId="77777777" w:rsidR="00946C81" w:rsidRPr="00D22312" w:rsidRDefault="00946C81" w:rsidP="00946C81">
            <w:pPr>
              <w:numPr>
                <w:ilvl w:val="1"/>
                <w:numId w:val="30"/>
              </w:numPr>
              <w:tabs>
                <w:tab w:val="left" w:pos="426"/>
              </w:tabs>
              <w:ind w:left="0" w:firstLine="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4"/>
                <w:szCs w:val="24"/>
                <w:lang w:val="en-US"/>
              </w:rPr>
            </w:pPr>
            <w:r w:rsidRPr="00D22312">
              <w:rPr>
                <w:rFonts w:ascii="Calibri" w:eastAsia="Times New Roman" w:hAnsi="Calibri" w:cs="Calibri"/>
                <w:b/>
                <w:sz w:val="24"/>
                <w:szCs w:val="24"/>
                <w:lang w:val="en-US"/>
              </w:rPr>
              <w:t>SAULĖS FOTOVOLTINĖ ELEKTRINĖ</w:t>
            </w:r>
          </w:p>
          <w:tbl>
            <w:tblPr>
              <w:tblStyle w:val="TableGrid"/>
              <w:tblW w:w="12952" w:type="dxa"/>
              <w:tblLook w:val="04A0" w:firstRow="1" w:lastRow="0" w:firstColumn="1" w:lastColumn="0" w:noHBand="0" w:noVBand="1"/>
            </w:tblPr>
            <w:tblGrid>
              <w:gridCol w:w="728"/>
              <w:gridCol w:w="2901"/>
              <w:gridCol w:w="4663"/>
              <w:gridCol w:w="4660"/>
            </w:tblGrid>
            <w:tr w:rsidR="00946C81" w:rsidRPr="00D22312" w14:paraId="0AA0873E" w14:textId="77777777" w:rsidTr="0007062B">
              <w:trPr>
                <w:tblHeader/>
              </w:trPr>
              <w:tc>
                <w:tcPr>
                  <w:tcW w:w="281" w:type="pct"/>
                </w:tcPr>
                <w:p w14:paraId="7BEB8186" w14:textId="77777777" w:rsidR="00946C81" w:rsidRPr="00D22312" w:rsidRDefault="00946C81" w:rsidP="00946C81">
                  <w:pPr>
                    <w:spacing w:before="60" w:after="60"/>
                    <w:contextualSpacing/>
                    <w:jc w:val="center"/>
                    <w:rPr>
                      <w:rFonts w:ascii="Calibri" w:eastAsia="Times New Roman" w:hAnsi="Calibri" w:cs="Calibri"/>
                      <w:b/>
                      <w:iCs/>
                      <w:sz w:val="24"/>
                      <w:szCs w:val="24"/>
                    </w:rPr>
                  </w:pPr>
                  <w:r w:rsidRPr="00D22312">
                    <w:rPr>
                      <w:rFonts w:ascii="Calibri" w:eastAsia="Times New Roman" w:hAnsi="Calibri" w:cs="Calibri"/>
                      <w:b/>
                      <w:iCs/>
                      <w:sz w:val="24"/>
                      <w:szCs w:val="24"/>
                    </w:rPr>
                    <w:t>Eil. Nr.</w:t>
                  </w:r>
                </w:p>
              </w:tc>
              <w:tc>
                <w:tcPr>
                  <w:tcW w:w="1120" w:type="pct"/>
                  <w:vAlign w:val="center"/>
                </w:tcPr>
                <w:p w14:paraId="14D4FAE0" w14:textId="77777777" w:rsidR="00946C81" w:rsidRPr="00D22312" w:rsidRDefault="00946C81" w:rsidP="00946C81">
                  <w:pPr>
                    <w:spacing w:before="60" w:after="60"/>
                    <w:contextualSpacing/>
                    <w:jc w:val="center"/>
                    <w:rPr>
                      <w:rFonts w:ascii="Calibri" w:eastAsia="Aptos" w:hAnsi="Calibri" w:cs="Calibri"/>
                      <w:b/>
                      <w:iCs/>
                      <w:sz w:val="24"/>
                      <w:szCs w:val="24"/>
                    </w:rPr>
                  </w:pPr>
                  <w:r w:rsidRPr="00D22312">
                    <w:rPr>
                      <w:rFonts w:ascii="Calibri" w:eastAsia="Aptos" w:hAnsi="Calibri" w:cs="Calibri"/>
                      <w:b/>
                      <w:iCs/>
                      <w:sz w:val="24"/>
                      <w:szCs w:val="24"/>
                    </w:rPr>
                    <w:t>Parametrai</w:t>
                  </w:r>
                </w:p>
              </w:tc>
              <w:tc>
                <w:tcPr>
                  <w:tcW w:w="1800" w:type="pct"/>
                  <w:vAlign w:val="center"/>
                </w:tcPr>
                <w:p w14:paraId="49A92D54" w14:textId="77777777" w:rsidR="00946C81" w:rsidRPr="00D22312" w:rsidRDefault="00946C81" w:rsidP="00946C81">
                  <w:pPr>
                    <w:spacing w:before="60" w:after="60"/>
                    <w:contextualSpacing/>
                    <w:jc w:val="center"/>
                    <w:rPr>
                      <w:rFonts w:ascii="Calibri" w:eastAsia="Aptos" w:hAnsi="Calibri" w:cs="Calibri"/>
                      <w:b/>
                      <w:iCs/>
                      <w:sz w:val="20"/>
                      <w:szCs w:val="20"/>
                    </w:rPr>
                  </w:pPr>
                  <w:r w:rsidRPr="00D22312">
                    <w:rPr>
                      <w:rFonts w:ascii="Calibri" w:eastAsia="Aptos" w:hAnsi="Calibri" w:cs="Calibri"/>
                      <w:b/>
                      <w:iCs/>
                      <w:sz w:val="24"/>
                      <w:szCs w:val="24"/>
                    </w:rPr>
                    <w:t>Buvusi reikšmė</w:t>
                  </w:r>
                </w:p>
              </w:tc>
              <w:tc>
                <w:tcPr>
                  <w:tcW w:w="1799" w:type="pct"/>
                  <w:vAlign w:val="center"/>
                </w:tcPr>
                <w:p w14:paraId="7A3CD411" w14:textId="77777777" w:rsidR="00946C81" w:rsidRPr="00D22312" w:rsidRDefault="00946C81" w:rsidP="00946C81">
                  <w:pPr>
                    <w:spacing w:before="60" w:after="60"/>
                    <w:contextualSpacing/>
                    <w:jc w:val="center"/>
                    <w:rPr>
                      <w:rFonts w:ascii="Calibri" w:eastAsia="Aptos" w:hAnsi="Calibri" w:cs="Calibri"/>
                      <w:b/>
                      <w:iCs/>
                      <w:sz w:val="20"/>
                      <w:szCs w:val="20"/>
                    </w:rPr>
                  </w:pPr>
                  <w:r w:rsidRPr="00D22312">
                    <w:rPr>
                      <w:rFonts w:ascii="Calibri" w:eastAsia="Aptos" w:hAnsi="Calibri" w:cs="Calibri"/>
                      <w:b/>
                      <w:iCs/>
                      <w:sz w:val="24"/>
                      <w:szCs w:val="24"/>
                    </w:rPr>
                    <w:t>Nauja reikšmė</w:t>
                  </w:r>
                </w:p>
              </w:tc>
            </w:tr>
            <w:tr w:rsidR="00946C81" w:rsidRPr="00D22312" w14:paraId="66DBCF96" w14:textId="77777777" w:rsidTr="0007062B">
              <w:tc>
                <w:tcPr>
                  <w:tcW w:w="281" w:type="pct"/>
                </w:tcPr>
                <w:p w14:paraId="4B70FAC3"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2</w:t>
                  </w:r>
                </w:p>
              </w:tc>
              <w:tc>
                <w:tcPr>
                  <w:tcW w:w="1120" w:type="pct"/>
                </w:tcPr>
                <w:p w14:paraId="4850EF3E"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Fotoelektrinių modulių efektyvumas pagal STC (Standard Test Conditions), %:</w:t>
                  </w:r>
                </w:p>
              </w:tc>
              <w:tc>
                <w:tcPr>
                  <w:tcW w:w="1800" w:type="pct"/>
                </w:tcPr>
                <w:p w14:paraId="63F706A5"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bCs/>
                      <w:iCs/>
                      <w:sz w:val="24"/>
                      <w:szCs w:val="24"/>
                    </w:rPr>
                    <w:t xml:space="preserve">Ne mažiau kaip 19,5 </w:t>
                  </w:r>
                  <w:r w:rsidRPr="00D22312">
                    <w:rPr>
                      <w:rFonts w:ascii="Calibri" w:eastAsia="Times New Roman" w:hAnsi="Calibri" w:cs="Calibri"/>
                      <w:bCs/>
                      <w:iCs/>
                      <w:sz w:val="24"/>
                      <w:szCs w:val="24"/>
                      <w:lang w:val="en-US"/>
                    </w:rPr>
                    <w:t>%</w:t>
                  </w:r>
                </w:p>
              </w:tc>
              <w:tc>
                <w:tcPr>
                  <w:tcW w:w="1799" w:type="pct"/>
                </w:tcPr>
                <w:p w14:paraId="16C6E214"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bCs/>
                      <w:iCs/>
                      <w:sz w:val="24"/>
                      <w:szCs w:val="24"/>
                    </w:rPr>
                    <w:t xml:space="preserve">Ne mažiau kaip </w:t>
                  </w:r>
                  <w:r w:rsidRPr="00D22312">
                    <w:rPr>
                      <w:rFonts w:ascii="Calibri" w:eastAsia="Times New Roman" w:hAnsi="Calibri" w:cs="Calibri"/>
                      <w:b/>
                      <w:iCs/>
                      <w:sz w:val="24"/>
                      <w:szCs w:val="24"/>
                    </w:rPr>
                    <w:t>20</w:t>
                  </w:r>
                  <w:r w:rsidRPr="00D22312">
                    <w:rPr>
                      <w:rFonts w:ascii="Calibri" w:eastAsia="Times New Roman" w:hAnsi="Calibri" w:cs="Calibri"/>
                      <w:bCs/>
                      <w:iCs/>
                      <w:sz w:val="24"/>
                      <w:szCs w:val="24"/>
                    </w:rPr>
                    <w:t xml:space="preserve"> </w:t>
                  </w:r>
                  <w:r w:rsidRPr="00D22312">
                    <w:rPr>
                      <w:rFonts w:ascii="Calibri" w:eastAsia="Times New Roman" w:hAnsi="Calibri" w:cs="Calibri"/>
                      <w:bCs/>
                      <w:iCs/>
                      <w:sz w:val="24"/>
                      <w:szCs w:val="24"/>
                      <w:lang w:val="en-US"/>
                    </w:rPr>
                    <w:t>%</w:t>
                  </w:r>
                </w:p>
              </w:tc>
            </w:tr>
            <w:tr w:rsidR="00946C81" w:rsidRPr="00D22312" w14:paraId="644C7783" w14:textId="77777777" w:rsidTr="0007062B">
              <w:tc>
                <w:tcPr>
                  <w:tcW w:w="281" w:type="pct"/>
                </w:tcPr>
                <w:p w14:paraId="19B7A1C9"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3</w:t>
                  </w:r>
                </w:p>
              </w:tc>
              <w:tc>
                <w:tcPr>
                  <w:tcW w:w="1120" w:type="pct"/>
                </w:tcPr>
                <w:p w14:paraId="34C64BE6"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Aptos" w:hAnsi="Calibri" w:cs="Calibri"/>
                      <w:bCs/>
                      <w:iCs/>
                      <w:sz w:val="24"/>
                      <w:szCs w:val="24"/>
                    </w:rPr>
                    <w:t>Fotovoltinių modulių gamintojas ir fotovoltiniai moduliai</w:t>
                  </w:r>
                </w:p>
              </w:tc>
              <w:tc>
                <w:tcPr>
                  <w:tcW w:w="1800" w:type="pct"/>
                </w:tcPr>
                <w:p w14:paraId="365A9304" w14:textId="77777777" w:rsidR="00946C81" w:rsidRPr="00D22312" w:rsidRDefault="00946C81" w:rsidP="00946C81">
                  <w:pPr>
                    <w:tabs>
                      <w:tab w:val="left" w:pos="3525"/>
                    </w:tabs>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Fotovoltiniai moduliai turi būti monokristaliniai arba geresnių savybių. Visi fotovoltiniai moduliai turi būti vieno tipo, vienodos galios ir to paties gamintojo.</w:t>
                  </w:r>
                </w:p>
                <w:p w14:paraId="4BC6DFD6" w14:textId="77777777" w:rsidR="00946C81" w:rsidRPr="00D22312" w:rsidRDefault="00946C81" w:rsidP="00946C81">
                  <w:pPr>
                    <w:tabs>
                      <w:tab w:val="left" w:pos="3525"/>
                    </w:tabs>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Įranga turi būti nauja, neeksploatuota, pagaminta ne anksčiau, kaip 24 mėnesiai iki sumontavimo.</w:t>
                  </w:r>
                </w:p>
                <w:p w14:paraId="2785F75A" w14:textId="77777777" w:rsidR="00946C81" w:rsidRPr="00D22312" w:rsidRDefault="00946C81" w:rsidP="00946C81">
                  <w:pPr>
                    <w:spacing w:before="60" w:after="60"/>
                    <w:rPr>
                      <w:rFonts w:ascii="Calibri" w:eastAsia="Times New Roman" w:hAnsi="Calibri" w:cs="Calibri"/>
                      <w:bCs/>
                      <w:iCs/>
                      <w:sz w:val="24"/>
                      <w:szCs w:val="24"/>
                    </w:rPr>
                  </w:pPr>
                  <w:bookmarkStart w:id="0" w:name="_Hlk186542472"/>
                  <w:r w:rsidRPr="00D22312">
                    <w:rPr>
                      <w:rFonts w:ascii="Calibri" w:eastAsia="Times New Roman" w:hAnsi="Calibri" w:cs="Calibri"/>
                      <w:bCs/>
                      <w:iCs/>
                      <w:sz w:val="24"/>
                      <w:szCs w:val="24"/>
                    </w:rPr>
                    <w:t>Siūlomos įrangos gamintojas turi būti registruotas Europos Sąjungai (ES) arba Europos Ekonominei Erdvei (EEE) priklausančioje valstybėje</w:t>
                  </w:r>
                  <w:bookmarkEnd w:id="0"/>
                  <w:r w:rsidRPr="00D22312">
                    <w:rPr>
                      <w:rFonts w:ascii="Calibri" w:eastAsia="Times New Roman" w:hAnsi="Calibri" w:cs="Calibri"/>
                      <w:bCs/>
                      <w:iCs/>
                      <w:sz w:val="24"/>
                      <w:szCs w:val="24"/>
                    </w:rPr>
                    <w:t xml:space="preserve">. </w:t>
                  </w:r>
                </w:p>
                <w:p w14:paraId="596EECAB"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Įrangos gamintojui taikomas patikimumo reikalavimas*.</w:t>
                  </w:r>
                </w:p>
              </w:tc>
              <w:tc>
                <w:tcPr>
                  <w:tcW w:w="1799" w:type="pct"/>
                </w:tcPr>
                <w:p w14:paraId="0F7A4613" w14:textId="77777777" w:rsidR="00946C81" w:rsidRPr="00D22312" w:rsidRDefault="00946C81" w:rsidP="00946C81">
                  <w:pPr>
                    <w:tabs>
                      <w:tab w:val="left" w:pos="3525"/>
                    </w:tabs>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Fotovoltiniai moduliai turi būti monokristaliniai arba lygiaverčiai, ne prastesnių savybių nei monokristaliniai. Visi fotovoltiniai moduliai turi būti vieno tipo, vienodos galios ir to paties gamintojo.</w:t>
                  </w:r>
                </w:p>
                <w:p w14:paraId="60DEF43B"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Įranga turi būti nauja, neeksploatuota, pagaminta ne anksčiau, kaip 24 mėnesiai iki faktinio įrangos pristatymo į montavimo vietą dienos.</w:t>
                  </w:r>
                </w:p>
              </w:tc>
            </w:tr>
            <w:tr w:rsidR="00946C81" w:rsidRPr="00D22312" w14:paraId="402B9B2A" w14:textId="77777777" w:rsidTr="0007062B">
              <w:tc>
                <w:tcPr>
                  <w:tcW w:w="281" w:type="pct"/>
                </w:tcPr>
                <w:p w14:paraId="6491D4FF"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4</w:t>
                  </w:r>
                </w:p>
              </w:tc>
              <w:tc>
                <w:tcPr>
                  <w:tcW w:w="1120" w:type="pct"/>
                </w:tcPr>
                <w:p w14:paraId="49A536DE" w14:textId="77777777" w:rsidR="00946C81" w:rsidRPr="00D22312" w:rsidRDefault="00946C81" w:rsidP="00946C81">
                  <w:pPr>
                    <w:autoSpaceDE w:val="0"/>
                    <w:autoSpaceDN w:val="0"/>
                    <w:adjustRightInd w:val="0"/>
                    <w:rPr>
                      <w:rFonts w:ascii="Calibri" w:eastAsia="Aptos" w:hAnsi="Calibri" w:cs="Calibri"/>
                      <w:bCs/>
                      <w:iCs/>
                      <w:sz w:val="24"/>
                      <w:szCs w:val="24"/>
                    </w:rPr>
                  </w:pPr>
                  <w:r w:rsidRPr="00D22312">
                    <w:rPr>
                      <w:rFonts w:ascii="Calibri" w:eastAsia="Aptos" w:hAnsi="Calibri" w:cs="Calibri"/>
                      <w:bCs/>
                      <w:iCs/>
                      <w:sz w:val="24"/>
                      <w:szCs w:val="24"/>
                    </w:rPr>
                    <w:t xml:space="preserve">Fotovoltinių modulių išdėstymas, montavimo vieta, tvirtinimo metodas ir konstrukcija </w:t>
                  </w:r>
                </w:p>
              </w:tc>
              <w:tc>
                <w:tcPr>
                  <w:tcW w:w="1800" w:type="pct"/>
                </w:tcPr>
                <w:p w14:paraId="6236C2A1" w14:textId="77777777" w:rsidR="00946C81" w:rsidRPr="00D22312" w:rsidRDefault="00946C81" w:rsidP="00946C81">
                  <w:pPr>
                    <w:spacing w:before="60" w:after="60"/>
                    <w:contextualSpacing/>
                    <w:rPr>
                      <w:rFonts w:ascii="Calibri" w:eastAsia="Times New Roman" w:hAnsi="Calibri" w:cs="Calibri"/>
                      <w:sz w:val="24"/>
                      <w:szCs w:val="24"/>
                      <w:lang w:bidi="lt-LT"/>
                    </w:rPr>
                  </w:pPr>
                  <w:r w:rsidRPr="00D22312">
                    <w:rPr>
                      <w:rFonts w:ascii="Calibri" w:eastAsia="Times New Roman" w:hAnsi="Calibri" w:cs="Calibri"/>
                      <w:sz w:val="24"/>
                      <w:szCs w:val="24"/>
                      <w:lang w:bidi="lt-LT"/>
                    </w:rPr>
                    <w:t>Saulės elektrinę planuojama montuoti ant Molodižnės licėjaus pastato stogo. Pastato stogas yra nuožulnus (apie 11° pasvyrimo kampas).</w:t>
                  </w:r>
                </w:p>
                <w:p w14:paraId="69D58E7A" w14:textId="77777777" w:rsidR="00946C81" w:rsidRPr="00D22312" w:rsidRDefault="00946C81" w:rsidP="00946C81">
                  <w:pPr>
                    <w:spacing w:before="60" w:after="60"/>
                    <w:rPr>
                      <w:rFonts w:ascii="Calibri" w:eastAsia="Times New Roman" w:hAnsi="Calibri" w:cs="Calibri"/>
                      <w:sz w:val="24"/>
                      <w:szCs w:val="24"/>
                      <w:lang w:bidi="lt-LT"/>
                    </w:rPr>
                  </w:pPr>
                  <w:r w:rsidRPr="00D22312">
                    <w:rPr>
                      <w:rFonts w:ascii="Calibri" w:eastAsia="Times New Roman" w:hAnsi="Calibri" w:cs="Calibri"/>
                      <w:sz w:val="24"/>
                      <w:szCs w:val="24"/>
                      <w:lang w:bidi="lt-LT"/>
                    </w:rPr>
                    <w:t xml:space="preserve">Naudojamos montavimo konstrukcijos turi būti iš tvirtų, patvarių bei visą tarnavimo laikotarpį saulės ir atmosferos kritulių poveikyje lauko sąlygomis senėjimui bei korozijai atsparių medžiagų (pavyzdžiui, aliuminio lydinio, nerūdijančio arba cinkuoto plieno (arba lygiavertis)). Konstrukcija turi atlaikyti vietines sniego ir vėjo apkrovas. </w:t>
                  </w:r>
                </w:p>
                <w:p w14:paraId="40C7BF0E" w14:textId="77777777" w:rsidR="00946C81" w:rsidRPr="00D22312" w:rsidRDefault="00946C81" w:rsidP="00946C81">
                  <w:pPr>
                    <w:spacing w:before="60" w:after="60"/>
                    <w:contextualSpacing/>
                    <w:rPr>
                      <w:rFonts w:ascii="Calibri" w:eastAsia="Times New Roman" w:hAnsi="Calibri" w:cs="Calibri"/>
                      <w:sz w:val="24"/>
                      <w:szCs w:val="24"/>
                      <w:lang w:bidi="lt-LT"/>
                    </w:rPr>
                  </w:pPr>
                  <w:r w:rsidRPr="00D22312">
                    <w:rPr>
                      <w:rFonts w:ascii="Calibri" w:eastAsia="Times New Roman" w:hAnsi="Calibri" w:cs="Calibri"/>
                      <w:sz w:val="24"/>
                      <w:szCs w:val="24"/>
                      <w:lang w:bidi="lt-LT"/>
                    </w:rPr>
                    <w:t>Tiekėjas turi parinkti optimalų saulės fotovoltinės elektrinės tvirtinimo metodą, atsižvelgiant į esamo pastato stogo ypatybes ir galimus nelygumus, numatyti tvirtinimo konstrukcijas, kurios nepažeistų esamos Molodižnės licėjaus pastato stogo dangos, užtikrintų maksimaliai mažą apkrovą esamoms stogo konstrukcijoms, užtikrintų optimalų fotovoltinių modulių išdėstymą ir jų pasvyrimo kampą. Turi būti siekiama efektyviausio elektros energijos generavimo.</w:t>
                  </w:r>
                </w:p>
                <w:p w14:paraId="49F942AB" w14:textId="77777777" w:rsidR="00946C81" w:rsidRPr="00D22312" w:rsidRDefault="00946C81" w:rsidP="00946C81">
                  <w:pPr>
                    <w:spacing w:before="60" w:after="60"/>
                    <w:contextualSpacing/>
                    <w:rPr>
                      <w:rFonts w:ascii="Calibri" w:eastAsia="Times New Roman" w:hAnsi="Calibri" w:cs="Calibri"/>
                      <w:sz w:val="20"/>
                      <w:szCs w:val="20"/>
                      <w:lang w:bidi="lt-LT"/>
                    </w:rPr>
                  </w:pPr>
                  <w:r w:rsidRPr="00D22312">
                    <w:rPr>
                      <w:rFonts w:ascii="Calibri" w:eastAsia="Times New Roman" w:hAnsi="Calibri" w:cs="Calibri"/>
                      <w:sz w:val="24"/>
                      <w:szCs w:val="24"/>
                      <w:lang w:bidi="lt-LT"/>
                    </w:rPr>
                    <w:t>Tiekėjas prisiima pilną atsakomybę už tinkamų medžiagų panaudojimą ir konstrukcijos įrengimą.</w:t>
                  </w:r>
                </w:p>
              </w:tc>
              <w:tc>
                <w:tcPr>
                  <w:tcW w:w="1799" w:type="pct"/>
                </w:tcPr>
                <w:p w14:paraId="7A7F7801" w14:textId="77777777" w:rsidR="00946C81" w:rsidRPr="00D22312" w:rsidRDefault="00946C81" w:rsidP="00946C81">
                  <w:pPr>
                    <w:spacing w:before="60" w:after="60"/>
                    <w:contextualSpacing/>
                    <w:rPr>
                      <w:rFonts w:ascii="Calibri" w:eastAsia="Times New Roman" w:hAnsi="Calibri" w:cs="Calibri"/>
                      <w:sz w:val="24"/>
                      <w:szCs w:val="24"/>
                      <w:lang w:bidi="lt-LT"/>
                    </w:rPr>
                  </w:pPr>
                  <w:r w:rsidRPr="00D22312">
                    <w:rPr>
                      <w:rFonts w:ascii="Calibri" w:eastAsia="Times New Roman" w:hAnsi="Calibri" w:cs="Calibri"/>
                      <w:sz w:val="24"/>
                      <w:szCs w:val="24"/>
                      <w:lang w:bidi="lt-LT"/>
                    </w:rPr>
                    <w:t>Saulės elektrinę planuojama montuoti ant Molodižnės licėjaus pastato stogo. Pastato stogas yra nuožulnus (apie 11° pasvyrimo kampas).</w:t>
                  </w:r>
                </w:p>
                <w:p w14:paraId="072BAF0F" w14:textId="77777777" w:rsidR="00946C81" w:rsidRPr="00D22312" w:rsidRDefault="00946C81" w:rsidP="00946C81">
                  <w:pPr>
                    <w:spacing w:before="60" w:after="60"/>
                    <w:rPr>
                      <w:rFonts w:ascii="Calibri" w:eastAsia="Times New Roman" w:hAnsi="Calibri" w:cs="Calibri"/>
                      <w:b/>
                      <w:bCs/>
                      <w:sz w:val="24"/>
                      <w:szCs w:val="24"/>
                      <w:lang w:bidi="lt-LT"/>
                    </w:rPr>
                  </w:pPr>
                  <w:r w:rsidRPr="00D22312">
                    <w:rPr>
                      <w:rFonts w:ascii="Calibri" w:eastAsia="Times New Roman" w:hAnsi="Calibri" w:cs="Calibri"/>
                      <w:b/>
                      <w:bCs/>
                      <w:sz w:val="24"/>
                      <w:szCs w:val="24"/>
                      <w:lang w:bidi="lt-LT"/>
                    </w:rPr>
                    <w:t>Teikdami pasiūlymą tiekėjai privalo:</w:t>
                  </w:r>
                </w:p>
                <w:p w14:paraId="31E78D1F" w14:textId="77777777" w:rsidR="00946C81" w:rsidRPr="00D22312" w:rsidRDefault="00946C81" w:rsidP="00946C81">
                  <w:pPr>
                    <w:numPr>
                      <w:ilvl w:val="0"/>
                      <w:numId w:val="29"/>
                    </w:numPr>
                    <w:spacing w:before="60" w:after="60"/>
                    <w:contextualSpacing/>
                    <w:jc w:val="left"/>
                    <w:rPr>
                      <w:rFonts w:ascii="Calibri" w:eastAsia="Times New Roman" w:hAnsi="Calibri" w:cs="Calibri"/>
                      <w:b/>
                      <w:bCs/>
                      <w:sz w:val="24"/>
                      <w:szCs w:val="24"/>
                      <w:lang w:bidi="lt-LT"/>
                    </w:rPr>
                  </w:pPr>
                  <w:r w:rsidRPr="00D22312">
                    <w:rPr>
                      <w:rFonts w:ascii="Calibri" w:eastAsia="Times New Roman" w:hAnsi="Calibri" w:cs="Calibri"/>
                      <w:b/>
                      <w:bCs/>
                      <w:sz w:val="24"/>
                      <w:szCs w:val="24"/>
                      <w:lang w:bidi="lt-LT"/>
                    </w:rPr>
                    <w:t>Siekti optimaliai išdėstyti visus fotovoltinius modulius ant pastato stogo bei kartu su pasiūlymu turi pateikti scheminį projektą su modulių išdėstymu ir orientacija.</w:t>
                  </w:r>
                </w:p>
                <w:p w14:paraId="1B1D9A5B" w14:textId="77777777" w:rsidR="00946C81" w:rsidRPr="00D22312" w:rsidRDefault="00946C81" w:rsidP="00946C81">
                  <w:pPr>
                    <w:numPr>
                      <w:ilvl w:val="0"/>
                      <w:numId w:val="29"/>
                    </w:numPr>
                    <w:spacing w:before="60" w:after="60"/>
                    <w:contextualSpacing/>
                    <w:jc w:val="left"/>
                    <w:rPr>
                      <w:rFonts w:ascii="Calibri" w:eastAsia="Times New Roman" w:hAnsi="Calibri" w:cs="Calibri"/>
                      <w:b/>
                      <w:bCs/>
                      <w:sz w:val="24"/>
                      <w:szCs w:val="24"/>
                      <w:lang w:bidi="lt-LT"/>
                    </w:rPr>
                  </w:pPr>
                  <w:r w:rsidRPr="00D22312">
                    <w:rPr>
                      <w:rFonts w:ascii="Calibri" w:eastAsia="Times New Roman" w:hAnsi="Calibri" w:cs="Calibri"/>
                      <w:b/>
                      <w:bCs/>
                      <w:sz w:val="24"/>
                      <w:szCs w:val="24"/>
                      <w:lang w:bidi="lt-LT"/>
                    </w:rPr>
                    <w:t>Įsivertinti ar visas siūlomų modulių kiekis gali tilpti ant pastato stogo. Jei visi tiekėjo siūlomi saulės moduliai ant stogo netelpa, tiekėjas privalo įsivertinti dalies modulių montavimą ant žemės šalia pastato.</w:t>
                  </w:r>
                </w:p>
                <w:p w14:paraId="59B76275" w14:textId="77777777" w:rsidR="00946C81" w:rsidRPr="00D22312" w:rsidRDefault="00946C81" w:rsidP="00946C81">
                  <w:pPr>
                    <w:spacing w:before="60" w:after="60"/>
                    <w:contextualSpacing/>
                    <w:rPr>
                      <w:rFonts w:ascii="Calibri" w:eastAsia="Times New Roman" w:hAnsi="Calibri" w:cs="Calibri"/>
                      <w:sz w:val="24"/>
                      <w:szCs w:val="24"/>
                      <w:lang w:bidi="lt-LT"/>
                    </w:rPr>
                  </w:pPr>
                </w:p>
                <w:p w14:paraId="6B4914B1" w14:textId="77777777" w:rsidR="00946C81" w:rsidRPr="00D22312" w:rsidRDefault="00946C81" w:rsidP="00946C81">
                  <w:pPr>
                    <w:spacing w:before="60" w:after="60"/>
                    <w:rPr>
                      <w:rFonts w:ascii="Calibri" w:eastAsia="Times New Roman" w:hAnsi="Calibri" w:cs="Calibri"/>
                      <w:b/>
                      <w:bCs/>
                      <w:sz w:val="24"/>
                      <w:szCs w:val="24"/>
                      <w:lang w:bidi="lt-LT"/>
                    </w:rPr>
                  </w:pPr>
                  <w:r w:rsidRPr="00D22312">
                    <w:rPr>
                      <w:rFonts w:ascii="Calibri" w:eastAsia="Times New Roman" w:hAnsi="Calibri" w:cs="Calibri"/>
                      <w:b/>
                      <w:bCs/>
                      <w:sz w:val="24"/>
                      <w:szCs w:val="24"/>
                      <w:lang w:bidi="lt-LT"/>
                    </w:rPr>
                    <w:t xml:space="preserve">Naudojamos montavimo konstrukcijos turi būti iš tvirtų, patvarių bei visą tarnavimo laikotarpį saulės ir atmosferos kritulių poveikyje lauko sąlygomis senėjimui bei korozijai atsparių medžiagų (pavyzdžiui, aliuminio lydinio, nerūdijančio arba cinkuoto plieno, arba lygiaverčių medžiagų). Konstrukcija turi atlaikyti vietines sniego ir vėjo apkrovas. </w:t>
                  </w:r>
                </w:p>
                <w:p w14:paraId="6DABC39B" w14:textId="77777777" w:rsidR="00946C81" w:rsidRPr="00D22312" w:rsidRDefault="00946C81" w:rsidP="00946C81">
                  <w:pPr>
                    <w:spacing w:before="60" w:after="60"/>
                    <w:contextualSpacing/>
                    <w:rPr>
                      <w:rFonts w:ascii="Calibri" w:eastAsia="Times New Roman" w:hAnsi="Calibri" w:cs="Calibri"/>
                      <w:sz w:val="24"/>
                      <w:szCs w:val="24"/>
                      <w:lang w:bidi="lt-LT"/>
                    </w:rPr>
                  </w:pPr>
                  <w:r w:rsidRPr="00D22312">
                    <w:rPr>
                      <w:rFonts w:ascii="Calibri" w:eastAsia="Times New Roman" w:hAnsi="Calibri" w:cs="Calibri"/>
                      <w:sz w:val="24"/>
                      <w:szCs w:val="24"/>
                      <w:lang w:bidi="lt-LT"/>
                    </w:rPr>
                    <w:t>Tiekėjas turi parinkti optimalų saulės fotovoltinės elektrinės tvirtinimo metodą, atsižvelgiant į esamo pastato stogo ypatybes ir galimus nelygumus, numatyti tvirtinimo konstrukcijas, kurios nepažeistų esamos Molodižnės licėjaus pastato stogo dangos, užtikrintų maksimaliai mažą apkrovą esamoms stogo konstrukcijoms, užtikrintų optimalų fotovoltinių modulių išdėstymą ir jų pasvyrimo kampą. Turi būti siekiama efektyviausio elektros energijos generavimo.</w:t>
                  </w:r>
                </w:p>
                <w:p w14:paraId="717C1481" w14:textId="77777777" w:rsidR="00946C81" w:rsidRPr="00D22312" w:rsidRDefault="00946C81" w:rsidP="00946C81">
                  <w:pPr>
                    <w:spacing w:before="60" w:after="60"/>
                    <w:contextualSpacing/>
                    <w:rPr>
                      <w:rFonts w:ascii="Calibri" w:eastAsia="Times New Roman" w:hAnsi="Calibri" w:cs="Calibri"/>
                      <w:sz w:val="20"/>
                      <w:szCs w:val="20"/>
                      <w:lang w:bidi="lt-LT"/>
                    </w:rPr>
                  </w:pPr>
                  <w:r w:rsidRPr="00D22312">
                    <w:rPr>
                      <w:rFonts w:ascii="Calibri" w:eastAsia="Times New Roman" w:hAnsi="Calibri" w:cs="Calibri"/>
                      <w:sz w:val="24"/>
                      <w:szCs w:val="24"/>
                      <w:lang w:bidi="lt-LT"/>
                    </w:rPr>
                    <w:t>Tiekėjas prisiima pilną atsakomybę už tinkamų medžiagų panaudojimą ir konstrukcijos įrengimą.</w:t>
                  </w:r>
                </w:p>
              </w:tc>
            </w:tr>
            <w:tr w:rsidR="00946C81" w:rsidRPr="00D22312" w14:paraId="70DFB5A3" w14:textId="77777777" w:rsidTr="0007062B">
              <w:tc>
                <w:tcPr>
                  <w:tcW w:w="281" w:type="pct"/>
                </w:tcPr>
                <w:p w14:paraId="63EC6F4D"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6</w:t>
                  </w:r>
                </w:p>
              </w:tc>
              <w:tc>
                <w:tcPr>
                  <w:tcW w:w="1120" w:type="pct"/>
                </w:tcPr>
                <w:p w14:paraId="0076BD09"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Inverteriai (įtampos keitikliai), kita įranga</w:t>
                  </w:r>
                </w:p>
              </w:tc>
              <w:tc>
                <w:tcPr>
                  <w:tcW w:w="1800" w:type="pct"/>
                </w:tcPr>
                <w:p w14:paraId="663EB080"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Siūlomos įrangos gamintojas turi būti registruotas ES arba EEE priklausančioje valstybėje.</w:t>
                  </w:r>
                </w:p>
                <w:p w14:paraId="0E05FB1E"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Siūlomi inverteriai turi atitiktį šių standartų reikalavimus:</w:t>
                  </w:r>
                </w:p>
                <w:p w14:paraId="167F59F6" w14:textId="77777777" w:rsidR="00946C81" w:rsidRPr="00D22312" w:rsidRDefault="00946C81" w:rsidP="00946C81">
                  <w:pPr>
                    <w:numPr>
                      <w:ilvl w:val="0"/>
                      <w:numId w:val="28"/>
                    </w:numPr>
                    <w:spacing w:before="60" w:after="60"/>
                    <w:contextualSpacing/>
                    <w:jc w:val="left"/>
                    <w:rPr>
                      <w:rFonts w:ascii="Calibri" w:eastAsia="Times New Roman" w:hAnsi="Calibri" w:cs="Calibri"/>
                      <w:bCs/>
                      <w:iCs/>
                      <w:sz w:val="24"/>
                      <w:szCs w:val="24"/>
                    </w:rPr>
                  </w:pPr>
                  <w:r w:rsidRPr="00D22312">
                    <w:rPr>
                      <w:rFonts w:ascii="Calibri" w:eastAsia="Times New Roman" w:hAnsi="Calibri" w:cs="Calibri"/>
                      <w:bCs/>
                      <w:iCs/>
                      <w:sz w:val="24"/>
                      <w:szCs w:val="24"/>
                    </w:rPr>
                    <w:t xml:space="preserve">EN 50549-1:2019 </w:t>
                  </w:r>
                  <w:r w:rsidRPr="00D22312">
                    <w:rPr>
                      <w:rFonts w:ascii="Calibri" w:eastAsia="Times New Roman" w:hAnsi="Calibri" w:cs="Calibri"/>
                      <w:b/>
                      <w:iCs/>
                      <w:sz w:val="24"/>
                      <w:szCs w:val="24"/>
                    </w:rPr>
                    <w:t>ir EN 50549-2:2019</w:t>
                  </w:r>
                  <w:r w:rsidRPr="00D22312">
                    <w:rPr>
                      <w:rFonts w:ascii="Calibri" w:eastAsia="Times New Roman" w:hAnsi="Calibri" w:cs="Calibri"/>
                      <w:bCs/>
                      <w:iCs/>
                      <w:sz w:val="24"/>
                      <w:szCs w:val="24"/>
                    </w:rPr>
                    <w:t>, arba lygiaverčiam.</w:t>
                  </w:r>
                </w:p>
                <w:p w14:paraId="2EAADE5A" w14:textId="77777777" w:rsidR="00946C81" w:rsidRPr="00D22312" w:rsidRDefault="00946C81" w:rsidP="00946C81">
                  <w:pPr>
                    <w:numPr>
                      <w:ilvl w:val="0"/>
                      <w:numId w:val="28"/>
                    </w:numPr>
                    <w:spacing w:before="60" w:after="60"/>
                    <w:contextualSpacing/>
                    <w:jc w:val="left"/>
                    <w:rPr>
                      <w:rFonts w:ascii="Calibri" w:eastAsia="Times New Roman" w:hAnsi="Calibri" w:cs="Calibri"/>
                      <w:bCs/>
                      <w:iCs/>
                      <w:sz w:val="24"/>
                      <w:szCs w:val="24"/>
                    </w:rPr>
                  </w:pPr>
                  <w:r w:rsidRPr="00D22312">
                    <w:rPr>
                      <w:rFonts w:ascii="Calibri" w:eastAsia="Times New Roman" w:hAnsi="Calibri" w:cs="Calibri"/>
                      <w:bCs/>
                      <w:iCs/>
                      <w:sz w:val="24"/>
                      <w:szCs w:val="24"/>
                    </w:rPr>
                    <w:t>IEC 62109-1:2010 ir IEC 62109-2:2011, arba lygiaverčiams standartams.</w:t>
                  </w:r>
                </w:p>
                <w:p w14:paraId="6C20EE12" w14:textId="77777777" w:rsidR="00946C81" w:rsidRPr="00D22312" w:rsidRDefault="00946C81" w:rsidP="00946C81">
                  <w:pPr>
                    <w:numPr>
                      <w:ilvl w:val="0"/>
                      <w:numId w:val="28"/>
                    </w:numPr>
                    <w:spacing w:before="60" w:after="60"/>
                    <w:contextualSpacing/>
                    <w:jc w:val="left"/>
                    <w:rPr>
                      <w:rFonts w:ascii="Calibri" w:eastAsia="Times New Roman" w:hAnsi="Calibri" w:cs="Calibri"/>
                      <w:bCs/>
                      <w:iCs/>
                      <w:sz w:val="24"/>
                      <w:szCs w:val="24"/>
                    </w:rPr>
                  </w:pPr>
                  <w:r w:rsidRPr="00D22312">
                    <w:rPr>
                      <w:rFonts w:ascii="Calibri" w:eastAsia="Times New Roman" w:hAnsi="Calibri" w:cs="Calibri"/>
                      <w:bCs/>
                      <w:iCs/>
                      <w:sz w:val="24"/>
                      <w:szCs w:val="24"/>
                    </w:rPr>
                    <w:t>IEC 62116:2014 arba lygiavertis.</w:t>
                  </w:r>
                </w:p>
                <w:p w14:paraId="465A1E67"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Montuojant, jungiant, konfigūruojant įrangą turi būti laikomasi kibernetinės saugos gerosios praktikos.</w:t>
                  </w:r>
                </w:p>
                <w:p w14:paraId="0A4D249F"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Įranga turi būti nauja, neeksploatuota, pagaminta ne anksčiau, kaip 24 mėnesiai iki faktinio įrangos pristatymo į montavimo vietą dienos.</w:t>
                  </w:r>
                </w:p>
              </w:tc>
              <w:tc>
                <w:tcPr>
                  <w:tcW w:w="1799" w:type="pct"/>
                </w:tcPr>
                <w:p w14:paraId="4C829B03"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Siūlomi inverteriai (įtampos keitikliai) turi atitiktį šių standartų reikalavimus:</w:t>
                  </w:r>
                </w:p>
                <w:p w14:paraId="4981A538" w14:textId="77777777" w:rsidR="00946C81" w:rsidRPr="00D22312" w:rsidRDefault="00946C81" w:rsidP="00946C81">
                  <w:pPr>
                    <w:numPr>
                      <w:ilvl w:val="0"/>
                      <w:numId w:val="28"/>
                    </w:numPr>
                    <w:spacing w:before="60" w:after="60"/>
                    <w:contextualSpacing/>
                    <w:jc w:val="left"/>
                    <w:rPr>
                      <w:rFonts w:ascii="Calibri" w:eastAsia="Times New Roman" w:hAnsi="Calibri" w:cs="Calibri"/>
                      <w:bCs/>
                      <w:sz w:val="24"/>
                      <w:szCs w:val="24"/>
                    </w:rPr>
                  </w:pPr>
                  <w:r w:rsidRPr="00D22312">
                    <w:rPr>
                      <w:rFonts w:ascii="Calibri" w:eastAsia="Times New Roman" w:hAnsi="Calibri" w:cs="Calibri"/>
                      <w:bCs/>
                      <w:iCs/>
                      <w:sz w:val="24"/>
                      <w:szCs w:val="24"/>
                    </w:rPr>
                    <w:t>EN 50549-1:2019, arba lygiaverčiam.</w:t>
                  </w:r>
                </w:p>
                <w:p w14:paraId="0DAC3B1A" w14:textId="77777777" w:rsidR="00946C81" w:rsidRPr="00D22312" w:rsidRDefault="00946C81" w:rsidP="00946C81">
                  <w:pPr>
                    <w:numPr>
                      <w:ilvl w:val="0"/>
                      <w:numId w:val="28"/>
                    </w:numPr>
                    <w:spacing w:before="60" w:after="60"/>
                    <w:contextualSpacing/>
                    <w:jc w:val="left"/>
                    <w:rPr>
                      <w:rFonts w:ascii="Calibri" w:eastAsia="Times New Roman" w:hAnsi="Calibri" w:cs="Calibri"/>
                      <w:bCs/>
                      <w:sz w:val="24"/>
                      <w:szCs w:val="24"/>
                    </w:rPr>
                  </w:pPr>
                  <w:r w:rsidRPr="00D22312">
                    <w:rPr>
                      <w:rFonts w:ascii="Calibri" w:eastAsia="Times New Roman" w:hAnsi="Calibri" w:cs="Calibri"/>
                      <w:bCs/>
                      <w:iCs/>
                      <w:sz w:val="24"/>
                      <w:szCs w:val="24"/>
                    </w:rPr>
                    <w:t>IEC 62109-1:2010 ir IEC 62109-2:2011, arba lygiaverčiams standartams.</w:t>
                  </w:r>
                </w:p>
                <w:p w14:paraId="2363FB2F" w14:textId="77777777" w:rsidR="00946C81" w:rsidRPr="00D22312" w:rsidRDefault="00946C81" w:rsidP="00946C81">
                  <w:pPr>
                    <w:numPr>
                      <w:ilvl w:val="0"/>
                      <w:numId w:val="28"/>
                    </w:numPr>
                    <w:spacing w:before="60" w:after="60"/>
                    <w:contextualSpacing/>
                    <w:jc w:val="left"/>
                    <w:rPr>
                      <w:rFonts w:ascii="Calibri" w:eastAsia="Times New Roman" w:hAnsi="Calibri" w:cs="Calibri"/>
                      <w:bCs/>
                      <w:iCs/>
                      <w:sz w:val="24"/>
                      <w:szCs w:val="24"/>
                    </w:rPr>
                  </w:pPr>
                  <w:r w:rsidRPr="00D22312">
                    <w:rPr>
                      <w:rFonts w:ascii="Calibri" w:eastAsia="Times New Roman" w:hAnsi="Calibri" w:cs="Calibri"/>
                      <w:bCs/>
                      <w:iCs/>
                      <w:sz w:val="24"/>
                      <w:szCs w:val="24"/>
                    </w:rPr>
                    <w:t>IEC 62116:2014 arba lygiavertis.</w:t>
                  </w:r>
                </w:p>
                <w:p w14:paraId="4DA81064" w14:textId="77777777" w:rsidR="00946C81" w:rsidRPr="00D22312" w:rsidRDefault="00946C81" w:rsidP="00946C81">
                  <w:pPr>
                    <w:spacing w:before="60" w:after="60"/>
                    <w:rPr>
                      <w:rFonts w:ascii="Calibri" w:eastAsia="Times New Roman" w:hAnsi="Calibri" w:cs="Calibri"/>
                      <w:bCs/>
                      <w:iCs/>
                      <w:sz w:val="24"/>
                      <w:szCs w:val="24"/>
                    </w:rPr>
                  </w:pPr>
                </w:p>
                <w:p w14:paraId="4389AFC2"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Montuojant, jungiant, konfigūruojant įrangą turi būti laikomasi kibernetinės saugos gerosios praktikos.</w:t>
                  </w:r>
                </w:p>
                <w:p w14:paraId="142880BE"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bCs/>
                      <w:iCs/>
                      <w:sz w:val="24"/>
                      <w:szCs w:val="24"/>
                    </w:rPr>
                    <w:t>Įranga turi būti nauja, neeksploatuota, pagaminta ne anksčiau, kaip 24 mėnesiai iki sumontavimo.</w:t>
                  </w:r>
                </w:p>
              </w:tc>
            </w:tr>
            <w:tr w:rsidR="00946C81" w:rsidRPr="00D22312" w14:paraId="3907C443" w14:textId="77777777" w:rsidTr="0007062B">
              <w:tc>
                <w:tcPr>
                  <w:tcW w:w="281" w:type="pct"/>
                </w:tcPr>
                <w:p w14:paraId="51482C65"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9</w:t>
                  </w:r>
                </w:p>
              </w:tc>
              <w:tc>
                <w:tcPr>
                  <w:tcW w:w="1120" w:type="pct"/>
                </w:tcPr>
                <w:p w14:paraId="58DBF409"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sz w:val="24"/>
                      <w:szCs w:val="24"/>
                      <w14:ligatures w14:val="standardContextual"/>
                    </w:rPr>
                    <w:t>IP apsaugos klasė</w:t>
                  </w:r>
                </w:p>
              </w:tc>
              <w:tc>
                <w:tcPr>
                  <w:tcW w:w="1800" w:type="pct"/>
                </w:tcPr>
                <w:p w14:paraId="092DD2D7"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bCs/>
                      <w:iCs/>
                      <w:sz w:val="20"/>
                      <w:szCs w:val="20"/>
                    </w:rPr>
                    <w:t>-</w:t>
                  </w:r>
                </w:p>
              </w:tc>
              <w:tc>
                <w:tcPr>
                  <w:tcW w:w="1799" w:type="pct"/>
                </w:tcPr>
                <w:p w14:paraId="3DFE4637" w14:textId="77777777" w:rsidR="00946C81" w:rsidRPr="00D22312" w:rsidRDefault="00946C81" w:rsidP="00946C81">
                  <w:pPr>
                    <w:spacing w:before="60" w:after="60"/>
                    <w:rPr>
                      <w:rFonts w:ascii="Calibri" w:eastAsia="Times New Roman" w:hAnsi="Calibri" w:cs="Calibri"/>
                      <w:sz w:val="24"/>
                      <w:szCs w:val="24"/>
                      <w14:ligatures w14:val="standardContextual"/>
                    </w:rPr>
                  </w:pPr>
                  <w:r w:rsidRPr="00D22312">
                    <w:rPr>
                      <w:rFonts w:ascii="Calibri" w:eastAsia="Times New Roman" w:hAnsi="Calibri" w:cs="Calibri"/>
                      <w:sz w:val="24"/>
                      <w:szCs w:val="24"/>
                      <w14:ligatures w14:val="standardContextual"/>
                    </w:rPr>
                    <w:t>Fotovoltiniai moduliai:</w:t>
                  </w:r>
                </w:p>
                <w:p w14:paraId="5ED88A17" w14:textId="77777777" w:rsidR="00946C81" w:rsidRPr="00D22312" w:rsidRDefault="00946C81" w:rsidP="00946C81">
                  <w:pPr>
                    <w:spacing w:before="60" w:after="60"/>
                    <w:rPr>
                      <w:rFonts w:ascii="Calibri" w:eastAsia="Times New Roman" w:hAnsi="Calibri" w:cs="Calibri"/>
                      <w:sz w:val="24"/>
                      <w:szCs w:val="24"/>
                      <w14:ligatures w14:val="standardContextual"/>
                    </w:rPr>
                  </w:pPr>
                  <w:r w:rsidRPr="00D22312">
                    <w:rPr>
                      <w:rFonts w:ascii="Calibri" w:eastAsia="Times New Roman" w:hAnsi="Calibri" w:cs="Calibri"/>
                      <w:sz w:val="24"/>
                      <w:szCs w:val="24"/>
                      <w14:ligatures w14:val="standardContextual"/>
                    </w:rPr>
                    <w:t>Jungiamosios dėžutės: ≥ IP65 apsaugos klasė (arba lygiavertė).</w:t>
                  </w:r>
                </w:p>
                <w:p w14:paraId="34367397" w14:textId="77777777" w:rsidR="00946C81" w:rsidRPr="00D22312" w:rsidRDefault="00946C81" w:rsidP="00946C81">
                  <w:pPr>
                    <w:spacing w:before="60" w:after="60"/>
                    <w:rPr>
                      <w:rFonts w:ascii="Calibri" w:eastAsia="Times New Roman" w:hAnsi="Calibri" w:cs="Calibri"/>
                      <w:sz w:val="24"/>
                      <w:szCs w:val="24"/>
                      <w14:ligatures w14:val="standardContextual"/>
                    </w:rPr>
                  </w:pPr>
                  <w:r w:rsidRPr="00D22312">
                    <w:rPr>
                      <w:rFonts w:ascii="Calibri" w:eastAsia="Times New Roman" w:hAnsi="Calibri" w:cs="Calibri"/>
                      <w:sz w:val="24"/>
                      <w:szCs w:val="24"/>
                      <w14:ligatures w14:val="standardContextual"/>
                    </w:rPr>
                    <w:t>Kabelių jungtys: ≥ IP65 apsaugos klasė (arba lygiavertė).</w:t>
                  </w:r>
                </w:p>
                <w:p w14:paraId="27FD3C87"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sz w:val="24"/>
                      <w:szCs w:val="24"/>
                      <w14:ligatures w14:val="standardContextual"/>
                    </w:rPr>
                    <w:t>Inverteriai (įtampos keitikliai): ≥ IP65 apsaugos klasė (arba lygiavertė).</w:t>
                  </w:r>
                </w:p>
              </w:tc>
            </w:tr>
            <w:tr w:rsidR="00946C81" w:rsidRPr="00D22312" w14:paraId="6C173EC4" w14:textId="77777777" w:rsidTr="0007062B">
              <w:tc>
                <w:tcPr>
                  <w:tcW w:w="281" w:type="pct"/>
                </w:tcPr>
                <w:p w14:paraId="7A01012C"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10</w:t>
                  </w:r>
                </w:p>
              </w:tc>
              <w:tc>
                <w:tcPr>
                  <w:tcW w:w="1120" w:type="pct"/>
                </w:tcPr>
                <w:p w14:paraId="1396F617" w14:textId="77777777" w:rsidR="00946C81" w:rsidRPr="00D22312" w:rsidRDefault="00946C81" w:rsidP="00946C81">
                  <w:pPr>
                    <w:spacing w:before="60" w:after="60"/>
                    <w:contextualSpacing/>
                    <w:rPr>
                      <w:rFonts w:ascii="Calibri" w:eastAsia="Aptos" w:hAnsi="Calibri" w:cs="Calibri"/>
                      <w:bCs/>
                      <w:iCs/>
                      <w:sz w:val="24"/>
                      <w:szCs w:val="24"/>
                    </w:rPr>
                  </w:pPr>
                  <w:r w:rsidRPr="00D22312">
                    <w:rPr>
                      <w:rFonts w:ascii="Calibri" w:eastAsia="Aptos" w:hAnsi="Calibri" w:cs="Calibri"/>
                      <w:bCs/>
                      <w:iCs/>
                      <w:sz w:val="24"/>
                      <w:szCs w:val="24"/>
                    </w:rPr>
                    <w:t>Garantija</w:t>
                  </w:r>
                </w:p>
              </w:tc>
              <w:tc>
                <w:tcPr>
                  <w:tcW w:w="1800" w:type="pct"/>
                </w:tcPr>
                <w:p w14:paraId="216B82A2"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Fotovoltiniams moduliams ir inverteriams (įtampos keitikliams) turi būti suteikta ne mažesnė, nei 10 metų garantija.</w:t>
                  </w:r>
                </w:p>
              </w:tc>
              <w:tc>
                <w:tcPr>
                  <w:tcW w:w="1799" w:type="pct"/>
                </w:tcPr>
                <w:p w14:paraId="347F561F"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Fotovoltiniams moduliams turi būti suteikta ne mažesnė, nei 20 metų garantija.</w:t>
                  </w:r>
                </w:p>
                <w:p w14:paraId="1417B1DD"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Aptos" w:hAnsi="Calibri" w:cs="Calibri"/>
                      <w:bCs/>
                      <w:iCs/>
                      <w:sz w:val="24"/>
                      <w:szCs w:val="24"/>
                    </w:rPr>
                    <w:t xml:space="preserve">Fotovoltinių modulių montavimo konstrukcijoms turi būti suteikta </w:t>
                  </w:r>
                  <w:r w:rsidRPr="00D22312">
                    <w:rPr>
                      <w:rFonts w:ascii="Calibri" w:eastAsia="Times New Roman" w:hAnsi="Calibri" w:cs="Calibri"/>
                      <w:bCs/>
                      <w:iCs/>
                      <w:sz w:val="24"/>
                      <w:szCs w:val="24"/>
                    </w:rPr>
                    <w:t>ne mažesnė, nei 10 metų garantija.</w:t>
                  </w:r>
                </w:p>
                <w:p w14:paraId="6C0F3383"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Gamintojo suteikiama fotovoltinių modulių efektyvumo garantija po 25 metų eksploatacijos ne mažesnė, nei  80,0 %.</w:t>
                  </w:r>
                </w:p>
                <w:p w14:paraId="1E382CB1" w14:textId="77777777" w:rsidR="00946C81" w:rsidRPr="00D22312" w:rsidRDefault="00946C81" w:rsidP="00946C81">
                  <w:pPr>
                    <w:spacing w:before="60" w:after="60"/>
                    <w:rPr>
                      <w:rFonts w:ascii="Calibri" w:eastAsia="Times New Roman" w:hAnsi="Calibri" w:cs="Calibri"/>
                      <w:b/>
                      <w:iCs/>
                      <w:sz w:val="20"/>
                      <w:szCs w:val="20"/>
                    </w:rPr>
                  </w:pPr>
                  <w:r w:rsidRPr="00D22312">
                    <w:rPr>
                      <w:rFonts w:ascii="Calibri" w:eastAsia="Times New Roman" w:hAnsi="Calibri" w:cs="Calibri"/>
                      <w:bCs/>
                      <w:iCs/>
                      <w:sz w:val="24"/>
                      <w:szCs w:val="24"/>
                    </w:rPr>
                    <w:t>Inverteriams (įtampos keitikliams) turi būti suteikta ne mažesnė, nei 5 metų garantija.</w:t>
                  </w:r>
                </w:p>
              </w:tc>
            </w:tr>
          </w:tbl>
          <w:p w14:paraId="52CFD572" w14:textId="77777777" w:rsidR="00946C81" w:rsidRPr="00D22312" w:rsidRDefault="00946C81" w:rsidP="00946C81">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p>
          <w:p w14:paraId="0A3C5427" w14:textId="77777777" w:rsidR="00946C81" w:rsidRPr="00D22312" w:rsidRDefault="00946C81" w:rsidP="00946C81">
            <w:pPr>
              <w:numPr>
                <w:ilvl w:val="1"/>
                <w:numId w:val="30"/>
              </w:numPr>
              <w:tabs>
                <w:tab w:val="left" w:pos="426"/>
              </w:tabs>
              <w:ind w:left="0" w:firstLine="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4"/>
                <w:szCs w:val="24"/>
              </w:rPr>
            </w:pPr>
            <w:r w:rsidRPr="00D22312">
              <w:rPr>
                <w:rFonts w:ascii="Calibri" w:eastAsia="Times New Roman" w:hAnsi="Calibri" w:cs="Calibri"/>
                <w:b/>
                <w:sz w:val="24"/>
                <w:szCs w:val="24"/>
              </w:rPr>
              <w:t>AKUMULIATORINĖ ENERGIJOS KAUPIMO SISTEMA (AKUMULIATORIAI)</w:t>
            </w:r>
          </w:p>
          <w:tbl>
            <w:tblPr>
              <w:tblStyle w:val="TableGrid"/>
              <w:tblW w:w="5000" w:type="pct"/>
              <w:tblLook w:val="04A0" w:firstRow="1" w:lastRow="0" w:firstColumn="1" w:lastColumn="0" w:noHBand="0" w:noVBand="1"/>
            </w:tblPr>
            <w:tblGrid>
              <w:gridCol w:w="728"/>
              <w:gridCol w:w="2901"/>
              <w:gridCol w:w="4660"/>
              <w:gridCol w:w="4663"/>
            </w:tblGrid>
            <w:tr w:rsidR="00946C81" w:rsidRPr="00D22312" w14:paraId="64159450" w14:textId="77777777" w:rsidTr="0007062B">
              <w:trPr>
                <w:tblHeader/>
              </w:trPr>
              <w:tc>
                <w:tcPr>
                  <w:tcW w:w="281" w:type="pct"/>
                </w:tcPr>
                <w:p w14:paraId="4775188F" w14:textId="77777777" w:rsidR="00946C81" w:rsidRPr="00D22312" w:rsidRDefault="00946C81" w:rsidP="00946C81">
                  <w:pPr>
                    <w:spacing w:before="60" w:after="60"/>
                    <w:contextualSpacing/>
                    <w:jc w:val="center"/>
                    <w:rPr>
                      <w:rFonts w:ascii="Calibri" w:eastAsia="Times New Roman" w:hAnsi="Calibri" w:cs="Calibri"/>
                      <w:b/>
                      <w:iCs/>
                      <w:sz w:val="24"/>
                      <w:szCs w:val="24"/>
                    </w:rPr>
                  </w:pPr>
                  <w:r w:rsidRPr="00D22312">
                    <w:rPr>
                      <w:rFonts w:ascii="Calibri" w:eastAsia="Times New Roman" w:hAnsi="Calibri" w:cs="Calibri"/>
                      <w:b/>
                      <w:iCs/>
                      <w:sz w:val="24"/>
                      <w:szCs w:val="24"/>
                    </w:rPr>
                    <w:t>Eil. Nr.</w:t>
                  </w:r>
                </w:p>
              </w:tc>
              <w:tc>
                <w:tcPr>
                  <w:tcW w:w="1120" w:type="pct"/>
                  <w:vAlign w:val="center"/>
                </w:tcPr>
                <w:p w14:paraId="723C0F39" w14:textId="77777777" w:rsidR="00946C81" w:rsidRPr="00D22312" w:rsidRDefault="00946C81" w:rsidP="00946C81">
                  <w:pPr>
                    <w:spacing w:before="60" w:after="60"/>
                    <w:contextualSpacing/>
                    <w:jc w:val="center"/>
                    <w:rPr>
                      <w:rFonts w:ascii="Calibri" w:eastAsia="Aptos" w:hAnsi="Calibri" w:cs="Calibri"/>
                      <w:b/>
                      <w:iCs/>
                      <w:sz w:val="24"/>
                      <w:szCs w:val="24"/>
                    </w:rPr>
                  </w:pPr>
                  <w:r w:rsidRPr="00D22312">
                    <w:rPr>
                      <w:rFonts w:ascii="Calibri" w:eastAsia="Aptos" w:hAnsi="Calibri" w:cs="Calibri"/>
                      <w:b/>
                      <w:iCs/>
                      <w:sz w:val="24"/>
                      <w:szCs w:val="24"/>
                    </w:rPr>
                    <w:t>Parametrai</w:t>
                  </w:r>
                </w:p>
              </w:tc>
              <w:tc>
                <w:tcPr>
                  <w:tcW w:w="1799" w:type="pct"/>
                  <w:vAlign w:val="center"/>
                </w:tcPr>
                <w:p w14:paraId="0520DF6B" w14:textId="77777777" w:rsidR="00946C81" w:rsidRPr="00D22312" w:rsidRDefault="00946C81" w:rsidP="00946C81">
                  <w:pPr>
                    <w:spacing w:before="60" w:after="60"/>
                    <w:contextualSpacing/>
                    <w:jc w:val="center"/>
                    <w:rPr>
                      <w:rFonts w:ascii="Calibri" w:eastAsia="Aptos" w:hAnsi="Calibri" w:cs="Calibri"/>
                      <w:b/>
                      <w:iCs/>
                      <w:sz w:val="20"/>
                      <w:szCs w:val="20"/>
                    </w:rPr>
                  </w:pPr>
                  <w:r w:rsidRPr="00D22312">
                    <w:rPr>
                      <w:rFonts w:ascii="Calibri" w:eastAsia="Aptos" w:hAnsi="Calibri" w:cs="Calibri"/>
                      <w:b/>
                      <w:iCs/>
                      <w:sz w:val="24"/>
                      <w:szCs w:val="24"/>
                    </w:rPr>
                    <w:t>Buvusi reikšmė</w:t>
                  </w:r>
                </w:p>
              </w:tc>
              <w:tc>
                <w:tcPr>
                  <w:tcW w:w="1800" w:type="pct"/>
                  <w:vAlign w:val="center"/>
                </w:tcPr>
                <w:p w14:paraId="5927B9F3" w14:textId="77777777" w:rsidR="00946C81" w:rsidRPr="00D22312" w:rsidRDefault="00946C81" w:rsidP="00946C81">
                  <w:pPr>
                    <w:spacing w:before="60" w:after="60"/>
                    <w:contextualSpacing/>
                    <w:jc w:val="center"/>
                    <w:rPr>
                      <w:rFonts w:ascii="Calibri" w:eastAsia="Aptos" w:hAnsi="Calibri" w:cs="Calibri"/>
                      <w:b/>
                      <w:iCs/>
                      <w:sz w:val="24"/>
                      <w:szCs w:val="24"/>
                    </w:rPr>
                  </w:pPr>
                  <w:r w:rsidRPr="00D22312">
                    <w:rPr>
                      <w:rFonts w:ascii="Calibri" w:eastAsia="Aptos" w:hAnsi="Calibri" w:cs="Calibri"/>
                      <w:b/>
                      <w:iCs/>
                      <w:sz w:val="24"/>
                      <w:szCs w:val="24"/>
                    </w:rPr>
                    <w:t>Nauja Reikšmė</w:t>
                  </w:r>
                </w:p>
              </w:tc>
            </w:tr>
            <w:tr w:rsidR="00946C81" w:rsidRPr="00D22312" w14:paraId="725B391C" w14:textId="77777777" w:rsidTr="0007062B">
              <w:tc>
                <w:tcPr>
                  <w:tcW w:w="281" w:type="pct"/>
                </w:tcPr>
                <w:p w14:paraId="2AE7B6A0"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2</w:t>
                  </w:r>
                </w:p>
              </w:tc>
              <w:tc>
                <w:tcPr>
                  <w:tcW w:w="1120" w:type="pct"/>
                </w:tcPr>
                <w:p w14:paraId="1655F1BE"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Cheminė sudėtis</w:t>
                  </w:r>
                </w:p>
              </w:tc>
              <w:tc>
                <w:tcPr>
                  <w:tcW w:w="1799" w:type="pct"/>
                </w:tcPr>
                <w:p w14:paraId="7A27C2C9"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Ličio geležies fosfato arba lygiavertės baterijos, t.y., tuo pat metu pasižyminčios tokio paties arba geresnio lygio sauga, mažomis techninės priežiūros išlaidomis, eksploatavimo laikotarpiu, didžiausiais įkrovimo ir iškrovimo koeficientais, galia ir energijos tankiu pagal EN 50178, EN IEC 62485-2 arba lygiaverčius standartus.</w:t>
                  </w:r>
                </w:p>
                <w:p w14:paraId="6268A522"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bCs/>
                      <w:iCs/>
                      <w:sz w:val="24"/>
                      <w:szCs w:val="24"/>
                    </w:rPr>
                    <w:t>Dalyvis turi pateikti pripažįstamus techninius / mokslinius įrodymus, kurie turi būti įtraukti į pasiūlymą.</w:t>
                  </w:r>
                </w:p>
              </w:tc>
              <w:tc>
                <w:tcPr>
                  <w:tcW w:w="1800" w:type="pct"/>
                </w:tcPr>
                <w:p w14:paraId="6393FCF7"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Ličio geležies fosfato arba lygiavertės baterijos, kurios:</w:t>
                  </w:r>
                </w:p>
                <w:p w14:paraId="3F5C73FC" w14:textId="77777777" w:rsidR="00946C81" w:rsidRPr="00D22312" w:rsidRDefault="00946C81" w:rsidP="00946C81">
                  <w:pPr>
                    <w:numPr>
                      <w:ilvl w:val="0"/>
                      <w:numId w:val="31"/>
                    </w:numPr>
                    <w:spacing w:before="60" w:after="60"/>
                    <w:jc w:val="left"/>
                    <w:rPr>
                      <w:rFonts w:ascii="Calibri" w:eastAsia="Times New Roman" w:hAnsi="Calibri" w:cs="Calibri"/>
                      <w:bCs/>
                      <w:iCs/>
                      <w:sz w:val="24"/>
                      <w:szCs w:val="24"/>
                    </w:rPr>
                  </w:pPr>
                  <w:r w:rsidRPr="00D22312">
                    <w:rPr>
                      <w:rFonts w:ascii="Calibri" w:eastAsia="Times New Roman" w:hAnsi="Calibri" w:cs="Calibri"/>
                      <w:bCs/>
                      <w:iCs/>
                      <w:sz w:val="24"/>
                      <w:szCs w:val="24"/>
                    </w:rPr>
                    <w:t>užtikrina tokio paties arba aukštesnio lygio saugą;</w:t>
                  </w:r>
                </w:p>
                <w:p w14:paraId="58DA65BC" w14:textId="77777777" w:rsidR="00946C81" w:rsidRPr="00D22312" w:rsidRDefault="00946C81" w:rsidP="00946C81">
                  <w:pPr>
                    <w:numPr>
                      <w:ilvl w:val="0"/>
                      <w:numId w:val="31"/>
                    </w:numPr>
                    <w:spacing w:before="60" w:after="60"/>
                    <w:jc w:val="left"/>
                    <w:rPr>
                      <w:rFonts w:ascii="Calibri" w:eastAsia="Times New Roman" w:hAnsi="Calibri" w:cs="Calibri"/>
                      <w:bCs/>
                      <w:iCs/>
                      <w:sz w:val="24"/>
                      <w:szCs w:val="24"/>
                    </w:rPr>
                  </w:pPr>
                  <w:r w:rsidRPr="00D22312">
                    <w:rPr>
                      <w:rFonts w:ascii="Calibri" w:eastAsia="Times New Roman" w:hAnsi="Calibri" w:cs="Calibri"/>
                      <w:bCs/>
                      <w:iCs/>
                      <w:sz w:val="24"/>
                      <w:szCs w:val="24"/>
                    </w:rPr>
                    <w:t>turi mažas techninės priežiūros išlaidas per visą eksploatavimo laikotarpį;</w:t>
                  </w:r>
                </w:p>
                <w:p w14:paraId="4D7DB94F" w14:textId="77777777" w:rsidR="00946C81" w:rsidRPr="00D22312" w:rsidRDefault="00946C81" w:rsidP="00946C81">
                  <w:pPr>
                    <w:numPr>
                      <w:ilvl w:val="0"/>
                      <w:numId w:val="31"/>
                    </w:numPr>
                    <w:spacing w:before="60" w:after="60"/>
                    <w:jc w:val="left"/>
                    <w:rPr>
                      <w:rFonts w:ascii="Calibri" w:eastAsia="Times New Roman" w:hAnsi="Calibri" w:cs="Calibri"/>
                      <w:bCs/>
                      <w:iCs/>
                      <w:sz w:val="24"/>
                      <w:szCs w:val="24"/>
                    </w:rPr>
                  </w:pPr>
                  <w:r w:rsidRPr="00D22312">
                    <w:rPr>
                      <w:rFonts w:ascii="Calibri" w:eastAsia="Times New Roman" w:hAnsi="Calibri" w:cs="Calibri"/>
                      <w:bCs/>
                      <w:iCs/>
                      <w:sz w:val="24"/>
                      <w:szCs w:val="24"/>
                    </w:rPr>
                    <w:t>užtikrina aukštus įkrovimo ir iškrovimo koeficientus;</w:t>
                  </w:r>
                </w:p>
                <w:p w14:paraId="6B3AE7A2" w14:textId="77777777" w:rsidR="00946C81" w:rsidRPr="00D22312" w:rsidRDefault="00946C81" w:rsidP="00946C81">
                  <w:pPr>
                    <w:numPr>
                      <w:ilvl w:val="0"/>
                      <w:numId w:val="31"/>
                    </w:numPr>
                    <w:spacing w:before="60" w:after="60"/>
                    <w:jc w:val="left"/>
                    <w:rPr>
                      <w:rFonts w:ascii="Calibri" w:eastAsia="Times New Roman" w:hAnsi="Calibri" w:cs="Calibri"/>
                      <w:bCs/>
                      <w:iCs/>
                      <w:sz w:val="24"/>
                      <w:szCs w:val="24"/>
                      <w:lang w:val="en-US"/>
                    </w:rPr>
                  </w:pPr>
                  <w:r w:rsidRPr="00D22312">
                    <w:rPr>
                      <w:rFonts w:ascii="Calibri" w:eastAsia="Times New Roman" w:hAnsi="Calibri" w:cs="Calibri"/>
                      <w:bCs/>
                      <w:iCs/>
                      <w:sz w:val="24"/>
                      <w:szCs w:val="24"/>
                    </w:rPr>
                    <w:t>pasižymi dideliu energijos tankiu ir patikimumu.</w:t>
                  </w:r>
                </w:p>
                <w:p w14:paraId="4DD52D2F" w14:textId="77777777" w:rsidR="00946C81" w:rsidRPr="00D22312" w:rsidRDefault="00946C81" w:rsidP="00946C81">
                  <w:pPr>
                    <w:spacing w:before="60" w:after="60"/>
                    <w:jc w:val="left"/>
                    <w:rPr>
                      <w:rFonts w:ascii="Calibri" w:eastAsia="Times New Roman" w:hAnsi="Calibri" w:cs="Calibri"/>
                      <w:iCs/>
                      <w:sz w:val="24"/>
                      <w:szCs w:val="24"/>
                    </w:rPr>
                  </w:pPr>
                  <w:r w:rsidRPr="00D22312">
                    <w:rPr>
                      <w:rFonts w:ascii="Calibri" w:eastAsia="Times New Roman" w:hAnsi="Calibri" w:cs="Calibri"/>
                      <w:bCs/>
                      <w:iCs/>
                      <w:sz w:val="24"/>
                      <w:szCs w:val="24"/>
                    </w:rPr>
                    <w:t xml:space="preserve">Akumuliatorių sistema turi </w:t>
                  </w:r>
                  <w:r w:rsidRPr="00D22312">
                    <w:rPr>
                      <w:rFonts w:ascii="Calibri" w:eastAsia="Times New Roman" w:hAnsi="Calibri" w:cs="Calibri"/>
                      <w:iCs/>
                      <w:sz w:val="24"/>
                      <w:szCs w:val="24"/>
                    </w:rPr>
                    <w:t>atitikti šiuos standartus, arba lygiaverčius:</w:t>
                  </w:r>
                </w:p>
                <w:p w14:paraId="06333D51" w14:textId="77777777" w:rsidR="00946C81" w:rsidRPr="00D22312" w:rsidRDefault="00946C81" w:rsidP="00946C81">
                  <w:pPr>
                    <w:numPr>
                      <w:ilvl w:val="0"/>
                      <w:numId w:val="33"/>
                    </w:numPr>
                    <w:spacing w:before="60" w:after="60"/>
                    <w:contextualSpacing/>
                    <w:jc w:val="left"/>
                    <w:rPr>
                      <w:rFonts w:ascii="Calibri" w:eastAsia="Times New Roman" w:hAnsi="Calibri" w:cs="Calibri"/>
                      <w:bCs/>
                      <w:iCs/>
                      <w:sz w:val="24"/>
                      <w:szCs w:val="24"/>
                    </w:rPr>
                  </w:pPr>
                  <w:r w:rsidRPr="00D22312">
                    <w:rPr>
                      <w:rFonts w:ascii="Calibri" w:eastAsia="Times New Roman" w:hAnsi="Calibri" w:cs="Calibri"/>
                      <w:b/>
                      <w:iCs/>
                      <w:sz w:val="24"/>
                      <w:szCs w:val="24"/>
                    </w:rPr>
                    <w:t>IEC 62619</w:t>
                  </w:r>
                  <w:r w:rsidRPr="00D22312">
                    <w:rPr>
                      <w:rFonts w:ascii="Calibri" w:eastAsia="Times New Roman" w:hAnsi="Calibri" w:cs="Calibri"/>
                      <w:bCs/>
                      <w:iCs/>
                      <w:sz w:val="24"/>
                      <w:szCs w:val="24"/>
                    </w:rPr>
                    <w:t xml:space="preserve"> – saugos standartas ličio jonų baterijoms;</w:t>
                  </w:r>
                </w:p>
                <w:p w14:paraId="76C40CB6" w14:textId="77777777" w:rsidR="00946C81" w:rsidRPr="00D22312" w:rsidRDefault="00946C81" w:rsidP="00946C81">
                  <w:pPr>
                    <w:numPr>
                      <w:ilvl w:val="0"/>
                      <w:numId w:val="33"/>
                    </w:numPr>
                    <w:spacing w:before="60" w:after="60"/>
                    <w:contextualSpacing/>
                    <w:jc w:val="left"/>
                    <w:rPr>
                      <w:rFonts w:ascii="Calibri" w:eastAsia="Times New Roman" w:hAnsi="Calibri" w:cs="Calibri"/>
                      <w:bCs/>
                      <w:iCs/>
                      <w:sz w:val="24"/>
                      <w:szCs w:val="24"/>
                    </w:rPr>
                  </w:pPr>
                  <w:r w:rsidRPr="00D22312">
                    <w:rPr>
                      <w:rFonts w:ascii="Calibri" w:eastAsia="Times New Roman" w:hAnsi="Calibri" w:cs="Calibri"/>
                      <w:b/>
                      <w:iCs/>
                      <w:sz w:val="24"/>
                      <w:szCs w:val="24"/>
                    </w:rPr>
                    <w:t>IEC 62485-2</w:t>
                  </w:r>
                  <w:r w:rsidRPr="00D22312">
                    <w:rPr>
                      <w:rFonts w:ascii="Calibri" w:eastAsia="Times New Roman" w:hAnsi="Calibri" w:cs="Calibri"/>
                      <w:bCs/>
                      <w:iCs/>
                      <w:sz w:val="24"/>
                      <w:szCs w:val="24"/>
                    </w:rPr>
                    <w:t xml:space="preserve"> – jei tiekėjas siūlo baterijas su kita cheminės sudėties technologija.</w:t>
                  </w:r>
                </w:p>
                <w:p w14:paraId="5A289C79"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 xml:space="preserve">Tiekėjas </w:t>
                  </w:r>
                  <w:r w:rsidRPr="00D22312">
                    <w:rPr>
                      <w:rFonts w:ascii="Calibri" w:eastAsia="Times New Roman" w:hAnsi="Calibri" w:cs="Calibri"/>
                      <w:iCs/>
                      <w:sz w:val="24"/>
                      <w:szCs w:val="24"/>
                    </w:rPr>
                    <w:t>turi pateikti šiuos dokumentus kaip savo pasiūlymo dalį:</w:t>
                  </w:r>
                </w:p>
                <w:p w14:paraId="6307BF9F" w14:textId="77777777" w:rsidR="00946C81" w:rsidRPr="00D22312" w:rsidRDefault="00946C81" w:rsidP="00946C81">
                  <w:pPr>
                    <w:numPr>
                      <w:ilvl w:val="0"/>
                      <w:numId w:val="32"/>
                    </w:numPr>
                    <w:spacing w:before="60" w:after="60"/>
                    <w:jc w:val="left"/>
                    <w:rPr>
                      <w:rFonts w:ascii="Calibri" w:eastAsia="Times New Roman" w:hAnsi="Calibri" w:cs="Calibri"/>
                      <w:bCs/>
                      <w:iCs/>
                      <w:sz w:val="24"/>
                      <w:szCs w:val="24"/>
                    </w:rPr>
                  </w:pPr>
                  <w:r w:rsidRPr="00D22312">
                    <w:rPr>
                      <w:rFonts w:ascii="Calibri" w:eastAsia="Times New Roman" w:hAnsi="Calibri" w:cs="Calibri"/>
                      <w:b/>
                      <w:bCs/>
                      <w:iCs/>
                      <w:sz w:val="24"/>
                      <w:szCs w:val="24"/>
                    </w:rPr>
                    <w:t>Atitikties deklaracija</w:t>
                  </w:r>
                  <w:r w:rsidRPr="00D22312">
                    <w:rPr>
                      <w:rFonts w:ascii="Calibri" w:eastAsia="Times New Roman" w:hAnsi="Calibri" w:cs="Calibri"/>
                      <w:bCs/>
                      <w:iCs/>
                      <w:sz w:val="24"/>
                      <w:szCs w:val="24"/>
                    </w:rPr>
                    <w:t>, patvirtinanti, kad baterijos atitinka IEC 62619 standartą.</w:t>
                  </w:r>
                </w:p>
                <w:p w14:paraId="3B4F25A8" w14:textId="77777777" w:rsidR="00946C81" w:rsidRPr="00D22312" w:rsidRDefault="00946C81" w:rsidP="00946C81">
                  <w:pPr>
                    <w:numPr>
                      <w:ilvl w:val="0"/>
                      <w:numId w:val="32"/>
                    </w:numPr>
                    <w:spacing w:before="60" w:after="60"/>
                    <w:jc w:val="left"/>
                    <w:rPr>
                      <w:rFonts w:ascii="Calibri" w:eastAsia="Times New Roman" w:hAnsi="Calibri" w:cs="Calibri"/>
                      <w:bCs/>
                      <w:iCs/>
                      <w:sz w:val="24"/>
                      <w:szCs w:val="24"/>
                    </w:rPr>
                  </w:pPr>
                  <w:r w:rsidRPr="00D22312">
                    <w:rPr>
                      <w:rFonts w:ascii="Calibri" w:eastAsia="Times New Roman" w:hAnsi="Calibri" w:cs="Calibri"/>
                      <w:b/>
                      <w:bCs/>
                      <w:iCs/>
                      <w:sz w:val="24"/>
                      <w:szCs w:val="24"/>
                    </w:rPr>
                    <w:t>Sertifikatai ar bandymų protokolai</w:t>
                  </w:r>
                  <w:r w:rsidRPr="00D22312">
                    <w:rPr>
                      <w:rFonts w:ascii="Calibri" w:eastAsia="Times New Roman" w:hAnsi="Calibri" w:cs="Calibri"/>
                      <w:bCs/>
                      <w:iCs/>
                      <w:sz w:val="24"/>
                      <w:szCs w:val="24"/>
                    </w:rPr>
                    <w:t>, išduoti nepriklausomos akredituotos laboratorijos, patvirtinantys, kad baterijos praėjo privalomus testus pagal IEC 62619 standartą.</w:t>
                  </w:r>
                </w:p>
                <w:p w14:paraId="66647146" w14:textId="77777777" w:rsidR="00946C81" w:rsidRPr="00D22312" w:rsidRDefault="00946C81" w:rsidP="00946C81">
                  <w:pPr>
                    <w:numPr>
                      <w:ilvl w:val="0"/>
                      <w:numId w:val="32"/>
                    </w:numPr>
                    <w:spacing w:before="60" w:after="60"/>
                    <w:jc w:val="left"/>
                    <w:rPr>
                      <w:rFonts w:ascii="Calibri" w:eastAsia="Times New Roman" w:hAnsi="Calibri" w:cs="Calibri"/>
                      <w:bCs/>
                      <w:iCs/>
                      <w:sz w:val="24"/>
                      <w:szCs w:val="24"/>
                    </w:rPr>
                  </w:pPr>
                  <w:r w:rsidRPr="00D22312">
                    <w:rPr>
                      <w:rFonts w:ascii="Calibri" w:eastAsia="Times New Roman" w:hAnsi="Calibri" w:cs="Calibri"/>
                      <w:b/>
                      <w:bCs/>
                      <w:iCs/>
                      <w:sz w:val="24"/>
                      <w:szCs w:val="24"/>
                    </w:rPr>
                    <w:t>Techniniai duomenys</w:t>
                  </w:r>
                  <w:r w:rsidRPr="00D22312">
                    <w:rPr>
                      <w:rFonts w:ascii="Calibri" w:eastAsia="Times New Roman" w:hAnsi="Calibri" w:cs="Calibri"/>
                      <w:bCs/>
                      <w:iCs/>
                      <w:sz w:val="24"/>
                      <w:szCs w:val="24"/>
                    </w:rPr>
                    <w:t>, įrodantys didžiausią įkrovimo/iškrovimo galią, ciklų trukmę, baterijų technologiją, nominalią galią ir kitus svarbius parametrus.</w:t>
                  </w:r>
                </w:p>
                <w:p w14:paraId="365A8311"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Jeigu tiekėjas siūlo kitokios cheminės sudėties baterijas nei Ličio geležies fosfato, jis privalo papildomai pateikti mokslinius/techninius įrodymus, pagrindžiančius jų saugumą ir ne prastesnius techninius rodiklius.</w:t>
                  </w:r>
                </w:p>
                <w:p w14:paraId="4962E796" w14:textId="77777777" w:rsidR="00946C81" w:rsidRPr="00D22312" w:rsidRDefault="00946C81" w:rsidP="00946C81">
                  <w:pPr>
                    <w:spacing w:before="60" w:after="60"/>
                    <w:rPr>
                      <w:rFonts w:ascii="Calibri" w:eastAsia="Times New Roman" w:hAnsi="Calibri" w:cs="Calibri"/>
                      <w:bCs/>
                      <w:iCs/>
                      <w:sz w:val="24"/>
                      <w:szCs w:val="24"/>
                    </w:rPr>
                  </w:pPr>
                </w:p>
              </w:tc>
            </w:tr>
            <w:tr w:rsidR="00946C81" w:rsidRPr="00D22312" w14:paraId="3C43B1F7" w14:textId="77777777" w:rsidTr="0007062B">
              <w:tc>
                <w:tcPr>
                  <w:tcW w:w="281" w:type="pct"/>
                </w:tcPr>
                <w:p w14:paraId="30AADC49" w14:textId="77777777" w:rsidR="00946C81" w:rsidRPr="00D22312" w:rsidRDefault="00946C81" w:rsidP="00946C81">
                  <w:pPr>
                    <w:spacing w:before="60" w:after="60"/>
                    <w:contextualSpacing/>
                    <w:rPr>
                      <w:rFonts w:ascii="Calibri" w:eastAsia="Times New Roman" w:hAnsi="Calibri" w:cs="Calibri"/>
                      <w:bCs/>
                      <w:iCs/>
                      <w:sz w:val="20"/>
                      <w:szCs w:val="20"/>
                    </w:rPr>
                  </w:pPr>
                  <w:r w:rsidRPr="00D22312">
                    <w:rPr>
                      <w:rFonts w:ascii="Calibri" w:eastAsia="Times New Roman" w:hAnsi="Calibri" w:cs="Calibri"/>
                      <w:bCs/>
                      <w:iCs/>
                      <w:sz w:val="24"/>
                      <w:szCs w:val="24"/>
                    </w:rPr>
                    <w:t>5</w:t>
                  </w:r>
                </w:p>
              </w:tc>
              <w:tc>
                <w:tcPr>
                  <w:tcW w:w="1120" w:type="pct"/>
                </w:tcPr>
                <w:p w14:paraId="25D1B2C4" w14:textId="77777777" w:rsidR="00946C81" w:rsidRPr="00D22312" w:rsidRDefault="00946C81" w:rsidP="00946C81">
                  <w:pPr>
                    <w:spacing w:before="60" w:after="60"/>
                    <w:contextualSpacing/>
                    <w:rPr>
                      <w:rFonts w:ascii="Calibri" w:eastAsia="Aptos" w:hAnsi="Calibri" w:cs="Calibri"/>
                      <w:bCs/>
                      <w:iCs/>
                      <w:sz w:val="20"/>
                      <w:szCs w:val="20"/>
                    </w:rPr>
                  </w:pPr>
                  <w:r w:rsidRPr="00D22312">
                    <w:rPr>
                      <w:rFonts w:ascii="Calibri" w:eastAsia="Aptos" w:hAnsi="Calibri" w:cs="Calibri"/>
                      <w:bCs/>
                      <w:iCs/>
                      <w:sz w:val="24"/>
                      <w:szCs w:val="24"/>
                    </w:rPr>
                    <w:t>Akumuliatorių sistemos gamintojas</w:t>
                  </w:r>
                </w:p>
              </w:tc>
              <w:tc>
                <w:tcPr>
                  <w:tcW w:w="1799" w:type="pct"/>
                </w:tcPr>
                <w:p w14:paraId="78C3BF4C"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 xml:space="preserve">Siūlomos įrangos gamintojas turi būti registruotas Europos sąjungai priklausančioje valstybėje. </w:t>
                  </w:r>
                </w:p>
                <w:p w14:paraId="088ECC5C"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bCs/>
                      <w:iCs/>
                      <w:sz w:val="24"/>
                      <w:szCs w:val="24"/>
                    </w:rPr>
                    <w:t>Įrangos gamintojui taikomas patikimumo reikalavimas*.</w:t>
                  </w:r>
                </w:p>
              </w:tc>
              <w:tc>
                <w:tcPr>
                  <w:tcW w:w="1800" w:type="pct"/>
                </w:tcPr>
                <w:p w14:paraId="6942A1BD"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bCs/>
                      <w:iCs/>
                      <w:sz w:val="20"/>
                      <w:szCs w:val="20"/>
                    </w:rPr>
                    <w:t>-</w:t>
                  </w:r>
                </w:p>
              </w:tc>
            </w:tr>
            <w:tr w:rsidR="00946C81" w:rsidRPr="00D22312" w14:paraId="0EB6E939" w14:textId="77777777" w:rsidTr="0007062B">
              <w:tc>
                <w:tcPr>
                  <w:tcW w:w="281" w:type="pct"/>
                </w:tcPr>
                <w:p w14:paraId="0C0F3690" w14:textId="77777777" w:rsidR="00946C81" w:rsidRPr="00D22312" w:rsidRDefault="00946C81" w:rsidP="00946C81">
                  <w:pPr>
                    <w:spacing w:before="60" w:after="60"/>
                    <w:contextualSpacing/>
                    <w:rPr>
                      <w:rFonts w:ascii="Calibri" w:eastAsia="Times New Roman" w:hAnsi="Calibri" w:cs="Calibri"/>
                      <w:bCs/>
                      <w:iCs/>
                      <w:sz w:val="24"/>
                      <w:szCs w:val="24"/>
                    </w:rPr>
                  </w:pPr>
                  <w:r w:rsidRPr="00D22312">
                    <w:rPr>
                      <w:rFonts w:ascii="Calibri" w:eastAsia="Times New Roman" w:hAnsi="Calibri" w:cs="Calibri"/>
                      <w:bCs/>
                      <w:iCs/>
                      <w:sz w:val="24"/>
                      <w:szCs w:val="24"/>
                    </w:rPr>
                    <w:t>10</w:t>
                  </w:r>
                </w:p>
              </w:tc>
              <w:tc>
                <w:tcPr>
                  <w:tcW w:w="1120" w:type="pct"/>
                </w:tcPr>
                <w:p w14:paraId="3EACE005" w14:textId="77777777" w:rsidR="00946C81" w:rsidRPr="00D22312" w:rsidRDefault="00946C81" w:rsidP="00946C81">
                  <w:pPr>
                    <w:spacing w:before="60" w:after="60"/>
                    <w:contextualSpacing/>
                    <w:rPr>
                      <w:rFonts w:ascii="Calibri" w:eastAsia="Aptos" w:hAnsi="Calibri" w:cs="Calibri"/>
                      <w:bCs/>
                      <w:iCs/>
                      <w:sz w:val="24"/>
                      <w:szCs w:val="24"/>
                    </w:rPr>
                  </w:pPr>
                  <w:r w:rsidRPr="00D22312">
                    <w:rPr>
                      <w:rFonts w:ascii="Calibri" w:eastAsia="Aptos" w:hAnsi="Calibri" w:cs="Calibri"/>
                      <w:bCs/>
                      <w:iCs/>
                      <w:sz w:val="24"/>
                      <w:szCs w:val="24"/>
                    </w:rPr>
                    <w:t>Garantija</w:t>
                  </w:r>
                </w:p>
              </w:tc>
              <w:tc>
                <w:tcPr>
                  <w:tcW w:w="1799" w:type="pct"/>
                </w:tcPr>
                <w:p w14:paraId="091AF204"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Akumuliatorių sistemai turi būti suteikta ne trumpesnė nei 10 metų garantija arba ne mažiau kaip 4 000 įkrovimo/iškrovimo ciklų garantija, užtikrinant likutinę talpą, ne mažesnę kaip 80% nominalios talpos po garantinio laikotarpio.</w:t>
                  </w:r>
                </w:p>
                <w:p w14:paraId="69C340E4" w14:textId="77777777" w:rsidR="00946C81" w:rsidRPr="00D22312" w:rsidRDefault="00946C81" w:rsidP="00946C81">
                  <w:pPr>
                    <w:spacing w:before="60" w:after="60"/>
                    <w:rPr>
                      <w:rFonts w:ascii="Calibri" w:eastAsia="Times New Roman" w:hAnsi="Calibri" w:cs="Calibri"/>
                      <w:bCs/>
                      <w:iCs/>
                      <w:sz w:val="20"/>
                      <w:szCs w:val="20"/>
                    </w:rPr>
                  </w:pPr>
                  <w:r w:rsidRPr="00D22312">
                    <w:rPr>
                      <w:rFonts w:ascii="Calibri" w:eastAsia="Times New Roman" w:hAnsi="Calibri" w:cs="Calibri"/>
                      <w:bCs/>
                      <w:iCs/>
                      <w:sz w:val="24"/>
                      <w:szCs w:val="24"/>
                    </w:rPr>
                    <w:t>Garantija turi apimti gamyklinius defektus, degradaciją virš nurodyto lygio ir netinkamo veikimo atvejus dėl gamintojo kaltės.</w:t>
                  </w:r>
                </w:p>
              </w:tc>
              <w:tc>
                <w:tcPr>
                  <w:tcW w:w="1800" w:type="pct"/>
                </w:tcPr>
                <w:p w14:paraId="029D68F0"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 xml:space="preserve">Akumuliatorių sistemai turi būti suteikta ne trumpesnė nei </w:t>
                  </w:r>
                  <w:r w:rsidRPr="00D22312">
                    <w:rPr>
                      <w:rFonts w:ascii="Calibri" w:eastAsia="Times New Roman" w:hAnsi="Calibri" w:cs="Calibri"/>
                      <w:iCs/>
                      <w:sz w:val="24"/>
                      <w:szCs w:val="24"/>
                    </w:rPr>
                    <w:t>10 metų garantija arba ne mažiau</w:t>
                  </w:r>
                  <w:r w:rsidRPr="00D22312">
                    <w:rPr>
                      <w:rFonts w:ascii="Calibri" w:eastAsia="Times New Roman" w:hAnsi="Calibri" w:cs="Calibri"/>
                      <w:bCs/>
                      <w:iCs/>
                      <w:sz w:val="24"/>
                      <w:szCs w:val="24"/>
                    </w:rPr>
                    <w:t xml:space="preserve"> kaip </w:t>
                  </w:r>
                  <w:r w:rsidRPr="00D22312">
                    <w:rPr>
                      <w:rFonts w:ascii="Calibri" w:eastAsia="Times New Roman" w:hAnsi="Calibri" w:cs="Calibri"/>
                      <w:b/>
                      <w:bCs/>
                      <w:iCs/>
                      <w:sz w:val="24"/>
                      <w:szCs w:val="24"/>
                    </w:rPr>
                    <w:t>6 000 įkrovimo/iškrovimo ciklų garantija</w:t>
                  </w:r>
                  <w:r w:rsidRPr="00D22312">
                    <w:rPr>
                      <w:rFonts w:ascii="Calibri" w:eastAsia="Times New Roman" w:hAnsi="Calibri" w:cs="Calibri"/>
                      <w:bCs/>
                      <w:iCs/>
                      <w:sz w:val="24"/>
                      <w:szCs w:val="24"/>
                    </w:rPr>
                    <w:t xml:space="preserve">, užtikrinant likutinę talpą, ne mažesnę kaip </w:t>
                  </w:r>
                  <w:r w:rsidRPr="00D22312">
                    <w:rPr>
                      <w:rFonts w:ascii="Calibri" w:eastAsia="Times New Roman" w:hAnsi="Calibri" w:cs="Calibri"/>
                      <w:b/>
                      <w:bCs/>
                      <w:iCs/>
                      <w:sz w:val="24"/>
                      <w:szCs w:val="24"/>
                    </w:rPr>
                    <w:t>60% nominalios talpos</w:t>
                  </w:r>
                  <w:r w:rsidRPr="00D22312">
                    <w:rPr>
                      <w:rFonts w:ascii="Calibri" w:eastAsia="Times New Roman" w:hAnsi="Calibri" w:cs="Calibri"/>
                      <w:bCs/>
                      <w:iCs/>
                      <w:sz w:val="24"/>
                      <w:szCs w:val="24"/>
                    </w:rPr>
                    <w:t xml:space="preserve"> po garantinio laikotarpio.</w:t>
                  </w:r>
                </w:p>
                <w:p w14:paraId="6BCF6732" w14:textId="77777777" w:rsidR="00946C81" w:rsidRPr="00D22312" w:rsidRDefault="00946C81" w:rsidP="00946C81">
                  <w:pPr>
                    <w:spacing w:before="60" w:after="60"/>
                    <w:rPr>
                      <w:rFonts w:ascii="Calibri" w:eastAsia="Times New Roman" w:hAnsi="Calibri" w:cs="Calibri"/>
                      <w:bCs/>
                      <w:iCs/>
                      <w:sz w:val="24"/>
                      <w:szCs w:val="24"/>
                    </w:rPr>
                  </w:pPr>
                  <w:r w:rsidRPr="00D22312">
                    <w:rPr>
                      <w:rFonts w:ascii="Calibri" w:eastAsia="Times New Roman" w:hAnsi="Calibri" w:cs="Calibri"/>
                      <w:bCs/>
                      <w:iCs/>
                      <w:sz w:val="24"/>
                      <w:szCs w:val="24"/>
                    </w:rPr>
                    <w:t>Garantija turi apimti gamyklinius defektus, degradaciją virš nurodyto lygio ir netinkamo veikimo atvejus dėl gamintojo kaltės.</w:t>
                  </w:r>
                </w:p>
              </w:tc>
            </w:tr>
          </w:tbl>
          <w:p w14:paraId="1A1DE416" w14:textId="77777777" w:rsidR="00946C81" w:rsidRPr="00D22312" w:rsidRDefault="00946C81" w:rsidP="00946C81">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p>
          <w:p w14:paraId="07C3D233" w14:textId="77777777" w:rsidR="00946C81" w:rsidRPr="00D22312" w:rsidRDefault="00946C81" w:rsidP="00946C81">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4"/>
                <w:szCs w:val="24"/>
                <w:lang w:bidi="lt-LT"/>
              </w:rPr>
            </w:pPr>
            <w:r w:rsidRPr="00D22312">
              <w:rPr>
                <w:rFonts w:ascii="Calibri" w:eastAsia="Times New Roman" w:hAnsi="Calibri" w:cs="Calibri"/>
                <w:b/>
                <w:bCs/>
                <w:sz w:val="24"/>
                <w:szCs w:val="24"/>
                <w:lang w:bidi="lt-LT"/>
              </w:rPr>
              <w:t>PREKIŲ KILMEI BEI TIEKĖJŲ / GAMINTOJŲ PATIKIMUMUI KELIAMI REIKALAVIMAI:</w:t>
            </w:r>
          </w:p>
          <w:tbl>
            <w:tblPr>
              <w:tblStyle w:val="TableGrid"/>
              <w:tblW w:w="5000" w:type="pct"/>
              <w:tblLook w:val="04A0" w:firstRow="1" w:lastRow="0" w:firstColumn="1" w:lastColumn="0" w:noHBand="0" w:noVBand="1"/>
            </w:tblPr>
            <w:tblGrid>
              <w:gridCol w:w="6473"/>
              <w:gridCol w:w="6479"/>
            </w:tblGrid>
            <w:tr w:rsidR="00946C81" w:rsidRPr="00D22312" w14:paraId="2E0CC980" w14:textId="77777777" w:rsidTr="0007062B">
              <w:tc>
                <w:tcPr>
                  <w:tcW w:w="2499" w:type="pct"/>
                  <w:vAlign w:val="center"/>
                </w:tcPr>
                <w:p w14:paraId="7E639676" w14:textId="77777777" w:rsidR="00946C81" w:rsidRPr="00D22312" w:rsidRDefault="00946C81" w:rsidP="00946C81">
                  <w:pPr>
                    <w:spacing w:before="60" w:after="60"/>
                    <w:jc w:val="center"/>
                    <w:rPr>
                      <w:rFonts w:ascii="Calibri" w:eastAsia="Times New Roman" w:hAnsi="Calibri" w:cs="Calibri"/>
                      <w:sz w:val="20"/>
                      <w:szCs w:val="20"/>
                    </w:rPr>
                  </w:pPr>
                  <w:r w:rsidRPr="00D22312">
                    <w:rPr>
                      <w:rFonts w:ascii="Calibri" w:eastAsia="Aptos" w:hAnsi="Calibri" w:cs="Calibri"/>
                      <w:b/>
                      <w:iCs/>
                      <w:sz w:val="24"/>
                      <w:szCs w:val="24"/>
                    </w:rPr>
                    <w:t>Buvusi reikšmė</w:t>
                  </w:r>
                </w:p>
              </w:tc>
              <w:tc>
                <w:tcPr>
                  <w:tcW w:w="2501" w:type="pct"/>
                  <w:vAlign w:val="center"/>
                </w:tcPr>
                <w:p w14:paraId="4D9025F3" w14:textId="77777777" w:rsidR="00946C81" w:rsidRPr="00D22312" w:rsidRDefault="00946C81" w:rsidP="00946C81">
                  <w:pPr>
                    <w:jc w:val="center"/>
                    <w:rPr>
                      <w:rFonts w:ascii="Calibri" w:eastAsia="Times New Roman" w:hAnsi="Calibri" w:cs="Calibri"/>
                      <w:b/>
                      <w:bCs/>
                      <w:sz w:val="20"/>
                      <w:szCs w:val="20"/>
                    </w:rPr>
                  </w:pPr>
                  <w:r w:rsidRPr="00D22312">
                    <w:rPr>
                      <w:rFonts w:ascii="Calibri" w:eastAsia="Aptos" w:hAnsi="Calibri" w:cs="Calibri"/>
                      <w:b/>
                      <w:iCs/>
                      <w:sz w:val="24"/>
                      <w:szCs w:val="24"/>
                    </w:rPr>
                    <w:t>Nauja Reikšmė</w:t>
                  </w:r>
                </w:p>
              </w:tc>
            </w:tr>
            <w:tr w:rsidR="00946C81" w:rsidRPr="00D22312" w14:paraId="44DB4230" w14:textId="77777777" w:rsidTr="0007062B">
              <w:tc>
                <w:tcPr>
                  <w:tcW w:w="2499" w:type="pct"/>
                </w:tcPr>
                <w:p w14:paraId="3B9AEE65" w14:textId="77777777" w:rsidR="00946C81" w:rsidRPr="00D22312" w:rsidRDefault="00946C81" w:rsidP="00946C81">
                  <w:pPr>
                    <w:spacing w:before="60" w:after="60"/>
                    <w:rPr>
                      <w:rFonts w:ascii="Calibri" w:eastAsia="Times New Roman" w:hAnsi="Calibri" w:cs="Calibri"/>
                      <w:i/>
                      <w:sz w:val="24"/>
                      <w:szCs w:val="24"/>
                    </w:rPr>
                  </w:pPr>
                  <w:r w:rsidRPr="00D22312">
                    <w:rPr>
                      <w:rFonts w:ascii="Calibri" w:eastAsia="Times New Roman" w:hAnsi="Calibri" w:cs="Calibri"/>
                      <w:i/>
                      <w:sz w:val="24"/>
                      <w:szCs w:val="24"/>
                    </w:rPr>
                    <w:t xml:space="preserve">* Tiekėjo deklaracija, kad Tiekėjas nepasitelks gamintojų, techninės ir programinės įrangos priežiūros arba asmenų iš šalių ar teritorijų, kurios pagal Lietuvos Respublikos teisės aktus laikomos nepatikimais, galimybėmis ir parama: 1. Rusijos Federacija. 2. Baltarusijos Respublika. 3. Kinijos Respublika (išskyrus Taivano provinciją). 4. Rusijos Federacijos aneksuotas Krymas. 5. Padniestrės teritorijos nekontroliuoja Moldovos Respublikos Vyriausybė. 6. Sakartvelio vyriausybės nekontroliuojamos Abchazijos ir Pietų Osetijos teritorijos. Visa siūloma įranga neturi kelti grėsmės Lietuvos Respublikos nacionaliniam saugumui ir valstybės interesams. </w:t>
                  </w:r>
                  <w:r w:rsidRPr="00D22312">
                    <w:rPr>
                      <w:rFonts w:ascii="Calibri" w:eastAsia="Times New Roman" w:hAnsi="Calibri" w:cs="Calibri"/>
                      <w:b/>
                      <w:bCs/>
                      <w:i/>
                      <w:sz w:val="24"/>
                      <w:szCs w:val="24"/>
                    </w:rPr>
                    <w:t>Tiekėjas kartu su šia deklaracija pateikia dokumentaciją, įrodančią įrangos kilmę ir gamybos šalį.</w:t>
                  </w:r>
                </w:p>
                <w:p w14:paraId="41B869B0" w14:textId="77777777" w:rsidR="00946C81" w:rsidRPr="00D22312" w:rsidRDefault="00946C81" w:rsidP="00946C81">
                  <w:pPr>
                    <w:spacing w:before="60" w:after="60"/>
                    <w:rPr>
                      <w:rFonts w:ascii="Calibri" w:eastAsia="Times New Roman" w:hAnsi="Calibri" w:cs="Calibri"/>
                      <w:bCs/>
                      <w:iCs/>
                      <w:sz w:val="24"/>
                      <w:szCs w:val="24"/>
                    </w:rPr>
                  </w:pPr>
                </w:p>
              </w:tc>
              <w:tc>
                <w:tcPr>
                  <w:tcW w:w="2501" w:type="pct"/>
                </w:tcPr>
                <w:p w14:paraId="5ABB6C56" w14:textId="77777777" w:rsidR="00946C81" w:rsidRPr="00D22312" w:rsidRDefault="00946C81" w:rsidP="00946C81">
                  <w:pPr>
                    <w:numPr>
                      <w:ilvl w:val="0"/>
                      <w:numId w:val="34"/>
                    </w:numPr>
                    <w:jc w:val="left"/>
                    <w:rPr>
                      <w:rFonts w:ascii="Calibri" w:eastAsia="Times New Roman" w:hAnsi="Calibri" w:cs="Calibri"/>
                      <w:sz w:val="24"/>
                      <w:szCs w:val="24"/>
                    </w:rPr>
                  </w:pPr>
                  <w:bookmarkStart w:id="1" w:name="_Hlk190432691"/>
                  <w:r w:rsidRPr="00D22312">
                    <w:rPr>
                      <w:rFonts w:ascii="Calibri" w:eastAsia="Times New Roman" w:hAnsi="Calibri" w:cs="Calibri"/>
                      <w:sz w:val="24"/>
                      <w:szCs w:val="24"/>
                    </w:rPr>
                    <w:t>Įrangos pagrindinių komponentų (fotovoltinių modulių, inverterių, akumuliatorių ir saulės elektrinės stebėsenos sistemos) kilmė privalo būti iš Europos Sąjungos (ES) arba Europos Ekonominei Erdvei (EEE) priklausančios valstybės. Prekės (aukščiau nurodytų pagrindinių įrangos komponentų) kilmės šalimi laikoma valstybė, kurioje buvo pagaminta ir (ar) surinkta galutinė prekė. Tiekėjas kartu su pasiūlymu privalės pateikti įrangos pagrindinių komponentų (fotovoltinių modulių, inverterių, akumuliatorių ir įrangos stebėsenos sistemos) kilmę įrodančius dokumentus: nepriklausomos atsakingos institucijos išduotus kilmės sertifikatus, patvirtinančius prekių gamybos vietą ar kitus lygiaverčius dokumentus (pažymime, kad tiekėjo ar gamintojo savideklaracijos dėl prekių kilmės nelaikytinos pakankamais įrodymais prekių kilmei įrodyti).</w:t>
                  </w:r>
                </w:p>
                <w:bookmarkEnd w:id="1"/>
                <w:p w14:paraId="6338128E" w14:textId="77777777" w:rsidR="00946C81" w:rsidRPr="00D22312" w:rsidRDefault="00946C81" w:rsidP="00946C81">
                  <w:pPr>
                    <w:numPr>
                      <w:ilvl w:val="0"/>
                      <w:numId w:val="34"/>
                    </w:numPr>
                    <w:spacing w:before="60" w:after="60"/>
                    <w:contextualSpacing/>
                    <w:jc w:val="left"/>
                    <w:rPr>
                      <w:rFonts w:ascii="Calibri" w:eastAsia="Times New Roman" w:hAnsi="Calibri" w:cs="Calibri"/>
                      <w:sz w:val="24"/>
                      <w:szCs w:val="24"/>
                      <w:lang w:bidi="lt-LT"/>
                    </w:rPr>
                  </w:pPr>
                  <w:r w:rsidRPr="00D22312">
                    <w:rPr>
                      <w:rFonts w:ascii="Calibri" w:eastAsia="Times New Roman" w:hAnsi="Calibri" w:cs="Calibri"/>
                      <w:sz w:val="24"/>
                      <w:szCs w:val="24"/>
                      <w:lang w:bidi="lt-LT"/>
                    </w:rPr>
                    <w:t>Perkančioji organizacija Pirkimo procedūrų metu numato kelti specialiuosius reikalavimus, susijusius su nacionalinio saugumo interesų užtikrinimu.</w:t>
                  </w:r>
                </w:p>
                <w:p w14:paraId="792CC054" w14:textId="77777777" w:rsidR="00946C81" w:rsidRPr="00D22312" w:rsidRDefault="00946C81" w:rsidP="00946C81">
                  <w:pPr>
                    <w:spacing w:before="60" w:after="60"/>
                    <w:rPr>
                      <w:rFonts w:ascii="Calibri" w:eastAsia="Times New Roman" w:hAnsi="Calibri" w:cs="Calibri"/>
                      <w:bCs/>
                      <w:iCs/>
                      <w:sz w:val="24"/>
                      <w:szCs w:val="24"/>
                    </w:rPr>
                  </w:pPr>
                </w:p>
              </w:tc>
            </w:tr>
          </w:tbl>
          <w:p w14:paraId="2A870607" w14:textId="77777777" w:rsidR="00946C81" w:rsidRPr="00D22312" w:rsidRDefault="00946C81" w:rsidP="00946C81">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p>
          <w:p w14:paraId="18FF052D" w14:textId="77777777" w:rsidR="00946C81" w:rsidRPr="00D22312" w:rsidRDefault="00946C81" w:rsidP="00946C81">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r w:rsidRPr="00D22312">
              <w:rPr>
                <w:rFonts w:ascii="Calibri" w:eastAsia="Times New Roman" w:hAnsi="Calibri" w:cs="Calibri"/>
                <w:b/>
                <w:bCs/>
                <w:iCs/>
                <w:sz w:val="24"/>
                <w:szCs w:val="24"/>
              </w:rPr>
              <w:t>SISTEMOS SUDERINAMUMAS SU ESAMA ATSARGINE ENERGIJOS SISTEMA (GENERATORIU)</w:t>
            </w:r>
          </w:p>
          <w:tbl>
            <w:tblPr>
              <w:tblStyle w:val="TableGrid"/>
              <w:tblW w:w="5000" w:type="pct"/>
              <w:tblLook w:val="04A0" w:firstRow="1" w:lastRow="0" w:firstColumn="1" w:lastColumn="0" w:noHBand="0" w:noVBand="1"/>
            </w:tblPr>
            <w:tblGrid>
              <w:gridCol w:w="6473"/>
              <w:gridCol w:w="6479"/>
            </w:tblGrid>
            <w:tr w:rsidR="00946C81" w:rsidRPr="00D22312" w14:paraId="6257985A" w14:textId="77777777" w:rsidTr="0007062B">
              <w:tc>
                <w:tcPr>
                  <w:tcW w:w="2499" w:type="pct"/>
                  <w:vAlign w:val="center"/>
                </w:tcPr>
                <w:p w14:paraId="0A763F88" w14:textId="77777777" w:rsidR="00946C81" w:rsidRPr="00D22312" w:rsidRDefault="00946C81" w:rsidP="00946C81">
                  <w:pPr>
                    <w:spacing w:before="60" w:after="60"/>
                    <w:jc w:val="center"/>
                    <w:rPr>
                      <w:rFonts w:ascii="Calibri" w:eastAsia="Times New Roman" w:hAnsi="Calibri" w:cs="Calibri"/>
                      <w:sz w:val="20"/>
                      <w:szCs w:val="20"/>
                    </w:rPr>
                  </w:pPr>
                  <w:r w:rsidRPr="00D22312">
                    <w:rPr>
                      <w:rFonts w:ascii="Calibri" w:eastAsia="Aptos" w:hAnsi="Calibri" w:cs="Calibri"/>
                      <w:b/>
                      <w:iCs/>
                      <w:sz w:val="24"/>
                      <w:szCs w:val="24"/>
                    </w:rPr>
                    <w:t>Buvusi reikšmė</w:t>
                  </w:r>
                </w:p>
              </w:tc>
              <w:tc>
                <w:tcPr>
                  <w:tcW w:w="2501" w:type="pct"/>
                  <w:vAlign w:val="center"/>
                </w:tcPr>
                <w:p w14:paraId="756FF003" w14:textId="77777777" w:rsidR="00946C81" w:rsidRPr="00D22312" w:rsidRDefault="00946C81" w:rsidP="00946C81">
                  <w:pPr>
                    <w:jc w:val="center"/>
                    <w:rPr>
                      <w:rFonts w:ascii="Calibri" w:eastAsia="Times New Roman" w:hAnsi="Calibri" w:cs="Calibri"/>
                      <w:b/>
                      <w:bCs/>
                      <w:sz w:val="20"/>
                      <w:szCs w:val="20"/>
                    </w:rPr>
                  </w:pPr>
                  <w:r w:rsidRPr="00D22312">
                    <w:rPr>
                      <w:rFonts w:ascii="Calibri" w:eastAsia="Aptos" w:hAnsi="Calibri" w:cs="Calibri"/>
                      <w:b/>
                      <w:iCs/>
                      <w:sz w:val="24"/>
                      <w:szCs w:val="24"/>
                    </w:rPr>
                    <w:t>Nauja Reikšmė</w:t>
                  </w:r>
                </w:p>
              </w:tc>
            </w:tr>
            <w:tr w:rsidR="00946C81" w:rsidRPr="00D22312" w14:paraId="4905296D" w14:textId="77777777" w:rsidTr="0007062B">
              <w:tc>
                <w:tcPr>
                  <w:tcW w:w="2499" w:type="pct"/>
                </w:tcPr>
                <w:p w14:paraId="557C98E0" w14:textId="77777777" w:rsidR="00946C81" w:rsidRPr="00D22312" w:rsidRDefault="00946C81" w:rsidP="00946C81">
                  <w:pPr>
                    <w:tabs>
                      <w:tab w:val="left" w:pos="567"/>
                    </w:tabs>
                    <w:spacing w:before="60" w:after="60"/>
                    <w:rPr>
                      <w:rFonts w:ascii="Calibri" w:eastAsia="Times New Roman" w:hAnsi="Calibri" w:cs="Calibri"/>
                      <w:iCs/>
                      <w:sz w:val="20"/>
                      <w:szCs w:val="20"/>
                    </w:rPr>
                  </w:pPr>
                  <w:r w:rsidRPr="00D22312">
                    <w:rPr>
                      <w:rFonts w:ascii="Calibri" w:eastAsia="Times New Roman" w:hAnsi="Calibri" w:cs="Calibri"/>
                      <w:iCs/>
                      <w:sz w:val="20"/>
                      <w:szCs w:val="20"/>
                    </w:rPr>
                    <w:t>-</w:t>
                  </w:r>
                </w:p>
              </w:tc>
              <w:tc>
                <w:tcPr>
                  <w:tcW w:w="2501" w:type="pct"/>
                </w:tcPr>
                <w:p w14:paraId="28019D99" w14:textId="77777777" w:rsidR="00946C81" w:rsidRPr="00D22312" w:rsidRDefault="00946C81" w:rsidP="00946C81">
                  <w:pPr>
                    <w:numPr>
                      <w:ilvl w:val="0"/>
                      <w:numId w:val="36"/>
                    </w:numPr>
                    <w:spacing w:before="60" w:after="60"/>
                    <w:ind w:left="346"/>
                    <w:jc w:val="left"/>
                    <w:rPr>
                      <w:rFonts w:ascii="Calibri" w:eastAsia="Times New Roman" w:hAnsi="Calibri" w:cs="Calibri"/>
                      <w:b/>
                      <w:bCs/>
                      <w:iCs/>
                      <w:sz w:val="24"/>
                      <w:szCs w:val="24"/>
                    </w:rPr>
                  </w:pPr>
                  <w:r w:rsidRPr="00D22312">
                    <w:rPr>
                      <w:rFonts w:ascii="Calibri" w:eastAsia="Times New Roman" w:hAnsi="Calibri" w:cs="Calibri"/>
                      <w:b/>
                      <w:bCs/>
                      <w:iCs/>
                      <w:sz w:val="24"/>
                      <w:szCs w:val="24"/>
                    </w:rPr>
                    <w:t>Akumuliatorių įkrovimo reikalavimai</w:t>
                  </w:r>
                </w:p>
                <w:p w14:paraId="6107B05A" w14:textId="77777777" w:rsidR="00946C81" w:rsidRPr="00D22312" w:rsidRDefault="00946C81" w:rsidP="00946C81">
                  <w:pPr>
                    <w:numPr>
                      <w:ilvl w:val="1"/>
                      <w:numId w:val="36"/>
                    </w:numPr>
                    <w:spacing w:before="60" w:after="60"/>
                    <w:ind w:left="346"/>
                    <w:jc w:val="left"/>
                    <w:rPr>
                      <w:rFonts w:ascii="Calibri" w:eastAsia="Times New Roman" w:hAnsi="Calibri" w:cs="Calibri"/>
                      <w:iCs/>
                      <w:sz w:val="24"/>
                      <w:szCs w:val="24"/>
                    </w:rPr>
                  </w:pPr>
                  <w:r w:rsidRPr="00D22312">
                    <w:rPr>
                      <w:rFonts w:ascii="Calibri" w:eastAsia="Times New Roman" w:hAnsi="Calibri" w:cs="Calibri"/>
                      <w:b/>
                      <w:bCs/>
                      <w:iCs/>
                      <w:sz w:val="24"/>
                      <w:szCs w:val="24"/>
                    </w:rPr>
                    <w:t>Įkrovimo trukmė</w:t>
                  </w:r>
                  <w:r w:rsidRPr="00D22312">
                    <w:rPr>
                      <w:rFonts w:ascii="Calibri" w:eastAsia="Times New Roman" w:hAnsi="Calibri" w:cs="Calibri"/>
                      <w:iCs/>
                      <w:sz w:val="24"/>
                      <w:szCs w:val="24"/>
                    </w:rPr>
                    <w:t>: akumuliatoriai turi turėti greito įkrovimo galimybę, greitas įkrovimas turi būti saugus ir neturi viršyti gamintojo rekomendacijų.</w:t>
                  </w:r>
                </w:p>
                <w:p w14:paraId="7F054841" w14:textId="77777777" w:rsidR="00946C81" w:rsidRPr="00D22312" w:rsidRDefault="00946C81" w:rsidP="00946C81">
                  <w:pPr>
                    <w:numPr>
                      <w:ilvl w:val="1"/>
                      <w:numId w:val="36"/>
                    </w:numPr>
                    <w:spacing w:before="60" w:after="60"/>
                    <w:ind w:left="346"/>
                    <w:jc w:val="left"/>
                    <w:rPr>
                      <w:rFonts w:ascii="Calibri" w:eastAsia="Times New Roman" w:hAnsi="Calibri" w:cs="Calibri"/>
                      <w:iCs/>
                      <w:sz w:val="24"/>
                      <w:szCs w:val="24"/>
                    </w:rPr>
                  </w:pPr>
                  <w:r w:rsidRPr="00D22312">
                    <w:rPr>
                      <w:rFonts w:ascii="Calibri" w:eastAsia="Times New Roman" w:hAnsi="Calibri" w:cs="Calibri"/>
                      <w:b/>
                      <w:bCs/>
                      <w:iCs/>
                      <w:sz w:val="24"/>
                      <w:szCs w:val="24"/>
                    </w:rPr>
                    <w:t>Technologija</w:t>
                  </w:r>
                  <w:r w:rsidRPr="00D22312">
                    <w:rPr>
                      <w:rFonts w:ascii="Calibri" w:eastAsia="Times New Roman" w:hAnsi="Calibri" w:cs="Calibri"/>
                      <w:iCs/>
                      <w:sz w:val="24"/>
                      <w:szCs w:val="24"/>
                    </w:rPr>
                    <w:t xml:space="preserve">: Kaupikliai turi būti pagaminti naudojant </w:t>
                  </w:r>
                  <w:r w:rsidRPr="00D22312">
                    <w:rPr>
                      <w:rFonts w:ascii="Calibri" w:eastAsia="Times New Roman" w:hAnsi="Calibri" w:cs="Calibri"/>
                      <w:bCs/>
                      <w:iCs/>
                      <w:sz w:val="24"/>
                      <w:szCs w:val="24"/>
                    </w:rPr>
                    <w:t xml:space="preserve">Ličio geležies fosfato </w:t>
                  </w:r>
                  <w:r w:rsidRPr="00D22312">
                    <w:rPr>
                      <w:rFonts w:ascii="Calibri" w:eastAsia="Times New Roman" w:hAnsi="Calibri" w:cs="Calibri"/>
                      <w:iCs/>
                      <w:sz w:val="24"/>
                      <w:szCs w:val="24"/>
                    </w:rPr>
                    <w:t>technologiją arba lygiavertę, užtikrinančią greitą ir patikimą įkrovimą, nepažeidžiant akumuliatorių tarnavimo trukmės ir saugumo.</w:t>
                  </w:r>
                </w:p>
                <w:p w14:paraId="08B1E478" w14:textId="77777777" w:rsidR="00946C81" w:rsidRPr="00D22312" w:rsidRDefault="00946C81" w:rsidP="00946C81">
                  <w:pPr>
                    <w:numPr>
                      <w:ilvl w:val="1"/>
                      <w:numId w:val="36"/>
                    </w:numPr>
                    <w:spacing w:before="60" w:after="60"/>
                    <w:ind w:left="346"/>
                    <w:jc w:val="left"/>
                    <w:rPr>
                      <w:rFonts w:ascii="Calibri" w:eastAsia="Times New Roman" w:hAnsi="Calibri" w:cs="Calibri"/>
                      <w:iCs/>
                      <w:sz w:val="24"/>
                      <w:szCs w:val="24"/>
                    </w:rPr>
                  </w:pPr>
                  <w:r w:rsidRPr="00D22312">
                    <w:rPr>
                      <w:rFonts w:ascii="Calibri" w:eastAsia="Times New Roman" w:hAnsi="Calibri" w:cs="Calibri"/>
                      <w:b/>
                      <w:bCs/>
                      <w:iCs/>
                      <w:sz w:val="24"/>
                      <w:szCs w:val="24"/>
                    </w:rPr>
                    <w:t>Suderinamumas su tinklu</w:t>
                  </w:r>
                  <w:r w:rsidRPr="00D22312">
                    <w:rPr>
                      <w:rFonts w:ascii="Calibri" w:eastAsia="Times New Roman" w:hAnsi="Calibri" w:cs="Calibri"/>
                      <w:iCs/>
                      <w:sz w:val="24"/>
                      <w:szCs w:val="24"/>
                    </w:rPr>
                    <w:t>: Įkrovimo režimas turi būti suderintas su esamos infrastruktūros įvado galia, siekiant užtikrinti efektyvų ir nepertraukiamą elektros naudojimą.</w:t>
                  </w:r>
                </w:p>
                <w:p w14:paraId="2B969701" w14:textId="77777777" w:rsidR="00946C81" w:rsidRPr="00D22312" w:rsidRDefault="00946C81" w:rsidP="00946C81">
                  <w:pPr>
                    <w:numPr>
                      <w:ilvl w:val="1"/>
                      <w:numId w:val="36"/>
                    </w:numPr>
                    <w:spacing w:before="60" w:after="60"/>
                    <w:ind w:left="346"/>
                    <w:jc w:val="left"/>
                    <w:rPr>
                      <w:rFonts w:ascii="Calibri" w:eastAsia="Times New Roman" w:hAnsi="Calibri" w:cs="Calibri"/>
                      <w:iCs/>
                      <w:sz w:val="24"/>
                      <w:szCs w:val="24"/>
                    </w:rPr>
                  </w:pPr>
                  <w:r w:rsidRPr="00D22312">
                    <w:rPr>
                      <w:rFonts w:ascii="Calibri" w:eastAsia="Times New Roman" w:hAnsi="Calibri" w:cs="Calibri"/>
                      <w:b/>
                      <w:bCs/>
                      <w:iCs/>
                      <w:sz w:val="24"/>
                      <w:szCs w:val="24"/>
                    </w:rPr>
                    <w:t>Greito įkrovimo režimas</w:t>
                  </w:r>
                  <w:r w:rsidRPr="00D22312">
                    <w:rPr>
                      <w:rFonts w:ascii="Calibri" w:eastAsia="Times New Roman" w:hAnsi="Calibri" w:cs="Calibri"/>
                      <w:iCs/>
                      <w:sz w:val="24"/>
                      <w:szCs w:val="24"/>
                    </w:rPr>
                    <w:t>:</w:t>
                  </w:r>
                </w:p>
                <w:p w14:paraId="4B2BB8CF" w14:textId="77777777" w:rsidR="00946C81" w:rsidRPr="00D22312" w:rsidRDefault="00946C81" w:rsidP="00946C81">
                  <w:pPr>
                    <w:spacing w:before="60" w:after="60"/>
                    <w:ind w:left="346"/>
                    <w:rPr>
                      <w:rFonts w:ascii="Calibri" w:eastAsia="Times New Roman" w:hAnsi="Calibri" w:cs="Calibri"/>
                      <w:iCs/>
                      <w:sz w:val="24"/>
                      <w:szCs w:val="24"/>
                    </w:rPr>
                  </w:pPr>
                  <w:r w:rsidRPr="00D22312">
                    <w:rPr>
                      <w:rFonts w:ascii="Calibri" w:eastAsia="Times New Roman" w:hAnsi="Calibri" w:cs="Calibri"/>
                      <w:iCs/>
                      <w:sz w:val="24"/>
                      <w:szCs w:val="24"/>
                    </w:rPr>
                    <w:t>Greito įkrovimo režimas turi būti vykdomas tik esant tinkamoms sąlygoms ir naudojant gamintojo sertifikuotus įkrovimo valdiklius.</w:t>
                  </w:r>
                </w:p>
                <w:p w14:paraId="675DC6EC" w14:textId="77777777" w:rsidR="00946C81" w:rsidRPr="00D22312" w:rsidRDefault="00946C81" w:rsidP="00946C81">
                  <w:pPr>
                    <w:spacing w:before="60" w:after="60"/>
                    <w:ind w:left="346"/>
                    <w:rPr>
                      <w:rFonts w:ascii="Calibri" w:eastAsia="Times New Roman" w:hAnsi="Calibri" w:cs="Calibri"/>
                      <w:iCs/>
                      <w:sz w:val="24"/>
                      <w:szCs w:val="24"/>
                    </w:rPr>
                  </w:pPr>
                  <w:r w:rsidRPr="00D22312">
                    <w:rPr>
                      <w:rFonts w:ascii="Calibri" w:eastAsia="Times New Roman" w:hAnsi="Calibri" w:cs="Calibri"/>
                      <w:iCs/>
                      <w:sz w:val="24"/>
                      <w:szCs w:val="24"/>
                    </w:rPr>
                    <w:t>Įkrovimo srovė ir įtampa turi būti parinkta taip, kad nebūtų viršijamos gamintojo rekomendacijos ir būtų išlaikytas akumuliatorių tarnavimo laikas.</w:t>
                  </w:r>
                </w:p>
                <w:p w14:paraId="13A530E4" w14:textId="77777777" w:rsidR="00946C81" w:rsidRPr="00D22312" w:rsidRDefault="00946C81" w:rsidP="00946C81">
                  <w:pPr>
                    <w:spacing w:before="60" w:after="60"/>
                    <w:ind w:left="346"/>
                    <w:rPr>
                      <w:rFonts w:ascii="Calibri" w:eastAsia="Times New Roman" w:hAnsi="Calibri" w:cs="Calibri"/>
                      <w:iCs/>
                      <w:sz w:val="24"/>
                      <w:szCs w:val="24"/>
                    </w:rPr>
                  </w:pPr>
                  <w:r w:rsidRPr="00D22312">
                    <w:rPr>
                      <w:rFonts w:ascii="Calibri" w:eastAsia="Times New Roman" w:hAnsi="Calibri" w:cs="Calibri"/>
                      <w:iCs/>
                      <w:sz w:val="24"/>
                      <w:szCs w:val="24"/>
                    </w:rPr>
                    <w:t>Kadangi elektros tiekimas gali būti ribotas laiko intervalais, akumuliatoriai turi būti pritaikyti efektyviai išnaudoti šiuos intervalus greito įkrovimo būdu, siekiant užtikrinti gimnazijos veiklą be trikdžių.</w:t>
                  </w:r>
                </w:p>
                <w:p w14:paraId="4351568C" w14:textId="77777777" w:rsidR="00946C81" w:rsidRPr="00D22312" w:rsidRDefault="00946C81" w:rsidP="00946C81">
                  <w:pPr>
                    <w:spacing w:before="60" w:after="60"/>
                    <w:ind w:left="346"/>
                    <w:rPr>
                      <w:rFonts w:ascii="Calibri" w:eastAsia="Times New Roman" w:hAnsi="Calibri" w:cs="Calibri"/>
                      <w:iCs/>
                      <w:sz w:val="24"/>
                      <w:szCs w:val="24"/>
                    </w:rPr>
                  </w:pPr>
                  <w:r w:rsidRPr="00D22312">
                    <w:rPr>
                      <w:rFonts w:ascii="Calibri" w:eastAsia="Times New Roman" w:hAnsi="Calibri" w:cs="Calibri"/>
                      <w:iCs/>
                      <w:sz w:val="24"/>
                      <w:szCs w:val="24"/>
                    </w:rPr>
                    <w:t>Akumuliatoriai turi būti apsaugoti nuo perkrovos, perkaitimo ir kitų galimų pažeidimų naudojant įkrovimo valdiklius su pažangiomis apsaugos funkcijomis.</w:t>
                  </w:r>
                </w:p>
                <w:p w14:paraId="227209C9" w14:textId="77777777" w:rsidR="00946C81" w:rsidRPr="00D22312" w:rsidRDefault="00946C81" w:rsidP="00946C81">
                  <w:pPr>
                    <w:spacing w:before="60" w:after="60"/>
                    <w:ind w:left="346"/>
                    <w:rPr>
                      <w:rFonts w:ascii="Calibri" w:eastAsia="Times New Roman" w:hAnsi="Calibri" w:cs="Calibri"/>
                      <w:iCs/>
                      <w:sz w:val="24"/>
                      <w:szCs w:val="24"/>
                    </w:rPr>
                  </w:pPr>
                  <w:r w:rsidRPr="00D22312">
                    <w:rPr>
                      <w:rFonts w:ascii="Calibri" w:eastAsia="Times New Roman" w:hAnsi="Calibri" w:cs="Calibri"/>
                      <w:iCs/>
                      <w:sz w:val="24"/>
                      <w:szCs w:val="24"/>
                    </w:rPr>
                    <w:t>Įkrovimo pajėgumas ir trukmė turi būti patvirtinti sistemos paleidimo-derinimo metu.</w:t>
                  </w:r>
                </w:p>
                <w:p w14:paraId="0BEE1E18" w14:textId="77777777" w:rsidR="00946C81" w:rsidRPr="00D22312" w:rsidRDefault="00946C81" w:rsidP="00946C81">
                  <w:pPr>
                    <w:tabs>
                      <w:tab w:val="left" w:pos="567"/>
                    </w:tabs>
                    <w:spacing w:before="60" w:after="60"/>
                    <w:ind w:left="346"/>
                    <w:rPr>
                      <w:rFonts w:ascii="Calibri" w:eastAsia="Times New Roman" w:hAnsi="Calibri" w:cs="Calibri"/>
                      <w:bCs/>
                      <w:iCs/>
                      <w:sz w:val="24"/>
                      <w:szCs w:val="24"/>
                    </w:rPr>
                  </w:pPr>
                </w:p>
              </w:tc>
            </w:tr>
          </w:tbl>
          <w:p w14:paraId="661328F7" w14:textId="77777777" w:rsidR="00946C81" w:rsidRPr="00D22312" w:rsidRDefault="00946C81" w:rsidP="00946C81">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p>
          <w:p w14:paraId="08177AEE" w14:textId="77777777" w:rsidR="00946C81" w:rsidRPr="00D22312" w:rsidRDefault="00946C81" w:rsidP="00946C81">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r w:rsidRPr="00D22312">
              <w:rPr>
                <w:rFonts w:ascii="Calibri" w:eastAsia="Times New Roman" w:hAnsi="Calibri" w:cs="Calibri"/>
                <w:b/>
                <w:bCs/>
                <w:iCs/>
                <w:sz w:val="24"/>
                <w:szCs w:val="24"/>
              </w:rPr>
              <w:t>KIBERNETINIO SAUGUMO REIKALAVIMAI</w:t>
            </w:r>
          </w:p>
          <w:tbl>
            <w:tblPr>
              <w:tblStyle w:val="TableGrid"/>
              <w:tblW w:w="5000" w:type="pct"/>
              <w:tblLook w:val="04A0" w:firstRow="1" w:lastRow="0" w:firstColumn="1" w:lastColumn="0" w:noHBand="0" w:noVBand="1"/>
            </w:tblPr>
            <w:tblGrid>
              <w:gridCol w:w="6473"/>
              <w:gridCol w:w="6479"/>
            </w:tblGrid>
            <w:tr w:rsidR="00946C81" w:rsidRPr="00D22312" w14:paraId="0147913F" w14:textId="77777777" w:rsidTr="0007062B">
              <w:tc>
                <w:tcPr>
                  <w:tcW w:w="2499" w:type="pct"/>
                  <w:vAlign w:val="center"/>
                </w:tcPr>
                <w:p w14:paraId="07D39EDB" w14:textId="77777777" w:rsidR="00946C81" w:rsidRPr="00D22312" w:rsidRDefault="00946C81" w:rsidP="00946C81">
                  <w:pPr>
                    <w:spacing w:before="60" w:after="60"/>
                    <w:jc w:val="center"/>
                    <w:rPr>
                      <w:rFonts w:ascii="Calibri" w:eastAsia="Times New Roman" w:hAnsi="Calibri" w:cs="Calibri"/>
                      <w:sz w:val="20"/>
                      <w:szCs w:val="20"/>
                    </w:rPr>
                  </w:pPr>
                  <w:r w:rsidRPr="00D22312">
                    <w:rPr>
                      <w:rFonts w:ascii="Calibri" w:eastAsia="Aptos" w:hAnsi="Calibri" w:cs="Calibri"/>
                      <w:b/>
                      <w:iCs/>
                      <w:sz w:val="24"/>
                      <w:szCs w:val="24"/>
                    </w:rPr>
                    <w:t>Buvusi reikšmė</w:t>
                  </w:r>
                </w:p>
              </w:tc>
              <w:tc>
                <w:tcPr>
                  <w:tcW w:w="2501" w:type="pct"/>
                  <w:vAlign w:val="center"/>
                </w:tcPr>
                <w:p w14:paraId="5C81F958" w14:textId="77777777" w:rsidR="00946C81" w:rsidRPr="00D22312" w:rsidRDefault="00946C81" w:rsidP="00946C81">
                  <w:pPr>
                    <w:jc w:val="center"/>
                    <w:rPr>
                      <w:rFonts w:ascii="Calibri" w:eastAsia="Times New Roman" w:hAnsi="Calibri" w:cs="Calibri"/>
                      <w:b/>
                      <w:bCs/>
                      <w:sz w:val="20"/>
                      <w:szCs w:val="20"/>
                    </w:rPr>
                  </w:pPr>
                  <w:r w:rsidRPr="00D22312">
                    <w:rPr>
                      <w:rFonts w:ascii="Calibri" w:eastAsia="Aptos" w:hAnsi="Calibri" w:cs="Calibri"/>
                      <w:b/>
                      <w:iCs/>
                      <w:sz w:val="24"/>
                      <w:szCs w:val="24"/>
                    </w:rPr>
                    <w:t>Nauja Reikšmė</w:t>
                  </w:r>
                </w:p>
              </w:tc>
            </w:tr>
            <w:tr w:rsidR="00946C81" w:rsidRPr="00D22312" w14:paraId="7ED9B7E7" w14:textId="77777777" w:rsidTr="0007062B">
              <w:tc>
                <w:tcPr>
                  <w:tcW w:w="2499" w:type="pct"/>
                </w:tcPr>
                <w:p w14:paraId="319BBD0F" w14:textId="77777777" w:rsidR="00946C81" w:rsidRPr="00D22312" w:rsidRDefault="00946C81" w:rsidP="00946C81">
                  <w:pPr>
                    <w:numPr>
                      <w:ilvl w:val="1"/>
                      <w:numId w:val="38"/>
                    </w:numPr>
                    <w:spacing w:before="60" w:after="60"/>
                    <w:ind w:left="706"/>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 xml:space="preserve">Visa siūloma saulės elektrinės sistema įskaitant inverterius, akumuliatorių valdymo sistemą, stebėsenos įrangą ir valdymo modulius (toliau – Sistema), turi atitikti kibernetinio saugumo reikalavimus pagal </w:t>
                  </w:r>
                  <w:r w:rsidRPr="00D22312">
                    <w:rPr>
                      <w:rFonts w:ascii="Calibri" w:eastAsia="Times New Roman" w:hAnsi="Calibri" w:cs="Calibri"/>
                      <w:b/>
                      <w:bCs/>
                      <w:iCs/>
                      <w:sz w:val="24"/>
                      <w:szCs w:val="24"/>
                    </w:rPr>
                    <w:t>IEC 62443</w:t>
                  </w:r>
                  <w:r w:rsidRPr="00D22312">
                    <w:rPr>
                      <w:rFonts w:ascii="Calibri" w:eastAsia="Times New Roman" w:hAnsi="Calibri" w:cs="Calibri"/>
                      <w:iCs/>
                      <w:sz w:val="24"/>
                      <w:szCs w:val="24"/>
                    </w:rPr>
                    <w:t xml:space="preserve"> arba lygiaverčius standartus.</w:t>
                  </w:r>
                </w:p>
                <w:p w14:paraId="3EB0B182" w14:textId="77777777" w:rsidR="00946C81" w:rsidRPr="00D22312" w:rsidRDefault="00946C81" w:rsidP="00946C81">
                  <w:pPr>
                    <w:tabs>
                      <w:tab w:val="left" w:pos="567"/>
                    </w:tabs>
                    <w:spacing w:before="60" w:after="60"/>
                    <w:rPr>
                      <w:rFonts w:ascii="Calibri" w:eastAsia="Times New Roman" w:hAnsi="Calibri" w:cs="Calibri"/>
                      <w:iCs/>
                      <w:sz w:val="20"/>
                      <w:szCs w:val="20"/>
                    </w:rPr>
                  </w:pPr>
                </w:p>
              </w:tc>
              <w:tc>
                <w:tcPr>
                  <w:tcW w:w="2501" w:type="pct"/>
                </w:tcPr>
                <w:p w14:paraId="1B968B07" w14:textId="77777777" w:rsidR="00946C81" w:rsidRPr="00D22312" w:rsidRDefault="00946C81" w:rsidP="00946C81">
                  <w:pPr>
                    <w:numPr>
                      <w:ilvl w:val="1"/>
                      <w:numId w:val="39"/>
                    </w:numPr>
                    <w:spacing w:before="60" w:after="60"/>
                    <w:ind w:left="526"/>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Visa siūloma saulės elektrinės sistema įskaitant inverterius, akumuliatorių valdymo sistemą, stebėsenos įrangą ir valdymo modulius (toliau – Sistema), turi užtikrinti saugų duomenų perdavimą ir saugią nuotolinę prieigą.</w:t>
                  </w:r>
                </w:p>
                <w:p w14:paraId="79604F93" w14:textId="77777777" w:rsidR="00946C81" w:rsidRPr="00D22312" w:rsidRDefault="00946C81" w:rsidP="00946C81">
                  <w:pPr>
                    <w:tabs>
                      <w:tab w:val="left" w:pos="567"/>
                    </w:tabs>
                    <w:spacing w:before="60" w:after="60"/>
                    <w:rPr>
                      <w:rFonts w:ascii="Calibri" w:eastAsia="Times New Roman" w:hAnsi="Calibri" w:cs="Calibri"/>
                      <w:bCs/>
                      <w:iCs/>
                      <w:sz w:val="20"/>
                      <w:szCs w:val="20"/>
                    </w:rPr>
                  </w:pPr>
                </w:p>
              </w:tc>
            </w:tr>
          </w:tbl>
          <w:p w14:paraId="017122B7" w14:textId="77777777" w:rsidR="00946C81" w:rsidRPr="00D22312" w:rsidRDefault="00946C81" w:rsidP="00946C81">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p>
          <w:p w14:paraId="6C4D7B74" w14:textId="77777777" w:rsidR="00946C81" w:rsidRPr="00D22312" w:rsidRDefault="00946C81" w:rsidP="00946C81">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r w:rsidRPr="00D22312">
              <w:rPr>
                <w:rFonts w:ascii="Calibri" w:eastAsia="Times New Roman" w:hAnsi="Calibri" w:cs="Calibri"/>
                <w:b/>
                <w:bCs/>
                <w:iCs/>
                <w:sz w:val="24"/>
                <w:szCs w:val="24"/>
              </w:rPr>
              <w:t>BENDRI REIKALAVIMAI</w:t>
            </w:r>
          </w:p>
          <w:tbl>
            <w:tblPr>
              <w:tblStyle w:val="TableGrid"/>
              <w:tblW w:w="5000" w:type="pct"/>
              <w:tblLook w:val="04A0" w:firstRow="1" w:lastRow="0" w:firstColumn="1" w:lastColumn="0" w:noHBand="0" w:noVBand="1"/>
            </w:tblPr>
            <w:tblGrid>
              <w:gridCol w:w="6473"/>
              <w:gridCol w:w="6479"/>
            </w:tblGrid>
            <w:tr w:rsidR="00946C81" w:rsidRPr="00D22312" w14:paraId="3F97F59A" w14:textId="77777777" w:rsidTr="0007062B">
              <w:tc>
                <w:tcPr>
                  <w:tcW w:w="2499" w:type="pct"/>
                  <w:vAlign w:val="center"/>
                </w:tcPr>
                <w:p w14:paraId="7385FB16" w14:textId="77777777" w:rsidR="00946C81" w:rsidRPr="00D22312" w:rsidRDefault="00946C81" w:rsidP="00946C81">
                  <w:pPr>
                    <w:spacing w:before="60" w:after="60"/>
                    <w:jc w:val="center"/>
                    <w:rPr>
                      <w:rFonts w:ascii="Calibri" w:eastAsia="Times New Roman" w:hAnsi="Calibri" w:cs="Calibri"/>
                      <w:sz w:val="20"/>
                      <w:szCs w:val="20"/>
                    </w:rPr>
                  </w:pPr>
                  <w:r w:rsidRPr="00D22312">
                    <w:rPr>
                      <w:rFonts w:ascii="Calibri" w:eastAsia="Aptos" w:hAnsi="Calibri" w:cs="Calibri"/>
                      <w:b/>
                      <w:iCs/>
                      <w:sz w:val="24"/>
                      <w:szCs w:val="24"/>
                    </w:rPr>
                    <w:t>Buvusi reikšmė</w:t>
                  </w:r>
                </w:p>
              </w:tc>
              <w:tc>
                <w:tcPr>
                  <w:tcW w:w="2501" w:type="pct"/>
                  <w:vAlign w:val="center"/>
                </w:tcPr>
                <w:p w14:paraId="75FE8096" w14:textId="77777777" w:rsidR="00946C81" w:rsidRPr="00D22312" w:rsidRDefault="00946C81" w:rsidP="00946C81">
                  <w:pPr>
                    <w:jc w:val="center"/>
                    <w:rPr>
                      <w:rFonts w:ascii="Calibri" w:eastAsia="Times New Roman" w:hAnsi="Calibri" w:cs="Calibri"/>
                      <w:b/>
                      <w:bCs/>
                      <w:sz w:val="20"/>
                      <w:szCs w:val="20"/>
                    </w:rPr>
                  </w:pPr>
                  <w:r w:rsidRPr="00D22312">
                    <w:rPr>
                      <w:rFonts w:ascii="Calibri" w:eastAsia="Aptos" w:hAnsi="Calibri" w:cs="Calibri"/>
                      <w:b/>
                      <w:iCs/>
                      <w:sz w:val="24"/>
                      <w:szCs w:val="24"/>
                    </w:rPr>
                    <w:t>Nauja Reikšmė</w:t>
                  </w:r>
                </w:p>
              </w:tc>
            </w:tr>
            <w:tr w:rsidR="00946C81" w:rsidRPr="00D22312" w14:paraId="083A2D05" w14:textId="77777777" w:rsidTr="0007062B">
              <w:tc>
                <w:tcPr>
                  <w:tcW w:w="2499" w:type="pct"/>
                </w:tcPr>
                <w:p w14:paraId="43B5D935" w14:textId="77777777" w:rsidR="00946C81" w:rsidRPr="00D22312" w:rsidRDefault="00946C81" w:rsidP="00946C81">
                  <w:pPr>
                    <w:numPr>
                      <w:ilvl w:val="0"/>
                      <w:numId w:val="35"/>
                    </w:numPr>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Darbams turi būti taikoma nemokama kokybės garantija. Garantinis laikotarpis prasideda nuo Darbų perdavimo–priėmimo momento.</w:t>
                  </w:r>
                </w:p>
                <w:p w14:paraId="325A8BF0" w14:textId="77777777" w:rsidR="00946C81" w:rsidRPr="00D22312" w:rsidRDefault="00946C81" w:rsidP="00946C81">
                  <w:pPr>
                    <w:spacing w:before="60" w:after="60"/>
                    <w:ind w:left="720"/>
                    <w:contextualSpacing/>
                    <w:rPr>
                      <w:rFonts w:ascii="Calibri" w:eastAsia="Times New Roman" w:hAnsi="Calibri" w:cs="Calibri"/>
                      <w:iCs/>
                      <w:sz w:val="24"/>
                      <w:szCs w:val="24"/>
                    </w:rPr>
                  </w:pPr>
                  <w:r w:rsidRPr="00D22312">
                    <w:rPr>
                      <w:rFonts w:ascii="Calibri" w:eastAsia="Times New Roman" w:hAnsi="Calibri" w:cs="Calibri"/>
                      <w:iCs/>
                      <w:sz w:val="24"/>
                      <w:szCs w:val="24"/>
                    </w:rPr>
                    <w:t>Garantijų laikotarpiai:</w:t>
                  </w:r>
                </w:p>
                <w:p w14:paraId="56B74D2E" w14:textId="77777777" w:rsidR="00946C81" w:rsidRPr="00D22312" w:rsidRDefault="00946C81" w:rsidP="00946C81">
                  <w:pPr>
                    <w:numPr>
                      <w:ilvl w:val="0"/>
                      <w:numId w:val="39"/>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FOTOVOLTINIAI MODULIAI IR MONTAVIMO KONSTRUKCIJOS – ne mažiau kaip 10 metų.</w:t>
                  </w:r>
                </w:p>
                <w:p w14:paraId="5118B321" w14:textId="77777777" w:rsidR="00946C81" w:rsidRPr="00D22312" w:rsidRDefault="00946C81" w:rsidP="00946C81">
                  <w:pPr>
                    <w:numPr>
                      <w:ilvl w:val="0"/>
                      <w:numId w:val="39"/>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ĮTAMPOS KEITIKLIAI (INVERTERIAI) – ne mažiau kaip 10 metų.</w:t>
                  </w:r>
                </w:p>
                <w:p w14:paraId="3B9CD586" w14:textId="77777777" w:rsidR="00946C81" w:rsidRPr="00D22312" w:rsidRDefault="00946C81" w:rsidP="00946C81">
                  <w:pPr>
                    <w:numPr>
                      <w:ilvl w:val="0"/>
                      <w:numId w:val="39"/>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FOTOVOLTINIŲ MODULIŲ TVIRTINIMO KONSTRUKCIJOS – ne mažiau kaip 10 metai.</w:t>
                  </w:r>
                </w:p>
                <w:p w14:paraId="0AB85C09" w14:textId="77777777" w:rsidR="00946C81" w:rsidRPr="00D22312" w:rsidRDefault="00946C81" w:rsidP="00946C81">
                  <w:pPr>
                    <w:numPr>
                      <w:ilvl w:val="0"/>
                      <w:numId w:val="39"/>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AKUMULIATORIŲ SISTEMA - 10 metų garantija arba ne mažiau kaip 4 000 įkrovimo/iškrovimo ciklų garantija</w:t>
                  </w:r>
                  <w:r w:rsidRPr="00D22312">
                    <w:rPr>
                      <w:rFonts w:ascii="Calibri" w:eastAsia="Times New Roman" w:hAnsi="Calibri" w:cs="Calibri"/>
                      <w:bCs/>
                      <w:iCs/>
                      <w:sz w:val="24"/>
                      <w:szCs w:val="24"/>
                    </w:rPr>
                    <w:t>.</w:t>
                  </w:r>
                </w:p>
                <w:p w14:paraId="5DAF7D64" w14:textId="77777777" w:rsidR="00946C81" w:rsidRPr="00D22312" w:rsidRDefault="00946C81" w:rsidP="00946C81">
                  <w:pPr>
                    <w:numPr>
                      <w:ilvl w:val="0"/>
                      <w:numId w:val="39"/>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KITI ĮRENGINIAI, MEDŽIAGOS IR DARBAI – ne mažiau kaip 2 metai.</w:t>
                  </w:r>
                </w:p>
              </w:tc>
              <w:tc>
                <w:tcPr>
                  <w:tcW w:w="2501" w:type="pct"/>
                </w:tcPr>
                <w:p w14:paraId="306A410B" w14:textId="77777777" w:rsidR="00946C81" w:rsidRPr="00D22312" w:rsidRDefault="00946C81" w:rsidP="00946C81">
                  <w:pPr>
                    <w:numPr>
                      <w:ilvl w:val="0"/>
                      <w:numId w:val="40"/>
                    </w:numPr>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Darbams, įrangai ir medžiagoms turi būti taikoma nemokama kokybės garantija. Garantinis laikotarpis prasideda nuo Darbų perdavimo–priėmimo momento.</w:t>
                  </w:r>
                </w:p>
                <w:p w14:paraId="774E030F" w14:textId="77777777" w:rsidR="00946C81" w:rsidRPr="00D22312" w:rsidRDefault="00946C81" w:rsidP="00946C81">
                  <w:pPr>
                    <w:spacing w:before="60" w:after="60"/>
                    <w:ind w:left="720"/>
                    <w:contextualSpacing/>
                    <w:rPr>
                      <w:rFonts w:ascii="Calibri" w:eastAsia="Times New Roman" w:hAnsi="Calibri" w:cs="Calibri"/>
                      <w:iCs/>
                      <w:sz w:val="24"/>
                      <w:szCs w:val="24"/>
                    </w:rPr>
                  </w:pPr>
                  <w:r w:rsidRPr="00D22312">
                    <w:rPr>
                      <w:rFonts w:ascii="Calibri" w:eastAsia="Times New Roman" w:hAnsi="Calibri" w:cs="Calibri"/>
                      <w:iCs/>
                      <w:sz w:val="24"/>
                      <w:szCs w:val="24"/>
                    </w:rPr>
                    <w:t>Garantijų laikotarpiai:</w:t>
                  </w:r>
                </w:p>
                <w:p w14:paraId="06D83BE8" w14:textId="77777777" w:rsidR="00946C81" w:rsidRPr="00D22312" w:rsidRDefault="00946C81" w:rsidP="00946C81">
                  <w:pPr>
                    <w:numPr>
                      <w:ilvl w:val="0"/>
                      <w:numId w:val="37"/>
                    </w:numPr>
                    <w:tabs>
                      <w:tab w:val="left" w:pos="567"/>
                    </w:tabs>
                    <w:spacing w:before="60" w:after="60"/>
                    <w:contextualSpacing/>
                    <w:jc w:val="left"/>
                    <w:rPr>
                      <w:rFonts w:ascii="Calibri" w:eastAsia="Times New Roman" w:hAnsi="Calibri" w:cs="Calibri"/>
                      <w:b/>
                      <w:bCs/>
                      <w:iCs/>
                      <w:sz w:val="24"/>
                      <w:szCs w:val="24"/>
                    </w:rPr>
                  </w:pPr>
                  <w:r w:rsidRPr="00D22312">
                    <w:rPr>
                      <w:rFonts w:ascii="Calibri" w:eastAsia="Times New Roman" w:hAnsi="Calibri" w:cs="Calibri"/>
                      <w:b/>
                      <w:bCs/>
                      <w:iCs/>
                      <w:sz w:val="24"/>
                      <w:szCs w:val="24"/>
                    </w:rPr>
                    <w:t>FOTOVOLTINIAI MODULIAI– ne mažiau kaip 20 metų.</w:t>
                  </w:r>
                </w:p>
                <w:p w14:paraId="307EE4A9" w14:textId="77777777" w:rsidR="00946C81" w:rsidRPr="00D22312" w:rsidRDefault="00946C81" w:rsidP="00946C81">
                  <w:pPr>
                    <w:numPr>
                      <w:ilvl w:val="0"/>
                      <w:numId w:val="37"/>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 xml:space="preserve">ĮTAMPOS KEITIKLIAI (INVERTERIAI) – ne mažiau kaip </w:t>
                  </w:r>
                  <w:r w:rsidRPr="00D22312">
                    <w:rPr>
                      <w:rFonts w:ascii="Calibri" w:eastAsia="Times New Roman" w:hAnsi="Calibri" w:cs="Calibri"/>
                      <w:b/>
                      <w:bCs/>
                      <w:iCs/>
                      <w:sz w:val="24"/>
                      <w:szCs w:val="24"/>
                    </w:rPr>
                    <w:t>5 metų</w:t>
                  </w:r>
                  <w:r w:rsidRPr="00D22312">
                    <w:rPr>
                      <w:rFonts w:ascii="Calibri" w:eastAsia="Times New Roman" w:hAnsi="Calibri" w:cs="Calibri"/>
                      <w:iCs/>
                      <w:sz w:val="24"/>
                      <w:szCs w:val="24"/>
                    </w:rPr>
                    <w:t>.</w:t>
                  </w:r>
                </w:p>
                <w:p w14:paraId="0F16F5C6" w14:textId="77777777" w:rsidR="00946C81" w:rsidRPr="00D22312" w:rsidRDefault="00946C81" w:rsidP="00946C81">
                  <w:pPr>
                    <w:numPr>
                      <w:ilvl w:val="0"/>
                      <w:numId w:val="37"/>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FOTOVOLTINIŲ MODULIŲ TVIRTINIMO KONSTRUKCIJOS – ne mažiau kaip 10 metai.</w:t>
                  </w:r>
                </w:p>
                <w:p w14:paraId="7EDF6041" w14:textId="77777777" w:rsidR="00946C81" w:rsidRPr="00D22312" w:rsidRDefault="00946C81" w:rsidP="00946C81">
                  <w:pPr>
                    <w:numPr>
                      <w:ilvl w:val="0"/>
                      <w:numId w:val="37"/>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 xml:space="preserve">AKUMULIATORIŲ SISTEMA - 10 metų garantija arba ne mažiau kaip </w:t>
                  </w:r>
                  <w:r w:rsidRPr="00D22312">
                    <w:rPr>
                      <w:rFonts w:ascii="Calibri" w:eastAsia="Times New Roman" w:hAnsi="Calibri" w:cs="Calibri"/>
                      <w:b/>
                      <w:bCs/>
                      <w:iCs/>
                      <w:sz w:val="24"/>
                      <w:szCs w:val="24"/>
                    </w:rPr>
                    <w:t>6 000</w:t>
                  </w:r>
                  <w:r w:rsidRPr="00D22312">
                    <w:rPr>
                      <w:rFonts w:ascii="Calibri" w:eastAsia="Times New Roman" w:hAnsi="Calibri" w:cs="Calibri"/>
                      <w:iCs/>
                      <w:sz w:val="24"/>
                      <w:szCs w:val="24"/>
                    </w:rPr>
                    <w:t xml:space="preserve"> įkrovimo/iškrovimo ciklų garantija</w:t>
                  </w:r>
                  <w:r w:rsidRPr="00D22312">
                    <w:rPr>
                      <w:rFonts w:ascii="Calibri" w:eastAsia="Times New Roman" w:hAnsi="Calibri" w:cs="Calibri"/>
                      <w:bCs/>
                      <w:iCs/>
                      <w:sz w:val="24"/>
                      <w:szCs w:val="24"/>
                    </w:rPr>
                    <w:t xml:space="preserve">, </w:t>
                  </w:r>
                  <w:r w:rsidRPr="00D22312">
                    <w:rPr>
                      <w:rFonts w:ascii="Calibri" w:eastAsia="Times New Roman" w:hAnsi="Calibri" w:cs="Calibri"/>
                      <w:b/>
                      <w:iCs/>
                      <w:sz w:val="24"/>
                      <w:szCs w:val="24"/>
                    </w:rPr>
                    <w:t>užtikrinant likutinę talpą, ne mažesnę kaip 60% nominalios talpos po garantinio laikotarpio.</w:t>
                  </w:r>
                </w:p>
                <w:p w14:paraId="5A7C87B6" w14:textId="77777777" w:rsidR="00946C81" w:rsidRPr="00D22312" w:rsidRDefault="00946C81" w:rsidP="00946C81">
                  <w:pPr>
                    <w:numPr>
                      <w:ilvl w:val="0"/>
                      <w:numId w:val="37"/>
                    </w:numPr>
                    <w:tabs>
                      <w:tab w:val="left" w:pos="567"/>
                    </w:tabs>
                    <w:spacing w:before="60" w:after="60"/>
                    <w:contextualSpacing/>
                    <w:jc w:val="left"/>
                    <w:rPr>
                      <w:rFonts w:ascii="Calibri" w:eastAsia="Times New Roman" w:hAnsi="Calibri" w:cs="Calibri"/>
                      <w:iCs/>
                      <w:sz w:val="24"/>
                      <w:szCs w:val="24"/>
                    </w:rPr>
                  </w:pPr>
                  <w:r w:rsidRPr="00D22312">
                    <w:rPr>
                      <w:rFonts w:ascii="Calibri" w:eastAsia="Times New Roman" w:hAnsi="Calibri" w:cs="Calibri"/>
                      <w:iCs/>
                      <w:sz w:val="24"/>
                      <w:szCs w:val="24"/>
                    </w:rPr>
                    <w:t>KITI ĮRENGINIAI IR MEDŽIAGOS – ne mažiau kaip 2 metai.</w:t>
                  </w:r>
                </w:p>
                <w:p w14:paraId="766F32BF" w14:textId="77777777" w:rsidR="00946C81" w:rsidRPr="00D22312" w:rsidRDefault="00946C81" w:rsidP="00946C81">
                  <w:pPr>
                    <w:numPr>
                      <w:ilvl w:val="0"/>
                      <w:numId w:val="37"/>
                    </w:numPr>
                    <w:tabs>
                      <w:tab w:val="left" w:pos="567"/>
                    </w:tabs>
                    <w:spacing w:before="60" w:after="60"/>
                    <w:contextualSpacing/>
                    <w:jc w:val="left"/>
                    <w:rPr>
                      <w:rFonts w:ascii="Calibri" w:eastAsia="Times New Roman" w:hAnsi="Calibri" w:cs="Calibri"/>
                      <w:b/>
                      <w:bCs/>
                      <w:iCs/>
                      <w:sz w:val="24"/>
                      <w:szCs w:val="24"/>
                    </w:rPr>
                  </w:pPr>
                  <w:r w:rsidRPr="00D22312">
                    <w:rPr>
                      <w:rFonts w:ascii="Calibri" w:eastAsia="Times New Roman" w:hAnsi="Calibri" w:cs="Calibri"/>
                      <w:b/>
                      <w:bCs/>
                      <w:iCs/>
                      <w:sz w:val="24"/>
                      <w:szCs w:val="24"/>
                    </w:rPr>
                    <w:t>ATLIKTIEMS DARBAMS – 5 metų garantija ir 10 metų garantija paslėptiems elementams (konstrukcijos, inžinerinės sistemos ir kt.).</w:t>
                  </w:r>
                </w:p>
                <w:p w14:paraId="22FABD3A" w14:textId="77777777" w:rsidR="00946C81" w:rsidRPr="00D22312" w:rsidRDefault="00946C81" w:rsidP="00946C81">
                  <w:pPr>
                    <w:spacing w:before="60" w:after="60"/>
                    <w:rPr>
                      <w:rFonts w:ascii="Calibri" w:eastAsia="Times New Roman" w:hAnsi="Calibri" w:cs="Calibri"/>
                      <w:bCs/>
                      <w:iCs/>
                      <w:sz w:val="24"/>
                      <w:szCs w:val="24"/>
                    </w:rPr>
                  </w:pPr>
                </w:p>
              </w:tc>
            </w:tr>
          </w:tbl>
          <w:p w14:paraId="2F81A790" w14:textId="0C9EABF7" w:rsidR="00946C81" w:rsidRPr="007467D9" w:rsidRDefault="00946C81" w:rsidP="00946C81">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p>
        </w:tc>
      </w:tr>
      <w:tr w:rsidR="00946C81" w:rsidRPr="009E4E36" w14:paraId="518B64C1" w14:textId="77777777" w:rsidTr="00D36AE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31A63D53" w14:textId="66344F33" w:rsidR="00946C81" w:rsidRPr="00D36AEA" w:rsidRDefault="00946C81" w:rsidP="00946C81">
            <w:pPr>
              <w:pStyle w:val="ListParagraph"/>
              <w:numPr>
                <w:ilvl w:val="0"/>
                <w:numId w:val="26"/>
              </w:numPr>
              <w:jc w:val="center"/>
              <w:rPr>
                <w:rFonts w:asciiTheme="minorHAnsi" w:hAnsiTheme="minorHAnsi" w:cs="Times New Roman"/>
                <w:i/>
                <w:iCs/>
              </w:rPr>
            </w:pPr>
            <w:r w:rsidRPr="00D36AEA">
              <w:rPr>
                <w:rFonts w:asciiTheme="minorHAnsi" w:hAnsiTheme="minorHAnsi" w:cs="Times New Roman"/>
                <w:i/>
                <w:iCs/>
              </w:rPr>
              <w:t>Konfidenciali informacija</w:t>
            </w:r>
          </w:p>
        </w:tc>
      </w:tr>
      <w:tr w:rsidR="00946C81" w:rsidRPr="009E4E36" w14:paraId="679147CC" w14:textId="77777777" w:rsidTr="0044232F">
        <w:trPr>
          <w:trHeight w:val="5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54A6F60F" w14:textId="3445D19E" w:rsidR="00946C81" w:rsidRPr="00D36AEA" w:rsidRDefault="00946C81" w:rsidP="00946C81">
            <w:pPr>
              <w:rPr>
                <w:rFonts w:asciiTheme="minorHAnsi" w:hAnsiTheme="minorHAnsi" w:cstheme="minorHAnsi"/>
              </w:rPr>
            </w:pPr>
            <w:r w:rsidRPr="00D36AEA">
              <w:rPr>
                <w:rFonts w:asciiTheme="minorHAnsi" w:hAnsiTheme="minorHAnsi" w:cstheme="minorHAnsi"/>
                <w:b w:val="0"/>
                <w:bCs w:val="0"/>
              </w:rPr>
              <w:t>3.</w:t>
            </w:r>
            <w:r>
              <w:rPr>
                <w:rFonts w:asciiTheme="minorHAnsi" w:hAnsiTheme="minorHAnsi" w:cstheme="minorHAnsi"/>
              </w:rPr>
              <w:t xml:space="preserve">1. </w:t>
            </w:r>
            <w:r w:rsidRPr="00D36AEA">
              <w:rPr>
                <w:rFonts w:asciiTheme="minorHAnsi" w:hAnsiTheme="minorHAnsi" w:cstheme="minorHAnsi"/>
              </w:rPr>
              <w:t>Prašome nurodyti, jei turite papildomų pastabų dėl Jūsų atsakymuose pateiktos konfidencialios informacijos.</w:t>
            </w:r>
          </w:p>
          <w:p w14:paraId="243A8C1F" w14:textId="77777777" w:rsidR="00946C81" w:rsidRPr="00A538DC" w:rsidRDefault="00946C81" w:rsidP="00946C81">
            <w:pPr>
              <w:rPr>
                <w:rFonts w:asciiTheme="minorHAnsi" w:hAnsiTheme="minorHAnsi" w:cstheme="minorHAnsi"/>
              </w:rPr>
            </w:pPr>
            <w:r w:rsidRPr="00A538DC">
              <w:rPr>
                <w:rFonts w:asciiTheme="minorHAnsi" w:hAnsiTheme="minorHAnsi" w:cstheme="minorHAnsi"/>
                <w:iCs/>
              </w:rPr>
              <w:t xml:space="preserve">Rinkos dalyvio identifikaciniai duomenys ir konsultacijos metu pateikta informacija </w:t>
            </w:r>
            <w:r w:rsidRPr="00A538DC">
              <w:rPr>
                <w:rFonts w:asciiTheme="minorHAnsi" w:hAnsiTheme="minorHAnsi" w:cstheme="minorHAnsi"/>
              </w:rPr>
              <w:t>apie konkrečius gaminius, kainas ir kitas konkrečias sąlygas bei siūlymus</w:t>
            </w:r>
            <w:r w:rsidRPr="00A538DC">
              <w:rPr>
                <w:rFonts w:asciiTheme="minorHAnsi" w:hAnsiTheme="minorHAnsi" w:cstheme="minorHAnsi"/>
                <w:iCs/>
              </w:rPr>
              <w:t xml:space="preserve"> </w:t>
            </w:r>
            <w:r w:rsidRPr="00A538DC">
              <w:rPr>
                <w:rFonts w:asciiTheme="minorHAnsi" w:hAnsiTheme="minorHAnsi" w:cstheme="minorHAnsi"/>
              </w:rPr>
              <w:t xml:space="preserve">nebus pateikta tretiesiems asmenims. </w:t>
            </w:r>
          </w:p>
          <w:p w14:paraId="6B624884" w14:textId="751E3F99" w:rsidR="00946C81" w:rsidRPr="00A538DC" w:rsidRDefault="00946C81" w:rsidP="00946C81">
            <w:pPr>
              <w:rPr>
                <w:rFonts w:asciiTheme="minorHAnsi" w:hAnsiTheme="minorHAnsi" w:cstheme="minorHAnsi"/>
              </w:rPr>
            </w:pPr>
            <w:r w:rsidRPr="00A538DC">
              <w:rPr>
                <w:rFonts w:asciiTheme="minorHAnsi" w:hAnsiTheme="minorHAnsi" w:cstheme="minorHAnsi"/>
              </w:rPr>
              <w:t>Perkančioji organizacija viešins tik apibendrintą informaciją, nedetalizuojant rinkos konsultacijos dalyvių ir jų atsakymuose pateikto konkretaus turinio ar detalių.</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84D94E" w14:textId="2BB94875" w:rsidR="00946C81" w:rsidRPr="008C23D0" w:rsidRDefault="00946C81" w:rsidP="00946C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Rinkos dalyviai papildomų pastebėjimų dėl rinkos konsultacijoje pateiktos informacijos konfidencialumo nepateikė. </w:t>
            </w:r>
            <w:r w:rsidRPr="00A538DC">
              <w:rPr>
                <w:rFonts w:asciiTheme="minorHAnsi" w:hAnsiTheme="minorHAnsi" w:cstheme="minorHAnsi"/>
              </w:rPr>
              <w:t>Perkančioji organizacija</w:t>
            </w:r>
            <w:r>
              <w:rPr>
                <w:rFonts w:asciiTheme="minorHAnsi" w:hAnsiTheme="minorHAnsi" w:cstheme="minorHAnsi"/>
              </w:rPr>
              <w:t>, skelbiant rinkos konsultacijos rezultatus,</w:t>
            </w:r>
            <w:r w:rsidRPr="00A538DC">
              <w:rPr>
                <w:rFonts w:asciiTheme="minorHAnsi" w:hAnsiTheme="minorHAnsi" w:cstheme="minorHAnsi"/>
              </w:rPr>
              <w:t xml:space="preserve"> viešins tik apibendrintą informaciją, nedetalizuojant rinkos konsultacijos dalyvių ir jų atsakymuose pateikto konkretaus turinio ar detalių.</w:t>
            </w:r>
          </w:p>
        </w:tc>
      </w:tr>
      <w:tr w:rsidR="00946C81" w:rsidRPr="009E4E36" w14:paraId="0A3B4AA9" w14:textId="77777777" w:rsidTr="0044232F">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right w:val="single" w:sz="4" w:space="0" w:color="FFFFFF" w:themeColor="background1"/>
            </w:tcBorders>
            <w:vAlign w:val="center"/>
          </w:tcPr>
          <w:p w14:paraId="6F7E91F0" w14:textId="77777777" w:rsidR="00946C81" w:rsidRPr="009E4E36" w:rsidRDefault="00946C81" w:rsidP="00946C81">
            <w:pPr>
              <w:jc w:val="center"/>
              <w:rPr>
                <w:rFonts w:asciiTheme="minorHAnsi" w:hAnsiTheme="minorHAnsi" w:cstheme="minorHAnsi"/>
              </w:rPr>
            </w:pPr>
            <w:r w:rsidRPr="009E4E36">
              <w:rPr>
                <w:rFonts w:asciiTheme="minorHAnsi" w:hAnsiTheme="minorHAnsi" w:cstheme="minorHAnsi"/>
              </w:rPr>
              <w:t>Išvados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A1D9"/>
          </w:tcPr>
          <w:p w14:paraId="5E239F06" w14:textId="2C134527" w:rsidR="00946C81" w:rsidRPr="009E4E36" w:rsidRDefault="00946C81" w:rsidP="00946C81">
            <w:pPr>
              <w:pStyle w:val="ListParagraph"/>
              <w:numPr>
                <w:ilvl w:val="0"/>
                <w:numId w:val="3"/>
              </w:numPr>
              <w:spacing w:before="120" w:after="120"/>
              <w:ind w:left="372" w:hanging="2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r w:rsidRPr="009E4E36">
              <w:rPr>
                <w:rFonts w:asciiTheme="minorHAnsi" w:hAnsiTheme="minorHAnsi" w:cstheme="minorHAnsi"/>
                <w:color w:val="FFFFFF" w:themeColor="background1"/>
              </w:rPr>
              <w:t xml:space="preserve">Rinkos konsultacijos metu surinkti duomenys </w:t>
            </w:r>
            <w:r>
              <w:rPr>
                <w:rFonts w:asciiTheme="minorHAnsi" w:hAnsiTheme="minorHAnsi" w:cstheme="minorHAnsi"/>
                <w:color w:val="FFFFFF" w:themeColor="background1"/>
              </w:rPr>
              <w:t>buvo naudojami</w:t>
            </w:r>
            <w:r w:rsidRPr="009E4E36">
              <w:rPr>
                <w:rFonts w:asciiTheme="minorHAnsi" w:hAnsiTheme="minorHAnsi" w:cstheme="minorHAnsi"/>
                <w:color w:val="FFFFFF" w:themeColor="background1"/>
              </w:rPr>
              <w:t xml:space="preserve"> rengiant viešojo pirkimo </w:t>
            </w:r>
            <w:r>
              <w:rPr>
                <w:rFonts w:asciiTheme="minorHAnsi" w:hAnsiTheme="minorHAnsi" w:cstheme="minorHAnsi"/>
                <w:color w:val="FFFFFF" w:themeColor="background1"/>
              </w:rPr>
              <w:t>dokumentus;</w:t>
            </w:r>
          </w:p>
          <w:p w14:paraId="60D9450F" w14:textId="43FEDE6E" w:rsidR="00946C81" w:rsidRPr="009E4E36" w:rsidRDefault="00946C81" w:rsidP="00946C81">
            <w:pPr>
              <w:pStyle w:val="ListParagraph"/>
              <w:numPr>
                <w:ilvl w:val="0"/>
                <w:numId w:val="3"/>
              </w:numPr>
              <w:spacing w:before="120" w:after="120"/>
              <w:ind w:left="372" w:hanging="2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r>
              <w:rPr>
                <w:rFonts w:asciiTheme="minorHAnsi" w:hAnsiTheme="minorHAnsi" w:cstheme="minorHAnsi"/>
                <w:color w:val="FFFFFF" w:themeColor="background1"/>
              </w:rPr>
              <w:t xml:space="preserve">Šios rinkos konsultacijos suvestinės išrašas (nenurodant rinkos konsultacijos dalyvių bei kitos konfidencialios informacijos) bus paskelbtas CVP IS priemonėmis bei pateiktas atsakymus pateikusiems tiekėjams. </w:t>
            </w:r>
          </w:p>
        </w:tc>
      </w:tr>
    </w:tbl>
    <w:p w14:paraId="228A13BE" w14:textId="77777777" w:rsidR="00F6291A" w:rsidRPr="009E4E36" w:rsidRDefault="00F6291A">
      <w:pPr>
        <w:rPr>
          <w:rFonts w:asciiTheme="minorHAnsi" w:hAnsiTheme="minorHAnsi" w:cstheme="minorHAnsi"/>
        </w:rPr>
      </w:pPr>
    </w:p>
    <w:sectPr w:rsidR="00F6291A" w:rsidRPr="009E4E36" w:rsidSect="00AF322D">
      <w:footerReference w:type="default" r:id="rId12"/>
      <w:pgSz w:w="16838" w:h="11906" w:orient="landscape"/>
      <w:pgMar w:top="1418" w:right="1701" w:bottom="28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658D" w14:textId="77777777" w:rsidR="003D53F5" w:rsidRDefault="003D53F5" w:rsidP="009D3995">
      <w:pPr>
        <w:spacing w:after="0"/>
      </w:pPr>
      <w:r>
        <w:separator/>
      </w:r>
    </w:p>
  </w:endnote>
  <w:endnote w:type="continuationSeparator" w:id="0">
    <w:p w14:paraId="5C443D5E" w14:textId="77777777" w:rsidR="003D53F5" w:rsidRDefault="003D53F5" w:rsidP="009D3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ADA6" w14:textId="77777777" w:rsidR="00F6213B" w:rsidRDefault="00F6213B" w:rsidP="00BA228F">
    <w:pPr>
      <w:pStyle w:val="Footer"/>
      <w:jc w:val="right"/>
    </w:pPr>
    <w:r>
      <w:rPr>
        <w:noProof/>
        <w:lang w:eastAsia="lt-LT"/>
      </w:rPr>
      <w:drawing>
        <wp:inline distT="0" distB="0" distL="0" distR="0" wp14:anchorId="1D1C5D12" wp14:editId="642B49EA">
          <wp:extent cx="621665" cy="5911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874C" w14:textId="77777777" w:rsidR="003D53F5" w:rsidRDefault="003D53F5" w:rsidP="009D3995">
      <w:pPr>
        <w:spacing w:after="0"/>
      </w:pPr>
      <w:r>
        <w:separator/>
      </w:r>
    </w:p>
  </w:footnote>
  <w:footnote w:type="continuationSeparator" w:id="0">
    <w:p w14:paraId="7B461966" w14:textId="77777777" w:rsidR="003D53F5" w:rsidRDefault="003D53F5" w:rsidP="009D3995">
      <w:pPr>
        <w:spacing w:after="0"/>
      </w:pPr>
      <w:r>
        <w:continuationSeparator/>
      </w:r>
    </w:p>
  </w:footnote>
  <w:footnote w:id="1">
    <w:p w14:paraId="784B3A62" w14:textId="77777777" w:rsidR="00C27F77" w:rsidRPr="00350C8E" w:rsidRDefault="00C27F77" w:rsidP="00C27F77">
      <w:pPr>
        <w:pStyle w:val="FootnoteText"/>
        <w:spacing w:before="0"/>
        <w:rPr>
          <w:rFonts w:ascii="DM Sans" w:hAnsi="DM Sans" w:cs="Times New Roman"/>
          <w:i w:val="0"/>
          <w:iCs w:val="0"/>
          <w:color w:val="1F4E79" w:themeColor="accent1" w:themeShade="80"/>
          <w:sz w:val="20"/>
          <w:lang w:val="lt-LT"/>
        </w:rPr>
      </w:pPr>
      <w:r w:rsidRPr="00350C8E">
        <w:rPr>
          <w:rStyle w:val="FootnoteReference"/>
          <w:rFonts w:ascii="DM Sans" w:hAnsi="DM Sans" w:cs="Times New Roman"/>
          <w:i w:val="0"/>
          <w:iCs w:val="0"/>
          <w:color w:val="1F4E79" w:themeColor="accent1" w:themeShade="80"/>
          <w:sz w:val="20"/>
          <w:lang w:val="lt-LT"/>
        </w:rPr>
        <w:footnoteRef/>
      </w:r>
      <w:r w:rsidRPr="00350C8E">
        <w:rPr>
          <w:rFonts w:ascii="DM Sans" w:hAnsi="DM Sans" w:cs="Times New Roman"/>
          <w:i w:val="0"/>
          <w:iCs w:val="0"/>
          <w:color w:val="1F4E79" w:themeColor="accent1" w:themeShade="80"/>
          <w:sz w:val="20"/>
          <w:lang w:val="lt-LT"/>
        </w:rPr>
        <w:t xml:space="preserve"> Pateikta kaina nelaikytina pasiūlymu ir bus naudojama tik rinkos tyrimo tikslais, siekiant tinkamai pasirengti būsimam pirkimui.</w:t>
      </w:r>
    </w:p>
  </w:footnote>
  <w:footnote w:id="2">
    <w:p w14:paraId="7D7028A6" w14:textId="77777777" w:rsidR="001B6CEA" w:rsidRPr="00B83C29" w:rsidRDefault="001B6CEA" w:rsidP="001B6CEA">
      <w:pPr>
        <w:pStyle w:val="FootnoteText"/>
        <w:spacing w:before="0"/>
        <w:rPr>
          <w:rFonts w:ascii="Times New Roman" w:hAnsi="Times New Roman" w:cs="Times New Roman"/>
          <w:i w:val="0"/>
          <w:iCs w:val="0"/>
          <w:color w:val="auto"/>
          <w:sz w:val="20"/>
          <w:lang w:val="lt-LT"/>
        </w:rPr>
      </w:pPr>
      <w:r w:rsidRPr="00350C8E">
        <w:rPr>
          <w:rStyle w:val="FootnoteReference"/>
          <w:rFonts w:ascii="DM Sans" w:hAnsi="DM Sans" w:cs="Times New Roman"/>
          <w:i w:val="0"/>
          <w:iCs w:val="0"/>
          <w:color w:val="1F4E79" w:themeColor="accent1" w:themeShade="80"/>
          <w:sz w:val="20"/>
        </w:rPr>
        <w:footnoteRef/>
      </w:r>
      <w:r w:rsidRPr="00350C8E">
        <w:rPr>
          <w:rFonts w:ascii="DM Sans" w:hAnsi="DM Sans" w:cs="Times New Roman"/>
          <w:i w:val="0"/>
          <w:iCs w:val="0"/>
          <w:color w:val="1F4E79" w:themeColor="accent1" w:themeShade="80"/>
          <w:sz w:val="20"/>
          <w:lang w:val="pt-PT"/>
        </w:rPr>
        <w:t xml:space="preserve"> </w:t>
      </w:r>
      <w:r w:rsidRPr="00350C8E">
        <w:rPr>
          <w:rFonts w:ascii="DM Sans" w:hAnsi="DM Sans" w:cs="Times New Roman"/>
          <w:i w:val="0"/>
          <w:iCs w:val="0"/>
          <w:color w:val="1F4E79" w:themeColor="accent1" w:themeShade="80"/>
          <w:sz w:val="20"/>
          <w:lang w:val="lt-LT"/>
        </w:rPr>
        <w:t>Esant galimybei, prašome pateikti gamintojo techninę dokumentaciją ir (ar) brošiūras ir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73E"/>
    <w:multiLevelType w:val="hybridMultilevel"/>
    <w:tmpl w:val="994A1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65359"/>
    <w:multiLevelType w:val="hybridMultilevel"/>
    <w:tmpl w:val="9626D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AE567A"/>
    <w:multiLevelType w:val="hybridMultilevel"/>
    <w:tmpl w:val="B23AD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7C0EC4"/>
    <w:multiLevelType w:val="multilevel"/>
    <w:tmpl w:val="0654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2D263D"/>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E2DF3"/>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4E7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0962B4"/>
    <w:multiLevelType w:val="hybridMultilevel"/>
    <w:tmpl w:val="CFA0B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930FD9"/>
    <w:multiLevelType w:val="multilevel"/>
    <w:tmpl w:val="39144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E527DA"/>
    <w:multiLevelType w:val="hybridMultilevel"/>
    <w:tmpl w:val="05783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11578B"/>
    <w:multiLevelType w:val="hybridMultilevel"/>
    <w:tmpl w:val="080C0982"/>
    <w:lvl w:ilvl="0" w:tplc="4B9ACD00">
      <w:start w:val="1"/>
      <w:numFmt w:val="upperRoman"/>
      <w:lvlText w:val="%1."/>
      <w:lvlJc w:val="left"/>
      <w:pPr>
        <w:ind w:left="1434" w:hanging="720"/>
      </w:pPr>
      <w:rPr>
        <w:rFonts w:hint="default"/>
        <w:color w:val="FFFFFF" w:themeColor="background1"/>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4" w15:restartNumberingAfterBreak="0">
    <w:nsid w:val="2F7D1AA7"/>
    <w:multiLevelType w:val="hybridMultilevel"/>
    <w:tmpl w:val="7D4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F2BE0"/>
    <w:multiLevelType w:val="multilevel"/>
    <w:tmpl w:val="B4F80EC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9937AE"/>
    <w:multiLevelType w:val="multilevel"/>
    <w:tmpl w:val="767035DC"/>
    <w:lvl w:ilvl="0">
      <w:start w:val="13"/>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17" w15:restartNumberingAfterBreak="0">
    <w:nsid w:val="3A9D68DF"/>
    <w:multiLevelType w:val="multilevel"/>
    <w:tmpl w:val="767035DC"/>
    <w:lvl w:ilvl="0">
      <w:start w:val="13"/>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18" w15:restartNumberingAfterBreak="0">
    <w:nsid w:val="3C653CD7"/>
    <w:multiLevelType w:val="hybridMultilevel"/>
    <w:tmpl w:val="95E04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283D04"/>
    <w:multiLevelType w:val="hybridMultilevel"/>
    <w:tmpl w:val="78A8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2F025F"/>
    <w:multiLevelType w:val="hybridMultilevel"/>
    <w:tmpl w:val="3B2EE1FE"/>
    <w:lvl w:ilvl="0" w:tplc="04270001">
      <w:start w:val="1"/>
      <w:numFmt w:val="bullet"/>
      <w:lvlText w:val=""/>
      <w:lvlJc w:val="left"/>
      <w:pPr>
        <w:ind w:left="1492" w:hanging="360"/>
      </w:pPr>
      <w:rPr>
        <w:rFonts w:ascii="Symbol" w:hAnsi="Symbol" w:hint="default"/>
      </w:rPr>
    </w:lvl>
    <w:lvl w:ilvl="1" w:tplc="04270003" w:tentative="1">
      <w:start w:val="1"/>
      <w:numFmt w:val="bullet"/>
      <w:lvlText w:val="o"/>
      <w:lvlJc w:val="left"/>
      <w:pPr>
        <w:ind w:left="2212" w:hanging="360"/>
      </w:pPr>
      <w:rPr>
        <w:rFonts w:ascii="Courier New" w:hAnsi="Courier New" w:cs="Courier New" w:hint="default"/>
      </w:rPr>
    </w:lvl>
    <w:lvl w:ilvl="2" w:tplc="04270005" w:tentative="1">
      <w:start w:val="1"/>
      <w:numFmt w:val="bullet"/>
      <w:lvlText w:val=""/>
      <w:lvlJc w:val="left"/>
      <w:pPr>
        <w:ind w:left="2932" w:hanging="360"/>
      </w:pPr>
      <w:rPr>
        <w:rFonts w:ascii="Wingdings" w:hAnsi="Wingdings" w:hint="default"/>
      </w:rPr>
    </w:lvl>
    <w:lvl w:ilvl="3" w:tplc="04270001" w:tentative="1">
      <w:start w:val="1"/>
      <w:numFmt w:val="bullet"/>
      <w:lvlText w:val=""/>
      <w:lvlJc w:val="left"/>
      <w:pPr>
        <w:ind w:left="3652" w:hanging="360"/>
      </w:pPr>
      <w:rPr>
        <w:rFonts w:ascii="Symbol" w:hAnsi="Symbol" w:hint="default"/>
      </w:rPr>
    </w:lvl>
    <w:lvl w:ilvl="4" w:tplc="04270003" w:tentative="1">
      <w:start w:val="1"/>
      <w:numFmt w:val="bullet"/>
      <w:lvlText w:val="o"/>
      <w:lvlJc w:val="left"/>
      <w:pPr>
        <w:ind w:left="4372" w:hanging="360"/>
      </w:pPr>
      <w:rPr>
        <w:rFonts w:ascii="Courier New" w:hAnsi="Courier New" w:cs="Courier New" w:hint="default"/>
      </w:rPr>
    </w:lvl>
    <w:lvl w:ilvl="5" w:tplc="04270005" w:tentative="1">
      <w:start w:val="1"/>
      <w:numFmt w:val="bullet"/>
      <w:lvlText w:val=""/>
      <w:lvlJc w:val="left"/>
      <w:pPr>
        <w:ind w:left="5092" w:hanging="360"/>
      </w:pPr>
      <w:rPr>
        <w:rFonts w:ascii="Wingdings" w:hAnsi="Wingdings" w:hint="default"/>
      </w:rPr>
    </w:lvl>
    <w:lvl w:ilvl="6" w:tplc="04270001" w:tentative="1">
      <w:start w:val="1"/>
      <w:numFmt w:val="bullet"/>
      <w:lvlText w:val=""/>
      <w:lvlJc w:val="left"/>
      <w:pPr>
        <w:ind w:left="5812" w:hanging="360"/>
      </w:pPr>
      <w:rPr>
        <w:rFonts w:ascii="Symbol" w:hAnsi="Symbol" w:hint="default"/>
      </w:rPr>
    </w:lvl>
    <w:lvl w:ilvl="7" w:tplc="04270003" w:tentative="1">
      <w:start w:val="1"/>
      <w:numFmt w:val="bullet"/>
      <w:lvlText w:val="o"/>
      <w:lvlJc w:val="left"/>
      <w:pPr>
        <w:ind w:left="6532" w:hanging="360"/>
      </w:pPr>
      <w:rPr>
        <w:rFonts w:ascii="Courier New" w:hAnsi="Courier New" w:cs="Courier New" w:hint="default"/>
      </w:rPr>
    </w:lvl>
    <w:lvl w:ilvl="8" w:tplc="04270005" w:tentative="1">
      <w:start w:val="1"/>
      <w:numFmt w:val="bullet"/>
      <w:lvlText w:val=""/>
      <w:lvlJc w:val="left"/>
      <w:pPr>
        <w:ind w:left="7252" w:hanging="360"/>
      </w:pPr>
      <w:rPr>
        <w:rFonts w:ascii="Wingdings" w:hAnsi="Wingdings" w:hint="default"/>
      </w:rPr>
    </w:lvl>
  </w:abstractNum>
  <w:abstractNum w:abstractNumId="21" w15:restartNumberingAfterBreak="0">
    <w:nsid w:val="436667FC"/>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2" w15:restartNumberingAfterBreak="0">
    <w:nsid w:val="4D811ACD"/>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2D5883"/>
    <w:multiLevelType w:val="multilevel"/>
    <w:tmpl w:val="0654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7379A9"/>
    <w:multiLevelType w:val="hybridMultilevel"/>
    <w:tmpl w:val="19D8E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7B4E85"/>
    <w:multiLevelType w:val="hybridMultilevel"/>
    <w:tmpl w:val="05AAB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9C3B59"/>
    <w:multiLevelType w:val="multilevel"/>
    <w:tmpl w:val="8752EDD6"/>
    <w:lvl w:ilvl="0">
      <w:start w:val="6"/>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start w:val="1"/>
      <w:numFmt w:val="decimal"/>
      <w:lvlText w:val="%5."/>
      <w:lvlJc w:val="left"/>
      <w:pPr>
        <w:tabs>
          <w:tab w:val="num" w:pos="4320"/>
        </w:tabs>
        <w:ind w:left="4320" w:hanging="360"/>
      </w:pPr>
      <w:rPr>
        <w:rFonts w:hint="default"/>
        <w:i w:val="0"/>
        <w:iCs/>
        <w:sz w:val="20"/>
      </w:rPr>
    </w:lvl>
    <w:lvl w:ilvl="5">
      <w:start w:val="1"/>
      <w:numFmt w:val="decimal"/>
      <w:lvlText w:val="%6."/>
      <w:lvlJc w:val="left"/>
      <w:pPr>
        <w:tabs>
          <w:tab w:val="num" w:pos="5040"/>
        </w:tabs>
        <w:ind w:left="5040" w:hanging="360"/>
      </w:pPr>
      <w:rPr>
        <w:rFonts w:hint="default"/>
        <w:sz w:val="20"/>
      </w:rPr>
    </w:lvl>
    <w:lvl w:ilvl="6">
      <w:start w:val="1"/>
      <w:numFmt w:val="decimal"/>
      <w:lvlText w:val="%7."/>
      <w:lvlJc w:val="left"/>
      <w:pPr>
        <w:tabs>
          <w:tab w:val="num" w:pos="5760"/>
        </w:tabs>
        <w:ind w:left="5760" w:hanging="360"/>
      </w:pPr>
      <w:rPr>
        <w:rFonts w:hint="default"/>
        <w:sz w:val="20"/>
      </w:rPr>
    </w:lvl>
    <w:lvl w:ilvl="7">
      <w:start w:val="1"/>
      <w:numFmt w:val="decimal"/>
      <w:lvlText w:val="%8."/>
      <w:lvlJc w:val="left"/>
      <w:pPr>
        <w:tabs>
          <w:tab w:val="num" w:pos="6480"/>
        </w:tabs>
        <w:ind w:left="6480" w:hanging="360"/>
      </w:pPr>
      <w:rPr>
        <w:rFonts w:hint="default"/>
        <w:sz w:val="20"/>
      </w:rPr>
    </w:lvl>
    <w:lvl w:ilvl="8">
      <w:start w:val="1"/>
      <w:numFmt w:val="decimal"/>
      <w:lvlText w:val="%9."/>
      <w:lvlJc w:val="left"/>
      <w:pPr>
        <w:tabs>
          <w:tab w:val="num" w:pos="7200"/>
        </w:tabs>
        <w:ind w:left="7200" w:hanging="360"/>
      </w:pPr>
      <w:rPr>
        <w:rFonts w:hint="default"/>
        <w:sz w:val="20"/>
      </w:rPr>
    </w:lvl>
  </w:abstractNum>
  <w:abstractNum w:abstractNumId="29" w15:restartNumberingAfterBreak="0">
    <w:nsid w:val="67515693"/>
    <w:multiLevelType w:val="hybridMultilevel"/>
    <w:tmpl w:val="2AB6ED8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68764D61"/>
    <w:multiLevelType w:val="multilevel"/>
    <w:tmpl w:val="691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7680D"/>
    <w:multiLevelType w:val="multilevel"/>
    <w:tmpl w:val="8752EDD6"/>
    <w:lvl w:ilvl="0">
      <w:start w:val="6"/>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start w:val="1"/>
      <w:numFmt w:val="decimal"/>
      <w:lvlText w:val="%5."/>
      <w:lvlJc w:val="left"/>
      <w:pPr>
        <w:tabs>
          <w:tab w:val="num" w:pos="4320"/>
        </w:tabs>
        <w:ind w:left="4320" w:hanging="360"/>
      </w:pPr>
      <w:rPr>
        <w:rFonts w:hint="default"/>
        <w:i w:val="0"/>
        <w:iCs/>
        <w:sz w:val="20"/>
      </w:rPr>
    </w:lvl>
    <w:lvl w:ilvl="5">
      <w:start w:val="1"/>
      <w:numFmt w:val="decimal"/>
      <w:lvlText w:val="%6."/>
      <w:lvlJc w:val="left"/>
      <w:pPr>
        <w:tabs>
          <w:tab w:val="num" w:pos="5040"/>
        </w:tabs>
        <w:ind w:left="5040" w:hanging="360"/>
      </w:pPr>
      <w:rPr>
        <w:rFonts w:hint="default"/>
        <w:sz w:val="20"/>
      </w:rPr>
    </w:lvl>
    <w:lvl w:ilvl="6">
      <w:start w:val="1"/>
      <w:numFmt w:val="decimal"/>
      <w:lvlText w:val="%7."/>
      <w:lvlJc w:val="left"/>
      <w:pPr>
        <w:tabs>
          <w:tab w:val="num" w:pos="5760"/>
        </w:tabs>
        <w:ind w:left="5760" w:hanging="360"/>
      </w:pPr>
      <w:rPr>
        <w:rFonts w:hint="default"/>
        <w:sz w:val="20"/>
      </w:rPr>
    </w:lvl>
    <w:lvl w:ilvl="7">
      <w:start w:val="1"/>
      <w:numFmt w:val="decimal"/>
      <w:lvlText w:val="%8."/>
      <w:lvlJc w:val="left"/>
      <w:pPr>
        <w:tabs>
          <w:tab w:val="num" w:pos="6480"/>
        </w:tabs>
        <w:ind w:left="6480" w:hanging="360"/>
      </w:pPr>
      <w:rPr>
        <w:rFonts w:hint="default"/>
        <w:sz w:val="20"/>
      </w:rPr>
    </w:lvl>
    <w:lvl w:ilvl="8">
      <w:start w:val="1"/>
      <w:numFmt w:val="decimal"/>
      <w:lvlText w:val="%9."/>
      <w:lvlJc w:val="left"/>
      <w:pPr>
        <w:tabs>
          <w:tab w:val="num" w:pos="7200"/>
        </w:tabs>
        <w:ind w:left="7200" w:hanging="360"/>
      </w:pPr>
      <w:rPr>
        <w:rFonts w:hint="default"/>
        <w:sz w:val="20"/>
      </w:rPr>
    </w:lvl>
  </w:abstractNum>
  <w:abstractNum w:abstractNumId="32" w15:restartNumberingAfterBreak="0">
    <w:nsid w:val="6D1E5ACD"/>
    <w:multiLevelType w:val="hybridMultilevel"/>
    <w:tmpl w:val="5C7EA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333412"/>
    <w:multiLevelType w:val="multilevel"/>
    <w:tmpl w:val="8752EDD6"/>
    <w:lvl w:ilvl="0">
      <w:start w:val="6"/>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start w:val="1"/>
      <w:numFmt w:val="decimal"/>
      <w:lvlText w:val="%5."/>
      <w:lvlJc w:val="left"/>
      <w:pPr>
        <w:tabs>
          <w:tab w:val="num" w:pos="4320"/>
        </w:tabs>
        <w:ind w:left="4320" w:hanging="360"/>
      </w:pPr>
      <w:rPr>
        <w:rFonts w:hint="default"/>
        <w:i w:val="0"/>
        <w:iCs/>
        <w:sz w:val="20"/>
      </w:rPr>
    </w:lvl>
    <w:lvl w:ilvl="5">
      <w:start w:val="1"/>
      <w:numFmt w:val="decimal"/>
      <w:lvlText w:val="%6."/>
      <w:lvlJc w:val="left"/>
      <w:pPr>
        <w:tabs>
          <w:tab w:val="num" w:pos="5040"/>
        </w:tabs>
        <w:ind w:left="5040" w:hanging="360"/>
      </w:pPr>
      <w:rPr>
        <w:rFonts w:hint="default"/>
        <w:sz w:val="20"/>
      </w:rPr>
    </w:lvl>
    <w:lvl w:ilvl="6">
      <w:start w:val="1"/>
      <w:numFmt w:val="decimal"/>
      <w:lvlText w:val="%7."/>
      <w:lvlJc w:val="left"/>
      <w:pPr>
        <w:tabs>
          <w:tab w:val="num" w:pos="5760"/>
        </w:tabs>
        <w:ind w:left="5760" w:hanging="360"/>
      </w:pPr>
      <w:rPr>
        <w:rFonts w:hint="default"/>
        <w:sz w:val="20"/>
      </w:rPr>
    </w:lvl>
    <w:lvl w:ilvl="7">
      <w:start w:val="1"/>
      <w:numFmt w:val="decimal"/>
      <w:lvlText w:val="%8."/>
      <w:lvlJc w:val="left"/>
      <w:pPr>
        <w:tabs>
          <w:tab w:val="num" w:pos="6480"/>
        </w:tabs>
        <w:ind w:left="6480" w:hanging="360"/>
      </w:pPr>
      <w:rPr>
        <w:rFonts w:hint="default"/>
        <w:sz w:val="20"/>
      </w:rPr>
    </w:lvl>
    <w:lvl w:ilvl="8">
      <w:start w:val="1"/>
      <w:numFmt w:val="decimal"/>
      <w:lvlText w:val="%9."/>
      <w:lvlJc w:val="left"/>
      <w:pPr>
        <w:tabs>
          <w:tab w:val="num" w:pos="7200"/>
        </w:tabs>
        <w:ind w:left="7200" w:hanging="360"/>
      </w:pPr>
      <w:rPr>
        <w:rFonts w:hint="default"/>
        <w:sz w:val="20"/>
      </w:rPr>
    </w:lvl>
  </w:abstractNum>
  <w:abstractNum w:abstractNumId="34"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24CC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7"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1F4D2D"/>
    <w:multiLevelType w:val="hybridMultilevel"/>
    <w:tmpl w:val="03E4B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954F55"/>
    <w:multiLevelType w:val="multilevel"/>
    <w:tmpl w:val="6C40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685475">
    <w:abstractNumId w:val="32"/>
  </w:num>
  <w:num w:numId="2" w16cid:durableId="786192518">
    <w:abstractNumId w:val="13"/>
  </w:num>
  <w:num w:numId="3" w16cid:durableId="723404895">
    <w:abstractNumId w:val="27"/>
  </w:num>
  <w:num w:numId="4" w16cid:durableId="1448306454">
    <w:abstractNumId w:val="37"/>
  </w:num>
  <w:num w:numId="5" w16cid:durableId="1944800228">
    <w:abstractNumId w:val="4"/>
  </w:num>
  <w:num w:numId="6" w16cid:durableId="1766344088">
    <w:abstractNumId w:val="23"/>
  </w:num>
  <w:num w:numId="7" w16cid:durableId="476609255">
    <w:abstractNumId w:val="1"/>
  </w:num>
  <w:num w:numId="8" w16cid:durableId="2097168887">
    <w:abstractNumId w:val="18"/>
  </w:num>
  <w:num w:numId="9" w16cid:durableId="1681468473">
    <w:abstractNumId w:val="5"/>
  </w:num>
  <w:num w:numId="10" w16cid:durableId="978338200">
    <w:abstractNumId w:val="3"/>
  </w:num>
  <w:num w:numId="11" w16cid:durableId="406654521">
    <w:abstractNumId w:val="34"/>
  </w:num>
  <w:num w:numId="12" w16cid:durableId="1062560656">
    <w:abstractNumId w:val="29"/>
  </w:num>
  <w:num w:numId="13" w16cid:durableId="1886524704">
    <w:abstractNumId w:val="22"/>
  </w:num>
  <w:num w:numId="14" w16cid:durableId="306204083">
    <w:abstractNumId w:val="11"/>
  </w:num>
  <w:num w:numId="15" w16cid:durableId="418253431">
    <w:abstractNumId w:val="36"/>
  </w:num>
  <w:num w:numId="16" w16cid:durableId="676814565">
    <w:abstractNumId w:val="10"/>
  </w:num>
  <w:num w:numId="17" w16cid:durableId="1757942695">
    <w:abstractNumId w:val="12"/>
  </w:num>
  <w:num w:numId="18" w16cid:durableId="815728416">
    <w:abstractNumId w:val="2"/>
  </w:num>
  <w:num w:numId="19" w16cid:durableId="210725640">
    <w:abstractNumId w:val="38"/>
  </w:num>
  <w:num w:numId="20" w16cid:durableId="41636904">
    <w:abstractNumId w:val="26"/>
  </w:num>
  <w:num w:numId="21" w16cid:durableId="1944611803">
    <w:abstractNumId w:val="20"/>
  </w:num>
  <w:num w:numId="22" w16cid:durableId="1956786042">
    <w:abstractNumId w:val="25"/>
  </w:num>
  <w:num w:numId="23" w16cid:durableId="1155607606">
    <w:abstractNumId w:val="24"/>
  </w:num>
  <w:num w:numId="24" w16cid:durableId="437413817">
    <w:abstractNumId w:val="9"/>
  </w:num>
  <w:num w:numId="25" w16cid:durableId="1635480507">
    <w:abstractNumId w:val="35"/>
  </w:num>
  <w:num w:numId="26" w16cid:durableId="796218365">
    <w:abstractNumId w:val="0"/>
  </w:num>
  <w:num w:numId="27" w16cid:durableId="396707148">
    <w:abstractNumId w:val="6"/>
  </w:num>
  <w:num w:numId="28" w16cid:durableId="1660577139">
    <w:abstractNumId w:val="14"/>
  </w:num>
  <w:num w:numId="29" w16cid:durableId="1467313655">
    <w:abstractNumId w:val="30"/>
  </w:num>
  <w:num w:numId="30" w16cid:durableId="810901624">
    <w:abstractNumId w:val="15"/>
  </w:num>
  <w:num w:numId="31" w16cid:durableId="972172910">
    <w:abstractNumId w:val="7"/>
  </w:num>
  <w:num w:numId="32" w16cid:durableId="835850726">
    <w:abstractNumId w:val="39"/>
  </w:num>
  <w:num w:numId="33" w16cid:durableId="88742390">
    <w:abstractNumId w:val="8"/>
  </w:num>
  <w:num w:numId="34" w16cid:durableId="719791537">
    <w:abstractNumId w:val="19"/>
  </w:num>
  <w:num w:numId="35" w16cid:durableId="1012533814">
    <w:abstractNumId w:val="16"/>
  </w:num>
  <w:num w:numId="36" w16cid:durableId="1233808689">
    <w:abstractNumId w:val="33"/>
  </w:num>
  <w:num w:numId="37" w16cid:durableId="2135560900">
    <w:abstractNumId w:val="21"/>
  </w:num>
  <w:num w:numId="38" w16cid:durableId="320618536">
    <w:abstractNumId w:val="31"/>
  </w:num>
  <w:num w:numId="39" w16cid:durableId="171841678">
    <w:abstractNumId w:val="28"/>
  </w:num>
  <w:num w:numId="40" w16cid:durableId="12539646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5D"/>
    <w:rsid w:val="00006009"/>
    <w:rsid w:val="0001018B"/>
    <w:rsid w:val="000228C8"/>
    <w:rsid w:val="0003488B"/>
    <w:rsid w:val="000366D4"/>
    <w:rsid w:val="00037166"/>
    <w:rsid w:val="00037C56"/>
    <w:rsid w:val="00042C0E"/>
    <w:rsid w:val="000523CF"/>
    <w:rsid w:val="00064395"/>
    <w:rsid w:val="0006748F"/>
    <w:rsid w:val="00090A77"/>
    <w:rsid w:val="0009168E"/>
    <w:rsid w:val="0009291C"/>
    <w:rsid w:val="00095F58"/>
    <w:rsid w:val="00096C2A"/>
    <w:rsid w:val="000C1362"/>
    <w:rsid w:val="000C276C"/>
    <w:rsid w:val="000C2DD4"/>
    <w:rsid w:val="000D11AB"/>
    <w:rsid w:val="000D6AC6"/>
    <w:rsid w:val="000E0781"/>
    <w:rsid w:val="000E08C7"/>
    <w:rsid w:val="000E4134"/>
    <w:rsid w:val="000E5128"/>
    <w:rsid w:val="000F3361"/>
    <w:rsid w:val="00100EED"/>
    <w:rsid w:val="001037BA"/>
    <w:rsid w:val="00135EC3"/>
    <w:rsid w:val="00144CD7"/>
    <w:rsid w:val="00144DB9"/>
    <w:rsid w:val="00163BC7"/>
    <w:rsid w:val="00174C2E"/>
    <w:rsid w:val="00183E4E"/>
    <w:rsid w:val="00183F64"/>
    <w:rsid w:val="00197B3B"/>
    <w:rsid w:val="001B4AF6"/>
    <w:rsid w:val="001B6CEA"/>
    <w:rsid w:val="001B7D86"/>
    <w:rsid w:val="001C01BD"/>
    <w:rsid w:val="001C2147"/>
    <w:rsid w:val="001C525D"/>
    <w:rsid w:val="001D0403"/>
    <w:rsid w:val="001D311A"/>
    <w:rsid w:val="001F401A"/>
    <w:rsid w:val="00204181"/>
    <w:rsid w:val="002068F0"/>
    <w:rsid w:val="002215A9"/>
    <w:rsid w:val="0024284D"/>
    <w:rsid w:val="0024545D"/>
    <w:rsid w:val="002575EA"/>
    <w:rsid w:val="002709CA"/>
    <w:rsid w:val="00287D3C"/>
    <w:rsid w:val="00292405"/>
    <w:rsid w:val="002962F8"/>
    <w:rsid w:val="002A2A94"/>
    <w:rsid w:val="002A3EA4"/>
    <w:rsid w:val="002A48CC"/>
    <w:rsid w:val="002B025C"/>
    <w:rsid w:val="002B02D8"/>
    <w:rsid w:val="002B755E"/>
    <w:rsid w:val="002D41A7"/>
    <w:rsid w:val="00307611"/>
    <w:rsid w:val="003116BD"/>
    <w:rsid w:val="00315E4F"/>
    <w:rsid w:val="003218A4"/>
    <w:rsid w:val="00325BB3"/>
    <w:rsid w:val="00332172"/>
    <w:rsid w:val="003353D7"/>
    <w:rsid w:val="003459C6"/>
    <w:rsid w:val="00347243"/>
    <w:rsid w:val="003505D7"/>
    <w:rsid w:val="0035098C"/>
    <w:rsid w:val="00353193"/>
    <w:rsid w:val="00360A9D"/>
    <w:rsid w:val="00361209"/>
    <w:rsid w:val="003645C5"/>
    <w:rsid w:val="00371B5A"/>
    <w:rsid w:val="00372DF5"/>
    <w:rsid w:val="00390909"/>
    <w:rsid w:val="003A2649"/>
    <w:rsid w:val="003A5E89"/>
    <w:rsid w:val="003B3B35"/>
    <w:rsid w:val="003D1A5B"/>
    <w:rsid w:val="003D53F5"/>
    <w:rsid w:val="003D66BE"/>
    <w:rsid w:val="003E3974"/>
    <w:rsid w:val="003F238F"/>
    <w:rsid w:val="003F3496"/>
    <w:rsid w:val="0040102C"/>
    <w:rsid w:val="00405B84"/>
    <w:rsid w:val="00407E59"/>
    <w:rsid w:val="0041397F"/>
    <w:rsid w:val="00417A87"/>
    <w:rsid w:val="00417C03"/>
    <w:rsid w:val="004274E8"/>
    <w:rsid w:val="00434016"/>
    <w:rsid w:val="0044000A"/>
    <w:rsid w:val="00441567"/>
    <w:rsid w:val="00441672"/>
    <w:rsid w:val="0044232F"/>
    <w:rsid w:val="00446FED"/>
    <w:rsid w:val="00452E6D"/>
    <w:rsid w:val="00455527"/>
    <w:rsid w:val="00465099"/>
    <w:rsid w:val="00465BA5"/>
    <w:rsid w:val="0046606B"/>
    <w:rsid w:val="00470DA7"/>
    <w:rsid w:val="004761FA"/>
    <w:rsid w:val="00477352"/>
    <w:rsid w:val="00485150"/>
    <w:rsid w:val="00494B00"/>
    <w:rsid w:val="004A3352"/>
    <w:rsid w:val="004A3646"/>
    <w:rsid w:val="004B3D6B"/>
    <w:rsid w:val="004B6134"/>
    <w:rsid w:val="004E2D3E"/>
    <w:rsid w:val="004E5377"/>
    <w:rsid w:val="004E627E"/>
    <w:rsid w:val="00500399"/>
    <w:rsid w:val="00501641"/>
    <w:rsid w:val="005205BC"/>
    <w:rsid w:val="00541789"/>
    <w:rsid w:val="00561435"/>
    <w:rsid w:val="00574EF6"/>
    <w:rsid w:val="00583E05"/>
    <w:rsid w:val="00593907"/>
    <w:rsid w:val="00597605"/>
    <w:rsid w:val="005A5CA8"/>
    <w:rsid w:val="005F3A7A"/>
    <w:rsid w:val="00603735"/>
    <w:rsid w:val="00605057"/>
    <w:rsid w:val="00612BD7"/>
    <w:rsid w:val="0062674E"/>
    <w:rsid w:val="00631474"/>
    <w:rsid w:val="0063355C"/>
    <w:rsid w:val="0064156C"/>
    <w:rsid w:val="00644E43"/>
    <w:rsid w:val="006560E0"/>
    <w:rsid w:val="006711E8"/>
    <w:rsid w:val="00673BDF"/>
    <w:rsid w:val="006841B2"/>
    <w:rsid w:val="006935F5"/>
    <w:rsid w:val="006A41D7"/>
    <w:rsid w:val="006A7072"/>
    <w:rsid w:val="006B10C4"/>
    <w:rsid w:val="006B61AA"/>
    <w:rsid w:val="006C2EE2"/>
    <w:rsid w:val="006C6C3F"/>
    <w:rsid w:val="006F6EF0"/>
    <w:rsid w:val="007214E0"/>
    <w:rsid w:val="00732E21"/>
    <w:rsid w:val="00740525"/>
    <w:rsid w:val="0074194F"/>
    <w:rsid w:val="007467D9"/>
    <w:rsid w:val="00747D1C"/>
    <w:rsid w:val="0076128A"/>
    <w:rsid w:val="00773C63"/>
    <w:rsid w:val="00774953"/>
    <w:rsid w:val="007A0C32"/>
    <w:rsid w:val="007A15B7"/>
    <w:rsid w:val="007A1676"/>
    <w:rsid w:val="007A4335"/>
    <w:rsid w:val="007B4F1F"/>
    <w:rsid w:val="007C4E2F"/>
    <w:rsid w:val="007D44C1"/>
    <w:rsid w:val="007E1BD0"/>
    <w:rsid w:val="007E2CAC"/>
    <w:rsid w:val="007E5626"/>
    <w:rsid w:val="007F352E"/>
    <w:rsid w:val="007F422C"/>
    <w:rsid w:val="008100F5"/>
    <w:rsid w:val="00824A70"/>
    <w:rsid w:val="00832858"/>
    <w:rsid w:val="00854241"/>
    <w:rsid w:val="00855DCD"/>
    <w:rsid w:val="00866C34"/>
    <w:rsid w:val="00867AFD"/>
    <w:rsid w:val="008738D4"/>
    <w:rsid w:val="008745A9"/>
    <w:rsid w:val="008843D1"/>
    <w:rsid w:val="00884B1E"/>
    <w:rsid w:val="008A30EC"/>
    <w:rsid w:val="008C23D0"/>
    <w:rsid w:val="008C30AD"/>
    <w:rsid w:val="008C3C82"/>
    <w:rsid w:val="008C62D6"/>
    <w:rsid w:val="008D5B60"/>
    <w:rsid w:val="008E340D"/>
    <w:rsid w:val="008F2DA3"/>
    <w:rsid w:val="008F5036"/>
    <w:rsid w:val="008F607D"/>
    <w:rsid w:val="00901841"/>
    <w:rsid w:val="0094390D"/>
    <w:rsid w:val="009448AE"/>
    <w:rsid w:val="0094595E"/>
    <w:rsid w:val="00946C81"/>
    <w:rsid w:val="00961C39"/>
    <w:rsid w:val="00964F4A"/>
    <w:rsid w:val="009651B0"/>
    <w:rsid w:val="00972177"/>
    <w:rsid w:val="00973F47"/>
    <w:rsid w:val="00976EB1"/>
    <w:rsid w:val="00986103"/>
    <w:rsid w:val="009975C2"/>
    <w:rsid w:val="009B1139"/>
    <w:rsid w:val="009C2847"/>
    <w:rsid w:val="009D3995"/>
    <w:rsid w:val="009D6B7C"/>
    <w:rsid w:val="009E4E36"/>
    <w:rsid w:val="009F1D50"/>
    <w:rsid w:val="009F3AFD"/>
    <w:rsid w:val="00A05843"/>
    <w:rsid w:val="00A068FC"/>
    <w:rsid w:val="00A06A86"/>
    <w:rsid w:val="00A11571"/>
    <w:rsid w:val="00A11D5B"/>
    <w:rsid w:val="00A16370"/>
    <w:rsid w:val="00A2763E"/>
    <w:rsid w:val="00A42B9E"/>
    <w:rsid w:val="00A50323"/>
    <w:rsid w:val="00A538DC"/>
    <w:rsid w:val="00A67688"/>
    <w:rsid w:val="00A70F6A"/>
    <w:rsid w:val="00A75031"/>
    <w:rsid w:val="00A76419"/>
    <w:rsid w:val="00A800F0"/>
    <w:rsid w:val="00A824A1"/>
    <w:rsid w:val="00A93802"/>
    <w:rsid w:val="00AA0633"/>
    <w:rsid w:val="00AA1EE5"/>
    <w:rsid w:val="00AA5A4F"/>
    <w:rsid w:val="00AA772D"/>
    <w:rsid w:val="00AB0FB8"/>
    <w:rsid w:val="00AB18C8"/>
    <w:rsid w:val="00AB2DBE"/>
    <w:rsid w:val="00AC44CA"/>
    <w:rsid w:val="00AE1576"/>
    <w:rsid w:val="00AE5782"/>
    <w:rsid w:val="00AE6539"/>
    <w:rsid w:val="00AF2789"/>
    <w:rsid w:val="00AF322D"/>
    <w:rsid w:val="00AF69F6"/>
    <w:rsid w:val="00AF73A5"/>
    <w:rsid w:val="00B04B58"/>
    <w:rsid w:val="00B161B2"/>
    <w:rsid w:val="00B169D8"/>
    <w:rsid w:val="00B23C2C"/>
    <w:rsid w:val="00B2462F"/>
    <w:rsid w:val="00B4368A"/>
    <w:rsid w:val="00B75A94"/>
    <w:rsid w:val="00B835EC"/>
    <w:rsid w:val="00B84E7E"/>
    <w:rsid w:val="00B924DC"/>
    <w:rsid w:val="00BA228F"/>
    <w:rsid w:val="00BA47C0"/>
    <w:rsid w:val="00BA4AFF"/>
    <w:rsid w:val="00BB4C29"/>
    <w:rsid w:val="00BB568D"/>
    <w:rsid w:val="00BC0C35"/>
    <w:rsid w:val="00BC43A9"/>
    <w:rsid w:val="00BD0E99"/>
    <w:rsid w:val="00BD2A84"/>
    <w:rsid w:val="00BD6436"/>
    <w:rsid w:val="00BF1844"/>
    <w:rsid w:val="00BF7ABB"/>
    <w:rsid w:val="00C15117"/>
    <w:rsid w:val="00C20C6C"/>
    <w:rsid w:val="00C2445A"/>
    <w:rsid w:val="00C27F77"/>
    <w:rsid w:val="00C37774"/>
    <w:rsid w:val="00C52180"/>
    <w:rsid w:val="00C539D4"/>
    <w:rsid w:val="00C55B95"/>
    <w:rsid w:val="00C62532"/>
    <w:rsid w:val="00C94020"/>
    <w:rsid w:val="00CA1F14"/>
    <w:rsid w:val="00CB0CA1"/>
    <w:rsid w:val="00CB720E"/>
    <w:rsid w:val="00CC1DBF"/>
    <w:rsid w:val="00CC7576"/>
    <w:rsid w:val="00CD4FAF"/>
    <w:rsid w:val="00CE7A0D"/>
    <w:rsid w:val="00CF403D"/>
    <w:rsid w:val="00D01157"/>
    <w:rsid w:val="00D040DB"/>
    <w:rsid w:val="00D21D8F"/>
    <w:rsid w:val="00D253CF"/>
    <w:rsid w:val="00D3068B"/>
    <w:rsid w:val="00D31AC4"/>
    <w:rsid w:val="00D36AEA"/>
    <w:rsid w:val="00D37C4C"/>
    <w:rsid w:val="00D429E6"/>
    <w:rsid w:val="00D9450C"/>
    <w:rsid w:val="00D95403"/>
    <w:rsid w:val="00DA2DC0"/>
    <w:rsid w:val="00DA5923"/>
    <w:rsid w:val="00DA5A67"/>
    <w:rsid w:val="00DC0DDA"/>
    <w:rsid w:val="00DC2760"/>
    <w:rsid w:val="00DF0066"/>
    <w:rsid w:val="00DF1C49"/>
    <w:rsid w:val="00DF2EC2"/>
    <w:rsid w:val="00E05FD3"/>
    <w:rsid w:val="00E161D2"/>
    <w:rsid w:val="00E44F1B"/>
    <w:rsid w:val="00E512DD"/>
    <w:rsid w:val="00E53457"/>
    <w:rsid w:val="00E539F8"/>
    <w:rsid w:val="00E8048D"/>
    <w:rsid w:val="00E83355"/>
    <w:rsid w:val="00EA3F2D"/>
    <w:rsid w:val="00EB0F3E"/>
    <w:rsid w:val="00EB4888"/>
    <w:rsid w:val="00EC0DFD"/>
    <w:rsid w:val="00EC6ECE"/>
    <w:rsid w:val="00F13368"/>
    <w:rsid w:val="00F1535F"/>
    <w:rsid w:val="00F16496"/>
    <w:rsid w:val="00F275CA"/>
    <w:rsid w:val="00F47741"/>
    <w:rsid w:val="00F52FCE"/>
    <w:rsid w:val="00F6213B"/>
    <w:rsid w:val="00F62330"/>
    <w:rsid w:val="00F6291A"/>
    <w:rsid w:val="00F67A08"/>
    <w:rsid w:val="00F735B2"/>
    <w:rsid w:val="00F91A2D"/>
    <w:rsid w:val="00FA0A81"/>
    <w:rsid w:val="00FA51CF"/>
    <w:rsid w:val="00FE23E8"/>
    <w:rsid w:val="00FE445B"/>
    <w:rsid w:val="00FF7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E9C4"/>
  <w15:chartTrackingRefBased/>
  <w15:docId w15:val="{47106930-F1E6-4416-9240-93CC0079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71"/>
    <w:pPr>
      <w:spacing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F73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Accent5">
    <w:name w:val="Grid Table 6 Colorful Accent 5"/>
    <w:basedOn w:val="TableNormal"/>
    <w:uiPriority w:val="51"/>
    <w:rsid w:val="00AF73A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C3C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9D3995"/>
    <w:pPr>
      <w:tabs>
        <w:tab w:val="center" w:pos="4819"/>
        <w:tab w:val="right" w:pos="9638"/>
      </w:tabs>
      <w:spacing w:after="0"/>
    </w:pPr>
  </w:style>
  <w:style w:type="character" w:customStyle="1" w:styleId="HeaderChar">
    <w:name w:val="Header Char"/>
    <w:basedOn w:val="DefaultParagraphFont"/>
    <w:link w:val="Header"/>
    <w:uiPriority w:val="99"/>
    <w:rsid w:val="009D3995"/>
  </w:style>
  <w:style w:type="paragraph" w:styleId="Footer">
    <w:name w:val="footer"/>
    <w:basedOn w:val="Normal"/>
    <w:link w:val="FooterChar"/>
    <w:uiPriority w:val="99"/>
    <w:unhideWhenUsed/>
    <w:rsid w:val="009D3995"/>
    <w:pPr>
      <w:tabs>
        <w:tab w:val="center" w:pos="4819"/>
        <w:tab w:val="right" w:pos="9638"/>
      </w:tabs>
      <w:spacing w:after="0"/>
    </w:pPr>
  </w:style>
  <w:style w:type="character" w:customStyle="1" w:styleId="FooterChar">
    <w:name w:val="Footer Char"/>
    <w:basedOn w:val="DefaultParagraphFont"/>
    <w:link w:val="Footer"/>
    <w:uiPriority w:val="99"/>
    <w:rsid w:val="009D3995"/>
  </w:style>
  <w:style w:type="paragraph" w:styleId="ListParagraph">
    <w:name w:val="List Paragraph"/>
    <w:aliases w:val="List Paragraph Red,Numbering,ERP-List Paragraph,List Paragraph1,List Paragraph11,Bullet EY,List Paragraph2,List Paragraph21,Lentele,Buletai,lp1,Bullet 1,Use Case List Paragraph,List Paragraph111,Paragraph,Sąrašo pastraipa.Bullet"/>
    <w:basedOn w:val="Normal"/>
    <w:link w:val="ListParagraphChar"/>
    <w:uiPriority w:val="34"/>
    <w:qFormat/>
    <w:rsid w:val="008745A9"/>
    <w:pPr>
      <w:ind w:left="720"/>
      <w:contextualSpacing/>
    </w:pPr>
  </w:style>
  <w:style w:type="table" w:styleId="GridTable4-Accent1">
    <w:name w:val="Grid Table 4 Accent 1"/>
    <w:basedOn w:val="TableNormal"/>
    <w:uiPriority w:val="49"/>
    <w:rsid w:val="00F6291A"/>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F6291A"/>
    <w:pPr>
      <w:spacing w:before="140" w:after="0"/>
      <w:jc w:val="left"/>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F6291A"/>
    <w:rPr>
      <w:rFonts w:ascii="Calibri" w:hAnsi="Calibri"/>
      <w:i/>
      <w:iCs/>
      <w:color w:val="404040" w:themeColor="text1" w:themeTint="BF"/>
      <w:sz w:val="14"/>
      <w:szCs w:val="20"/>
      <w:lang w:val="en-US" w:eastAsia="ja-JP"/>
    </w:rPr>
  </w:style>
  <w:style w:type="character" w:styleId="FootnoteReference">
    <w:name w:val="footnote reference"/>
    <w:uiPriority w:val="99"/>
    <w:rsid w:val="00F6291A"/>
    <w:rPr>
      <w:vertAlign w:val="superscript"/>
    </w:rPr>
  </w:style>
  <w:style w:type="character" w:styleId="Hyperlink">
    <w:name w:val="Hyperlink"/>
    <w:basedOn w:val="DefaultParagraphFont"/>
    <w:uiPriority w:val="99"/>
    <w:unhideWhenUsed/>
    <w:rsid w:val="008F607D"/>
    <w:rPr>
      <w:strike w:val="0"/>
      <w:dstrike w:val="0"/>
      <w:color w:val="333333"/>
      <w:u w:val="none"/>
      <w:effect w:val="none"/>
    </w:rPr>
  </w:style>
  <w:style w:type="character" w:styleId="Strong">
    <w:name w:val="Strong"/>
    <w:basedOn w:val="DefaultParagraphFont"/>
    <w:uiPriority w:val="22"/>
    <w:qFormat/>
    <w:rsid w:val="008F607D"/>
    <w:rPr>
      <w:rFonts w:ascii="Ubuntu" w:hAnsi="Ubuntu" w:hint="default"/>
      <w:b w:val="0"/>
      <w:bCs w:val="0"/>
    </w:rPr>
  </w:style>
  <w:style w:type="character" w:customStyle="1" w:styleId="big-nums">
    <w:name w:val="big-nums"/>
    <w:basedOn w:val="DefaultParagraphFont"/>
    <w:rsid w:val="008F607D"/>
  </w:style>
  <w:style w:type="character" w:customStyle="1" w:styleId="contactemail">
    <w:name w:val="contact_email"/>
    <w:basedOn w:val="DefaultParagraphFont"/>
    <w:rsid w:val="008F607D"/>
  </w:style>
  <w:style w:type="paragraph" w:styleId="NoSpacing">
    <w:name w:val="No Spacing"/>
    <w:uiPriority w:val="1"/>
    <w:qFormat/>
    <w:rsid w:val="008F607D"/>
    <w:pPr>
      <w:spacing w:after="0" w:line="240" w:lineRule="auto"/>
    </w:p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Paragraph Char"/>
    <w:link w:val="ListParagraph"/>
    <w:qFormat/>
    <w:locked/>
    <w:rsid w:val="009B1139"/>
    <w:rPr>
      <w:rFonts w:ascii="Times New Roman" w:hAnsi="Times New Roman"/>
    </w:rPr>
  </w:style>
  <w:style w:type="character" w:styleId="SubtleEmphasis">
    <w:name w:val="Subtle Emphasis"/>
    <w:basedOn w:val="DefaultParagraphFont"/>
    <w:uiPriority w:val="19"/>
    <w:qFormat/>
    <w:rsid w:val="00CA1F14"/>
    <w:rPr>
      <w:i/>
      <w:iCs/>
      <w:color w:val="404040" w:themeColor="text1" w:themeTint="BF"/>
    </w:rPr>
  </w:style>
  <w:style w:type="character" w:styleId="CommentReference">
    <w:name w:val="annotation reference"/>
    <w:basedOn w:val="DefaultParagraphFont"/>
    <w:unhideWhenUsed/>
    <w:rsid w:val="008843D1"/>
    <w:rPr>
      <w:sz w:val="16"/>
      <w:szCs w:val="16"/>
    </w:rPr>
  </w:style>
  <w:style w:type="paragraph" w:styleId="CommentText">
    <w:name w:val="annotation text"/>
    <w:basedOn w:val="Normal"/>
    <w:link w:val="CommentTextChar"/>
    <w:uiPriority w:val="99"/>
    <w:unhideWhenUsed/>
    <w:rsid w:val="008843D1"/>
    <w:rPr>
      <w:sz w:val="20"/>
      <w:szCs w:val="20"/>
    </w:rPr>
  </w:style>
  <w:style w:type="character" w:customStyle="1" w:styleId="CommentTextChar">
    <w:name w:val="Comment Text Char"/>
    <w:basedOn w:val="DefaultParagraphFont"/>
    <w:link w:val="CommentText"/>
    <w:uiPriority w:val="99"/>
    <w:rsid w:val="008843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43D1"/>
    <w:rPr>
      <w:b/>
      <w:bCs/>
    </w:rPr>
  </w:style>
  <w:style w:type="character" w:customStyle="1" w:styleId="CommentSubjectChar">
    <w:name w:val="Comment Subject Char"/>
    <w:basedOn w:val="CommentTextChar"/>
    <w:link w:val="CommentSubject"/>
    <w:uiPriority w:val="99"/>
    <w:semiHidden/>
    <w:rsid w:val="008843D1"/>
    <w:rPr>
      <w:rFonts w:ascii="Times New Roman" w:hAnsi="Times New Roman"/>
      <w:b/>
      <w:bCs/>
      <w:sz w:val="20"/>
      <w:szCs w:val="20"/>
    </w:rPr>
  </w:style>
  <w:style w:type="paragraph" w:styleId="BalloonText">
    <w:name w:val="Balloon Text"/>
    <w:basedOn w:val="Normal"/>
    <w:link w:val="BalloonTextChar"/>
    <w:uiPriority w:val="99"/>
    <w:semiHidden/>
    <w:unhideWhenUsed/>
    <w:rsid w:val="008843D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D1"/>
    <w:rPr>
      <w:rFonts w:ascii="Segoe UI" w:hAnsi="Segoe UI" w:cs="Segoe UI"/>
      <w:sz w:val="18"/>
      <w:szCs w:val="18"/>
    </w:rPr>
  </w:style>
  <w:style w:type="paragraph" w:customStyle="1" w:styleId="Default">
    <w:name w:val="Default"/>
    <w:rsid w:val="000C2D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9">
    <w:name w:val="Char Style 9"/>
    <w:basedOn w:val="DefaultParagraphFont"/>
    <w:link w:val="Style8"/>
    <w:locked/>
    <w:rsid w:val="008E340D"/>
    <w:rPr>
      <w:shd w:val="clear" w:color="auto" w:fill="FFFFFF"/>
    </w:rPr>
  </w:style>
  <w:style w:type="paragraph" w:customStyle="1" w:styleId="Style8">
    <w:name w:val="Style 8"/>
    <w:basedOn w:val="Normal"/>
    <w:link w:val="CharStyle9"/>
    <w:rsid w:val="008E340D"/>
    <w:pPr>
      <w:widowControl w:val="0"/>
      <w:shd w:val="clear" w:color="auto" w:fill="FFFFFF"/>
      <w:spacing w:before="340" w:after="120" w:line="274" w:lineRule="exact"/>
      <w:ind w:firstLine="720"/>
    </w:pPr>
    <w:rPr>
      <w:rFonts w:asciiTheme="minorHAnsi" w:hAnsiTheme="minorHAnsi"/>
    </w:rPr>
  </w:style>
  <w:style w:type="character" w:customStyle="1" w:styleId="CharStyle18">
    <w:name w:val="Char Style 18"/>
    <w:basedOn w:val="CharStyle9"/>
    <w:rsid w:val="008E340D"/>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CharStyle20">
    <w:name w:val="Char Style 20"/>
    <w:basedOn w:val="DefaultParagraphFont"/>
    <w:rsid w:val="008E340D"/>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lang w:val="lt-LT" w:eastAsia="lt-LT" w:bidi="lt-LT"/>
    </w:rPr>
  </w:style>
  <w:style w:type="character" w:customStyle="1" w:styleId="CharStyle10">
    <w:name w:val="Char Style 10"/>
    <w:basedOn w:val="CharStyle9"/>
    <w:rsid w:val="008E340D"/>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29">
    <w:name w:val="Char Style 29"/>
    <w:basedOn w:val="CharStyle9"/>
    <w:rsid w:val="008E340D"/>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t-LT" w:eastAsia="lt-LT" w:bidi="lt-LT"/>
    </w:rPr>
  </w:style>
  <w:style w:type="character" w:styleId="Emphasis">
    <w:name w:val="Emphasis"/>
    <w:basedOn w:val="DefaultParagraphFont"/>
    <w:uiPriority w:val="20"/>
    <w:qFormat/>
    <w:rsid w:val="00A05843"/>
    <w:rPr>
      <w:i/>
      <w:iCs/>
    </w:rPr>
  </w:style>
  <w:style w:type="paragraph" w:styleId="Title">
    <w:name w:val="Title"/>
    <w:basedOn w:val="Normal"/>
    <w:next w:val="Normal"/>
    <w:link w:val="TitleChar"/>
    <w:uiPriority w:val="10"/>
    <w:qFormat/>
    <w:rsid w:val="00A11D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D5B"/>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E445B"/>
    <w:rPr>
      <w:color w:val="605E5C"/>
      <w:shd w:val="clear" w:color="auto" w:fill="E1DFDD"/>
    </w:rPr>
  </w:style>
  <w:style w:type="paragraph" w:styleId="Revision">
    <w:name w:val="Revision"/>
    <w:hidden/>
    <w:uiPriority w:val="99"/>
    <w:semiHidden/>
    <w:rsid w:val="00867AFD"/>
    <w:pPr>
      <w:spacing w:after="0" w:line="240" w:lineRule="auto"/>
    </w:pPr>
    <w:rPr>
      <w:rFonts w:ascii="Times New Roman" w:hAnsi="Times New Roman"/>
    </w:rPr>
  </w:style>
  <w:style w:type="character" w:customStyle="1" w:styleId="CharStyle6">
    <w:name w:val="Char Style 6"/>
    <w:basedOn w:val="DefaultParagraphFont"/>
    <w:link w:val="Style5"/>
    <w:rsid w:val="00F52FCE"/>
    <w:rPr>
      <w:sz w:val="20"/>
      <w:szCs w:val="20"/>
      <w:shd w:val="clear" w:color="auto" w:fill="FFFFFF"/>
    </w:rPr>
  </w:style>
  <w:style w:type="paragraph" w:customStyle="1" w:styleId="Style5">
    <w:name w:val="Style 5"/>
    <w:basedOn w:val="Normal"/>
    <w:link w:val="CharStyle6"/>
    <w:rsid w:val="00F52FCE"/>
    <w:pPr>
      <w:widowControl w:val="0"/>
      <w:shd w:val="clear" w:color="auto" w:fill="FFFFFF"/>
      <w:spacing w:before="240" w:after="0" w:line="222" w:lineRule="exact"/>
      <w:jc w:val="left"/>
    </w:pPr>
    <w:rPr>
      <w:rFonts w:asciiTheme="minorHAnsi" w:hAnsiTheme="minorHAnsi"/>
      <w:sz w:val="20"/>
      <w:szCs w:val="20"/>
    </w:rPr>
  </w:style>
  <w:style w:type="character" w:styleId="UnresolvedMention">
    <w:name w:val="Unresolved Mention"/>
    <w:basedOn w:val="DefaultParagraphFont"/>
    <w:uiPriority w:val="99"/>
    <w:semiHidden/>
    <w:unhideWhenUsed/>
    <w:rsid w:val="00A538DC"/>
    <w:rPr>
      <w:color w:val="605E5C"/>
      <w:shd w:val="clear" w:color="auto" w:fill="E1DFDD"/>
    </w:rPr>
  </w:style>
  <w:style w:type="character" w:customStyle="1" w:styleId="ui-provider">
    <w:name w:val="ui-provider"/>
    <w:basedOn w:val="DefaultParagraphFont"/>
    <w:rsid w:val="00A5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91666">
      <w:bodyDiv w:val="1"/>
      <w:marLeft w:val="0"/>
      <w:marRight w:val="0"/>
      <w:marTop w:val="0"/>
      <w:marBottom w:val="0"/>
      <w:divBdr>
        <w:top w:val="none" w:sz="0" w:space="0" w:color="auto"/>
        <w:left w:val="none" w:sz="0" w:space="0" w:color="auto"/>
        <w:bottom w:val="none" w:sz="0" w:space="0" w:color="auto"/>
        <w:right w:val="none" w:sz="0" w:space="0" w:color="auto"/>
      </w:divBdr>
    </w:div>
    <w:div w:id="469136727">
      <w:bodyDiv w:val="1"/>
      <w:marLeft w:val="0"/>
      <w:marRight w:val="0"/>
      <w:marTop w:val="0"/>
      <w:marBottom w:val="0"/>
      <w:divBdr>
        <w:top w:val="none" w:sz="0" w:space="0" w:color="auto"/>
        <w:left w:val="none" w:sz="0" w:space="0" w:color="auto"/>
        <w:bottom w:val="none" w:sz="0" w:space="0" w:color="auto"/>
        <w:right w:val="none" w:sz="0" w:space="0" w:color="auto"/>
      </w:divBdr>
      <w:divsChild>
        <w:div w:id="140580479">
          <w:marLeft w:val="0"/>
          <w:marRight w:val="0"/>
          <w:marTop w:val="0"/>
          <w:marBottom w:val="0"/>
          <w:divBdr>
            <w:top w:val="none" w:sz="0" w:space="0" w:color="auto"/>
            <w:left w:val="none" w:sz="0" w:space="0" w:color="auto"/>
            <w:bottom w:val="none" w:sz="0" w:space="0" w:color="auto"/>
            <w:right w:val="none" w:sz="0" w:space="0" w:color="auto"/>
          </w:divBdr>
          <w:divsChild>
            <w:div w:id="823275203">
              <w:marLeft w:val="0"/>
              <w:marRight w:val="0"/>
              <w:marTop w:val="0"/>
              <w:marBottom w:val="0"/>
              <w:divBdr>
                <w:top w:val="none" w:sz="0" w:space="0" w:color="auto"/>
                <w:left w:val="none" w:sz="0" w:space="0" w:color="auto"/>
                <w:bottom w:val="none" w:sz="0" w:space="0" w:color="auto"/>
                <w:right w:val="none" w:sz="0" w:space="0" w:color="auto"/>
              </w:divBdr>
              <w:divsChild>
                <w:div w:id="1918124264">
                  <w:marLeft w:val="-225"/>
                  <w:marRight w:val="-225"/>
                  <w:marTop w:val="0"/>
                  <w:marBottom w:val="0"/>
                  <w:divBdr>
                    <w:top w:val="none" w:sz="0" w:space="0" w:color="auto"/>
                    <w:left w:val="none" w:sz="0" w:space="0" w:color="auto"/>
                    <w:bottom w:val="none" w:sz="0" w:space="0" w:color="auto"/>
                    <w:right w:val="none" w:sz="0" w:space="0" w:color="auto"/>
                  </w:divBdr>
                  <w:divsChild>
                    <w:div w:id="1033767563">
                      <w:marLeft w:val="0"/>
                      <w:marRight w:val="0"/>
                      <w:marTop w:val="0"/>
                      <w:marBottom w:val="0"/>
                      <w:divBdr>
                        <w:top w:val="none" w:sz="0" w:space="0" w:color="auto"/>
                        <w:left w:val="none" w:sz="0" w:space="0" w:color="auto"/>
                        <w:bottom w:val="none" w:sz="0" w:space="0" w:color="auto"/>
                        <w:right w:val="none" w:sz="0" w:space="0" w:color="auto"/>
                      </w:divBdr>
                      <w:divsChild>
                        <w:div w:id="1119841533">
                          <w:marLeft w:val="0"/>
                          <w:marRight w:val="0"/>
                          <w:marTop w:val="0"/>
                          <w:marBottom w:val="0"/>
                          <w:divBdr>
                            <w:top w:val="none" w:sz="0" w:space="0" w:color="auto"/>
                            <w:left w:val="none" w:sz="0" w:space="0" w:color="auto"/>
                            <w:bottom w:val="none" w:sz="0" w:space="0" w:color="auto"/>
                            <w:right w:val="none" w:sz="0" w:space="0" w:color="auto"/>
                          </w:divBdr>
                          <w:divsChild>
                            <w:div w:id="890776180">
                              <w:marLeft w:val="0"/>
                              <w:marRight w:val="0"/>
                              <w:marTop w:val="0"/>
                              <w:marBottom w:val="0"/>
                              <w:divBdr>
                                <w:top w:val="none" w:sz="0" w:space="0" w:color="auto"/>
                                <w:left w:val="none" w:sz="0" w:space="0" w:color="auto"/>
                                <w:bottom w:val="none" w:sz="0" w:space="0" w:color="auto"/>
                                <w:right w:val="none" w:sz="0" w:space="0" w:color="auto"/>
                              </w:divBdr>
                              <w:divsChild>
                                <w:div w:id="1955087473">
                                  <w:marLeft w:val="-225"/>
                                  <w:marRight w:val="-225"/>
                                  <w:marTop w:val="0"/>
                                  <w:marBottom w:val="0"/>
                                  <w:divBdr>
                                    <w:top w:val="none" w:sz="0" w:space="0" w:color="auto"/>
                                    <w:left w:val="none" w:sz="0" w:space="0" w:color="auto"/>
                                    <w:bottom w:val="none" w:sz="0" w:space="0" w:color="auto"/>
                                    <w:right w:val="none" w:sz="0" w:space="0" w:color="auto"/>
                                  </w:divBdr>
                                  <w:divsChild>
                                    <w:div w:id="478763181">
                                      <w:marLeft w:val="0"/>
                                      <w:marRight w:val="0"/>
                                      <w:marTop w:val="0"/>
                                      <w:marBottom w:val="0"/>
                                      <w:divBdr>
                                        <w:top w:val="none" w:sz="0" w:space="0" w:color="auto"/>
                                        <w:left w:val="none" w:sz="0" w:space="0" w:color="auto"/>
                                        <w:bottom w:val="none" w:sz="0" w:space="0" w:color="auto"/>
                                        <w:right w:val="none" w:sz="0" w:space="0" w:color="auto"/>
                                      </w:divBdr>
                                      <w:divsChild>
                                        <w:div w:id="1372807906">
                                          <w:marLeft w:val="0"/>
                                          <w:marRight w:val="0"/>
                                          <w:marTop w:val="0"/>
                                          <w:marBottom w:val="0"/>
                                          <w:divBdr>
                                            <w:top w:val="none" w:sz="0" w:space="0" w:color="auto"/>
                                            <w:left w:val="single" w:sz="6" w:space="0" w:color="CCCCCC"/>
                                            <w:bottom w:val="single" w:sz="6" w:space="0" w:color="CCCCCC"/>
                                            <w:right w:val="single" w:sz="6" w:space="0" w:color="CCCCCC"/>
                                          </w:divBdr>
                                          <w:divsChild>
                                            <w:div w:id="1194727297">
                                              <w:marLeft w:val="0"/>
                                              <w:marRight w:val="0"/>
                                              <w:marTop w:val="0"/>
                                              <w:marBottom w:val="0"/>
                                              <w:divBdr>
                                                <w:top w:val="none" w:sz="0" w:space="0" w:color="auto"/>
                                                <w:left w:val="none" w:sz="0" w:space="0" w:color="auto"/>
                                                <w:bottom w:val="none" w:sz="0" w:space="0" w:color="auto"/>
                                                <w:right w:val="none" w:sz="0" w:space="0" w:color="auto"/>
                                              </w:divBdr>
                                              <w:divsChild>
                                                <w:div w:id="1440376214">
                                                  <w:marLeft w:val="0"/>
                                                  <w:marRight w:val="0"/>
                                                  <w:marTop w:val="0"/>
                                                  <w:marBottom w:val="300"/>
                                                  <w:divBdr>
                                                    <w:top w:val="none" w:sz="0" w:space="0" w:color="auto"/>
                                                    <w:left w:val="none" w:sz="0" w:space="0" w:color="auto"/>
                                                    <w:bottom w:val="none" w:sz="0" w:space="0" w:color="auto"/>
                                                    <w:right w:val="none" w:sz="0" w:space="0" w:color="auto"/>
                                                  </w:divBdr>
                                                  <w:divsChild>
                                                    <w:div w:id="632829981">
                                                      <w:marLeft w:val="0"/>
                                                      <w:marRight w:val="0"/>
                                                      <w:marTop w:val="0"/>
                                                      <w:marBottom w:val="0"/>
                                                      <w:divBdr>
                                                        <w:top w:val="none" w:sz="0" w:space="0" w:color="auto"/>
                                                        <w:left w:val="none" w:sz="0" w:space="0" w:color="auto"/>
                                                        <w:bottom w:val="none" w:sz="0" w:space="0" w:color="auto"/>
                                                        <w:right w:val="none" w:sz="0" w:space="0" w:color="auto"/>
                                                      </w:divBdr>
                                                      <w:divsChild>
                                                        <w:div w:id="1756053089">
                                                          <w:marLeft w:val="0"/>
                                                          <w:marRight w:val="0"/>
                                                          <w:marTop w:val="0"/>
                                                          <w:marBottom w:val="0"/>
                                                          <w:divBdr>
                                                            <w:top w:val="none" w:sz="0" w:space="0" w:color="auto"/>
                                                            <w:left w:val="none" w:sz="0" w:space="0" w:color="auto"/>
                                                            <w:bottom w:val="none" w:sz="0" w:space="0" w:color="auto"/>
                                                            <w:right w:val="none" w:sz="0" w:space="0" w:color="auto"/>
                                                          </w:divBdr>
                                                          <w:divsChild>
                                                            <w:div w:id="1093670599">
                                                              <w:marLeft w:val="0"/>
                                                              <w:marRight w:val="0"/>
                                                              <w:marTop w:val="0"/>
                                                              <w:marBottom w:val="0"/>
                                                              <w:divBdr>
                                                                <w:top w:val="none" w:sz="0" w:space="0" w:color="auto"/>
                                                                <w:left w:val="none" w:sz="0" w:space="0" w:color="auto"/>
                                                                <w:bottom w:val="none" w:sz="0" w:space="0" w:color="auto"/>
                                                                <w:right w:val="none" w:sz="0" w:space="0" w:color="auto"/>
                                                              </w:divBdr>
                                                              <w:divsChild>
                                                                <w:div w:id="329217437">
                                                                  <w:marLeft w:val="0"/>
                                                                  <w:marRight w:val="0"/>
                                                                  <w:marTop w:val="150"/>
                                                                  <w:marBottom w:val="150"/>
                                                                  <w:divBdr>
                                                                    <w:top w:val="none" w:sz="0" w:space="0" w:color="auto"/>
                                                                    <w:left w:val="none" w:sz="0" w:space="0" w:color="auto"/>
                                                                    <w:bottom w:val="none" w:sz="0" w:space="0" w:color="auto"/>
                                                                    <w:right w:val="none" w:sz="0" w:space="0" w:color="auto"/>
                                                                  </w:divBdr>
                                                                  <w:divsChild>
                                                                    <w:div w:id="1363360382">
                                                                      <w:marLeft w:val="300"/>
                                                                      <w:marRight w:val="0"/>
                                                                      <w:marTop w:val="75"/>
                                                                      <w:marBottom w:val="0"/>
                                                                      <w:divBdr>
                                                                        <w:top w:val="none" w:sz="0" w:space="0" w:color="auto"/>
                                                                        <w:left w:val="none" w:sz="0" w:space="0" w:color="auto"/>
                                                                        <w:bottom w:val="none" w:sz="0" w:space="0" w:color="auto"/>
                                                                        <w:right w:val="none" w:sz="0" w:space="0" w:color="auto"/>
                                                                      </w:divBdr>
                                                                      <w:divsChild>
                                                                        <w:div w:id="617623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70695">
      <w:bodyDiv w:val="1"/>
      <w:marLeft w:val="0"/>
      <w:marRight w:val="0"/>
      <w:marTop w:val="0"/>
      <w:marBottom w:val="0"/>
      <w:divBdr>
        <w:top w:val="none" w:sz="0" w:space="0" w:color="auto"/>
        <w:left w:val="none" w:sz="0" w:space="0" w:color="auto"/>
        <w:bottom w:val="none" w:sz="0" w:space="0" w:color="auto"/>
        <w:right w:val="none" w:sz="0" w:space="0" w:color="auto"/>
      </w:divBdr>
    </w:div>
    <w:div w:id="760567188">
      <w:bodyDiv w:val="1"/>
      <w:marLeft w:val="0"/>
      <w:marRight w:val="0"/>
      <w:marTop w:val="0"/>
      <w:marBottom w:val="0"/>
      <w:divBdr>
        <w:top w:val="none" w:sz="0" w:space="0" w:color="auto"/>
        <w:left w:val="none" w:sz="0" w:space="0" w:color="auto"/>
        <w:bottom w:val="none" w:sz="0" w:space="0" w:color="auto"/>
        <w:right w:val="none" w:sz="0" w:space="0" w:color="auto"/>
      </w:divBdr>
    </w:div>
    <w:div w:id="839203203">
      <w:bodyDiv w:val="1"/>
      <w:marLeft w:val="0"/>
      <w:marRight w:val="0"/>
      <w:marTop w:val="0"/>
      <w:marBottom w:val="0"/>
      <w:divBdr>
        <w:top w:val="none" w:sz="0" w:space="0" w:color="auto"/>
        <w:left w:val="none" w:sz="0" w:space="0" w:color="auto"/>
        <w:bottom w:val="none" w:sz="0" w:space="0" w:color="auto"/>
        <w:right w:val="none" w:sz="0" w:space="0" w:color="auto"/>
      </w:divBdr>
    </w:div>
    <w:div w:id="1004014808">
      <w:bodyDiv w:val="1"/>
      <w:marLeft w:val="0"/>
      <w:marRight w:val="0"/>
      <w:marTop w:val="0"/>
      <w:marBottom w:val="0"/>
      <w:divBdr>
        <w:top w:val="none" w:sz="0" w:space="0" w:color="auto"/>
        <w:left w:val="none" w:sz="0" w:space="0" w:color="auto"/>
        <w:bottom w:val="none" w:sz="0" w:space="0" w:color="auto"/>
        <w:right w:val="none" w:sz="0" w:space="0" w:color="auto"/>
      </w:divBdr>
    </w:div>
    <w:div w:id="1081754623">
      <w:bodyDiv w:val="1"/>
      <w:marLeft w:val="0"/>
      <w:marRight w:val="0"/>
      <w:marTop w:val="0"/>
      <w:marBottom w:val="0"/>
      <w:divBdr>
        <w:top w:val="none" w:sz="0" w:space="0" w:color="auto"/>
        <w:left w:val="none" w:sz="0" w:space="0" w:color="auto"/>
        <w:bottom w:val="none" w:sz="0" w:space="0" w:color="auto"/>
        <w:right w:val="none" w:sz="0" w:space="0" w:color="auto"/>
      </w:divBdr>
    </w:div>
    <w:div w:id="1411464774">
      <w:bodyDiv w:val="1"/>
      <w:marLeft w:val="0"/>
      <w:marRight w:val="0"/>
      <w:marTop w:val="0"/>
      <w:marBottom w:val="0"/>
      <w:divBdr>
        <w:top w:val="none" w:sz="0" w:space="0" w:color="auto"/>
        <w:left w:val="none" w:sz="0" w:space="0" w:color="auto"/>
        <w:bottom w:val="none" w:sz="0" w:space="0" w:color="auto"/>
        <w:right w:val="none" w:sz="0" w:space="0" w:color="auto"/>
      </w:divBdr>
    </w:div>
    <w:div w:id="1431387408">
      <w:bodyDiv w:val="1"/>
      <w:marLeft w:val="0"/>
      <w:marRight w:val="0"/>
      <w:marTop w:val="0"/>
      <w:marBottom w:val="0"/>
      <w:divBdr>
        <w:top w:val="none" w:sz="0" w:space="0" w:color="auto"/>
        <w:left w:val="none" w:sz="0" w:space="0" w:color="auto"/>
        <w:bottom w:val="none" w:sz="0" w:space="0" w:color="auto"/>
        <w:right w:val="none" w:sz="0" w:space="0" w:color="auto"/>
      </w:divBdr>
    </w:div>
    <w:div w:id="1456094529">
      <w:bodyDiv w:val="1"/>
      <w:marLeft w:val="0"/>
      <w:marRight w:val="0"/>
      <w:marTop w:val="0"/>
      <w:marBottom w:val="0"/>
      <w:divBdr>
        <w:top w:val="none" w:sz="0" w:space="0" w:color="auto"/>
        <w:left w:val="none" w:sz="0" w:space="0" w:color="auto"/>
        <w:bottom w:val="none" w:sz="0" w:space="0" w:color="auto"/>
        <w:right w:val="none" w:sz="0" w:space="0" w:color="auto"/>
      </w:divBdr>
    </w:div>
    <w:div w:id="1547447864">
      <w:bodyDiv w:val="1"/>
      <w:marLeft w:val="0"/>
      <w:marRight w:val="0"/>
      <w:marTop w:val="0"/>
      <w:marBottom w:val="0"/>
      <w:divBdr>
        <w:top w:val="none" w:sz="0" w:space="0" w:color="auto"/>
        <w:left w:val="none" w:sz="0" w:space="0" w:color="auto"/>
        <w:bottom w:val="none" w:sz="0" w:space="0" w:color="auto"/>
        <w:right w:val="none" w:sz="0" w:space="0" w:color="auto"/>
      </w:divBdr>
    </w:div>
    <w:div w:id="1608460775">
      <w:bodyDiv w:val="1"/>
      <w:marLeft w:val="0"/>
      <w:marRight w:val="0"/>
      <w:marTop w:val="0"/>
      <w:marBottom w:val="0"/>
      <w:divBdr>
        <w:top w:val="none" w:sz="0" w:space="0" w:color="auto"/>
        <w:left w:val="none" w:sz="0" w:space="0" w:color="auto"/>
        <w:bottom w:val="none" w:sz="0" w:space="0" w:color="auto"/>
        <w:right w:val="none" w:sz="0" w:space="0" w:color="auto"/>
      </w:divBdr>
    </w:div>
    <w:div w:id="1630671504">
      <w:bodyDiv w:val="1"/>
      <w:marLeft w:val="0"/>
      <w:marRight w:val="0"/>
      <w:marTop w:val="0"/>
      <w:marBottom w:val="0"/>
      <w:divBdr>
        <w:top w:val="none" w:sz="0" w:space="0" w:color="auto"/>
        <w:left w:val="none" w:sz="0" w:space="0" w:color="auto"/>
        <w:bottom w:val="none" w:sz="0" w:space="0" w:color="auto"/>
        <w:right w:val="none" w:sz="0" w:space="0" w:color="auto"/>
      </w:divBdr>
    </w:div>
    <w:div w:id="1658192452">
      <w:bodyDiv w:val="1"/>
      <w:marLeft w:val="0"/>
      <w:marRight w:val="0"/>
      <w:marTop w:val="0"/>
      <w:marBottom w:val="0"/>
      <w:divBdr>
        <w:top w:val="none" w:sz="0" w:space="0" w:color="auto"/>
        <w:left w:val="none" w:sz="0" w:space="0" w:color="auto"/>
        <w:bottom w:val="none" w:sz="0" w:space="0" w:color="auto"/>
        <w:right w:val="none" w:sz="0" w:space="0" w:color="auto"/>
      </w:divBdr>
    </w:div>
    <w:div w:id="1746953921">
      <w:bodyDiv w:val="1"/>
      <w:marLeft w:val="0"/>
      <w:marRight w:val="0"/>
      <w:marTop w:val="0"/>
      <w:marBottom w:val="0"/>
      <w:divBdr>
        <w:top w:val="none" w:sz="0" w:space="0" w:color="auto"/>
        <w:left w:val="none" w:sz="0" w:space="0" w:color="auto"/>
        <w:bottom w:val="none" w:sz="0" w:space="0" w:color="auto"/>
        <w:right w:val="none" w:sz="0" w:space="0" w:color="auto"/>
      </w:divBdr>
    </w:div>
    <w:div w:id="1790392906">
      <w:bodyDiv w:val="1"/>
      <w:marLeft w:val="0"/>
      <w:marRight w:val="0"/>
      <w:marTop w:val="0"/>
      <w:marBottom w:val="0"/>
      <w:divBdr>
        <w:top w:val="none" w:sz="0" w:space="0" w:color="auto"/>
        <w:left w:val="none" w:sz="0" w:space="0" w:color="auto"/>
        <w:bottom w:val="none" w:sz="0" w:space="0" w:color="auto"/>
        <w:right w:val="none" w:sz="0" w:space="0" w:color="auto"/>
      </w:divBdr>
    </w:div>
    <w:div w:id="1902056951">
      <w:bodyDiv w:val="1"/>
      <w:marLeft w:val="0"/>
      <w:marRight w:val="0"/>
      <w:marTop w:val="0"/>
      <w:marBottom w:val="0"/>
      <w:divBdr>
        <w:top w:val="none" w:sz="0" w:space="0" w:color="auto"/>
        <w:left w:val="none" w:sz="0" w:space="0" w:color="auto"/>
        <w:bottom w:val="none" w:sz="0" w:space="0" w:color="auto"/>
        <w:right w:val="none" w:sz="0" w:space="0" w:color="auto"/>
      </w:divBdr>
    </w:div>
    <w:div w:id="1953515866">
      <w:bodyDiv w:val="1"/>
      <w:marLeft w:val="0"/>
      <w:marRight w:val="0"/>
      <w:marTop w:val="0"/>
      <w:marBottom w:val="0"/>
      <w:divBdr>
        <w:top w:val="none" w:sz="0" w:space="0" w:color="auto"/>
        <w:left w:val="none" w:sz="0" w:space="0" w:color="auto"/>
        <w:bottom w:val="none" w:sz="0" w:space="0" w:color="auto"/>
        <w:right w:val="none" w:sz="0" w:space="0" w:color="auto"/>
      </w:divBdr>
      <w:divsChild>
        <w:div w:id="1834444500">
          <w:marLeft w:val="0"/>
          <w:marRight w:val="0"/>
          <w:marTop w:val="0"/>
          <w:marBottom w:val="0"/>
          <w:divBdr>
            <w:top w:val="none" w:sz="0" w:space="0" w:color="auto"/>
            <w:left w:val="none" w:sz="0" w:space="0" w:color="auto"/>
            <w:bottom w:val="none" w:sz="0" w:space="0" w:color="auto"/>
            <w:right w:val="none" w:sz="0" w:space="0" w:color="auto"/>
          </w:divBdr>
          <w:divsChild>
            <w:div w:id="1937638373">
              <w:marLeft w:val="0"/>
              <w:marRight w:val="0"/>
              <w:marTop w:val="0"/>
              <w:marBottom w:val="0"/>
              <w:divBdr>
                <w:top w:val="none" w:sz="0" w:space="0" w:color="auto"/>
                <w:left w:val="none" w:sz="0" w:space="0" w:color="auto"/>
                <w:bottom w:val="none" w:sz="0" w:space="0" w:color="auto"/>
                <w:right w:val="none" w:sz="0" w:space="0" w:color="auto"/>
              </w:divBdr>
              <w:divsChild>
                <w:div w:id="895314497">
                  <w:marLeft w:val="-225"/>
                  <w:marRight w:val="-225"/>
                  <w:marTop w:val="0"/>
                  <w:marBottom w:val="0"/>
                  <w:divBdr>
                    <w:top w:val="none" w:sz="0" w:space="0" w:color="auto"/>
                    <w:left w:val="none" w:sz="0" w:space="0" w:color="auto"/>
                    <w:bottom w:val="none" w:sz="0" w:space="0" w:color="auto"/>
                    <w:right w:val="none" w:sz="0" w:space="0" w:color="auto"/>
                  </w:divBdr>
                  <w:divsChild>
                    <w:div w:id="59599033">
                      <w:marLeft w:val="0"/>
                      <w:marRight w:val="0"/>
                      <w:marTop w:val="0"/>
                      <w:marBottom w:val="0"/>
                      <w:divBdr>
                        <w:top w:val="none" w:sz="0" w:space="0" w:color="auto"/>
                        <w:left w:val="none" w:sz="0" w:space="0" w:color="auto"/>
                        <w:bottom w:val="none" w:sz="0" w:space="0" w:color="auto"/>
                        <w:right w:val="none" w:sz="0" w:space="0" w:color="auto"/>
                      </w:divBdr>
                      <w:divsChild>
                        <w:div w:id="406851442">
                          <w:marLeft w:val="0"/>
                          <w:marRight w:val="0"/>
                          <w:marTop w:val="0"/>
                          <w:marBottom w:val="0"/>
                          <w:divBdr>
                            <w:top w:val="none" w:sz="0" w:space="0" w:color="auto"/>
                            <w:left w:val="none" w:sz="0" w:space="0" w:color="auto"/>
                            <w:bottom w:val="none" w:sz="0" w:space="0" w:color="auto"/>
                            <w:right w:val="none" w:sz="0" w:space="0" w:color="auto"/>
                          </w:divBdr>
                          <w:divsChild>
                            <w:div w:id="581184873">
                              <w:marLeft w:val="0"/>
                              <w:marRight w:val="0"/>
                              <w:marTop w:val="0"/>
                              <w:marBottom w:val="0"/>
                              <w:divBdr>
                                <w:top w:val="none" w:sz="0" w:space="0" w:color="auto"/>
                                <w:left w:val="none" w:sz="0" w:space="0" w:color="auto"/>
                                <w:bottom w:val="none" w:sz="0" w:space="0" w:color="auto"/>
                                <w:right w:val="none" w:sz="0" w:space="0" w:color="auto"/>
                              </w:divBdr>
                              <w:divsChild>
                                <w:div w:id="473066865">
                                  <w:marLeft w:val="-225"/>
                                  <w:marRight w:val="-225"/>
                                  <w:marTop w:val="0"/>
                                  <w:marBottom w:val="0"/>
                                  <w:divBdr>
                                    <w:top w:val="none" w:sz="0" w:space="0" w:color="auto"/>
                                    <w:left w:val="none" w:sz="0" w:space="0" w:color="auto"/>
                                    <w:bottom w:val="none" w:sz="0" w:space="0" w:color="auto"/>
                                    <w:right w:val="none" w:sz="0" w:space="0" w:color="auto"/>
                                  </w:divBdr>
                                  <w:divsChild>
                                    <w:div w:id="150945056">
                                      <w:marLeft w:val="0"/>
                                      <w:marRight w:val="0"/>
                                      <w:marTop w:val="0"/>
                                      <w:marBottom w:val="0"/>
                                      <w:divBdr>
                                        <w:top w:val="none" w:sz="0" w:space="0" w:color="auto"/>
                                        <w:left w:val="none" w:sz="0" w:space="0" w:color="auto"/>
                                        <w:bottom w:val="none" w:sz="0" w:space="0" w:color="auto"/>
                                        <w:right w:val="none" w:sz="0" w:space="0" w:color="auto"/>
                                      </w:divBdr>
                                      <w:divsChild>
                                        <w:div w:id="674503482">
                                          <w:marLeft w:val="0"/>
                                          <w:marRight w:val="0"/>
                                          <w:marTop w:val="0"/>
                                          <w:marBottom w:val="0"/>
                                          <w:divBdr>
                                            <w:top w:val="none" w:sz="0" w:space="0" w:color="auto"/>
                                            <w:left w:val="single" w:sz="6" w:space="0" w:color="CCCCCC"/>
                                            <w:bottom w:val="single" w:sz="6" w:space="0" w:color="CCCCCC"/>
                                            <w:right w:val="single" w:sz="6" w:space="0" w:color="CCCCCC"/>
                                          </w:divBdr>
                                          <w:divsChild>
                                            <w:div w:id="1419715634">
                                              <w:marLeft w:val="0"/>
                                              <w:marRight w:val="0"/>
                                              <w:marTop w:val="0"/>
                                              <w:marBottom w:val="0"/>
                                              <w:divBdr>
                                                <w:top w:val="none" w:sz="0" w:space="0" w:color="auto"/>
                                                <w:left w:val="none" w:sz="0" w:space="0" w:color="auto"/>
                                                <w:bottom w:val="none" w:sz="0" w:space="0" w:color="auto"/>
                                                <w:right w:val="none" w:sz="0" w:space="0" w:color="auto"/>
                                              </w:divBdr>
                                              <w:divsChild>
                                                <w:div w:id="1527449933">
                                                  <w:marLeft w:val="0"/>
                                                  <w:marRight w:val="0"/>
                                                  <w:marTop w:val="0"/>
                                                  <w:marBottom w:val="300"/>
                                                  <w:divBdr>
                                                    <w:top w:val="none" w:sz="0" w:space="0" w:color="auto"/>
                                                    <w:left w:val="none" w:sz="0" w:space="0" w:color="auto"/>
                                                    <w:bottom w:val="none" w:sz="0" w:space="0" w:color="auto"/>
                                                    <w:right w:val="none" w:sz="0" w:space="0" w:color="auto"/>
                                                  </w:divBdr>
                                                  <w:divsChild>
                                                    <w:div w:id="1653677781">
                                                      <w:marLeft w:val="0"/>
                                                      <w:marRight w:val="0"/>
                                                      <w:marTop w:val="0"/>
                                                      <w:marBottom w:val="0"/>
                                                      <w:divBdr>
                                                        <w:top w:val="none" w:sz="0" w:space="0" w:color="auto"/>
                                                        <w:left w:val="none" w:sz="0" w:space="0" w:color="auto"/>
                                                        <w:bottom w:val="none" w:sz="0" w:space="0" w:color="auto"/>
                                                        <w:right w:val="none" w:sz="0" w:space="0" w:color="auto"/>
                                                      </w:divBdr>
                                                      <w:divsChild>
                                                        <w:div w:id="969284813">
                                                          <w:marLeft w:val="0"/>
                                                          <w:marRight w:val="0"/>
                                                          <w:marTop w:val="0"/>
                                                          <w:marBottom w:val="0"/>
                                                          <w:divBdr>
                                                            <w:top w:val="none" w:sz="0" w:space="0" w:color="auto"/>
                                                            <w:left w:val="none" w:sz="0" w:space="0" w:color="auto"/>
                                                            <w:bottom w:val="none" w:sz="0" w:space="0" w:color="auto"/>
                                                            <w:right w:val="none" w:sz="0" w:space="0" w:color="auto"/>
                                                          </w:divBdr>
                                                          <w:divsChild>
                                                            <w:div w:id="1055470847">
                                                              <w:marLeft w:val="0"/>
                                                              <w:marRight w:val="0"/>
                                                              <w:marTop w:val="0"/>
                                                              <w:marBottom w:val="0"/>
                                                              <w:divBdr>
                                                                <w:top w:val="none" w:sz="0" w:space="0" w:color="auto"/>
                                                                <w:left w:val="none" w:sz="0" w:space="0" w:color="auto"/>
                                                                <w:bottom w:val="none" w:sz="0" w:space="0" w:color="auto"/>
                                                                <w:right w:val="none" w:sz="0" w:space="0" w:color="auto"/>
                                                              </w:divBdr>
                                                              <w:divsChild>
                                                                <w:div w:id="846791935">
                                                                  <w:marLeft w:val="0"/>
                                                                  <w:marRight w:val="0"/>
                                                                  <w:marTop w:val="150"/>
                                                                  <w:marBottom w:val="150"/>
                                                                  <w:divBdr>
                                                                    <w:top w:val="none" w:sz="0" w:space="0" w:color="auto"/>
                                                                    <w:left w:val="none" w:sz="0" w:space="0" w:color="auto"/>
                                                                    <w:bottom w:val="none" w:sz="0" w:space="0" w:color="auto"/>
                                                                    <w:right w:val="none" w:sz="0" w:space="0" w:color="auto"/>
                                                                  </w:divBdr>
                                                                  <w:divsChild>
                                                                    <w:div w:id="820390856">
                                                                      <w:marLeft w:val="300"/>
                                                                      <w:marRight w:val="0"/>
                                                                      <w:marTop w:val="75"/>
                                                                      <w:marBottom w:val="0"/>
                                                                      <w:divBdr>
                                                                        <w:top w:val="none" w:sz="0" w:space="0" w:color="auto"/>
                                                                        <w:left w:val="none" w:sz="0" w:space="0" w:color="auto"/>
                                                                        <w:bottom w:val="none" w:sz="0" w:space="0" w:color="auto"/>
                                                                        <w:right w:val="none" w:sz="0" w:space="0" w:color="auto"/>
                                                                      </w:divBdr>
                                                                      <w:divsChild>
                                                                        <w:div w:id="11575014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237576">
      <w:bodyDiv w:val="1"/>
      <w:marLeft w:val="0"/>
      <w:marRight w:val="0"/>
      <w:marTop w:val="0"/>
      <w:marBottom w:val="0"/>
      <w:divBdr>
        <w:top w:val="none" w:sz="0" w:space="0" w:color="auto"/>
        <w:left w:val="none" w:sz="0" w:space="0" w:color="auto"/>
        <w:bottom w:val="none" w:sz="0" w:space="0" w:color="auto"/>
        <w:right w:val="none" w:sz="0" w:space="0" w:color="auto"/>
      </w:divBdr>
    </w:div>
    <w:div w:id="20757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83376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7931487A-78A4-4E95-B71A-33B00C17F46E}">
  <ds:schemaRefs>
    <ds:schemaRef ds:uri="http://schemas.openxmlformats.org/officeDocument/2006/bibliography"/>
  </ds:schemaRefs>
</ds:datastoreItem>
</file>

<file path=customXml/itemProps2.xml><?xml version="1.0" encoding="utf-8"?>
<ds:datastoreItem xmlns:ds="http://schemas.openxmlformats.org/officeDocument/2006/customXml" ds:itemID="{12E6A852-8AD7-467A-8A7F-674DE2BA9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5B3FD-D075-496E-B69B-C6CC55756A37}">
  <ds:schemaRefs>
    <ds:schemaRef ds:uri="http://schemas.microsoft.com/sharepoint/v3/contenttype/forms"/>
  </ds:schemaRefs>
</ds:datastoreItem>
</file>

<file path=customXml/itemProps4.xml><?xml version="1.0" encoding="utf-8"?>
<ds:datastoreItem xmlns:ds="http://schemas.openxmlformats.org/officeDocument/2006/customXml" ds:itemID="{CDD9C8F9-C3C7-4517-8742-295428B3913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15</Pages>
  <Words>15336</Words>
  <Characters>8742</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protokolo priedas_Rinkos konsultacijos suvestinė</dc:title>
  <dc:subject/>
  <cp:keywords/>
  <dc:description/>
  <cp:lastModifiedBy>Tadas Kontrimas</cp:lastModifiedBy>
  <cp:revision>23</cp:revision>
  <dcterms:created xsi:type="dcterms:W3CDTF">2023-05-23T18:19:00Z</dcterms:created>
  <dcterms:modified xsi:type="dcterms:W3CDTF">2025-02-18T09:28:00Z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DmsPermissionsUsers">
    <vt:lpwstr>795;#Tadas Kontrimas;#273;#Dalia Vinklerė;#203;#Lina Janionytė</vt:lpwstr>
  </property>
  <property fmtid="{D5CDD505-2E9C-101B-9397-08002B2CF9AE}" pid="7" name="DmsDocPrepDocSendRegReal">
    <vt:bool>false</vt:bool>
  </property>
  <property fmtid="{D5CDD505-2E9C-101B-9397-08002B2CF9AE}" pid="8" name="DmsWaitingForSign">
    <vt:bool>true</vt:bool>
  </property>
  <property fmtid="{D5CDD505-2E9C-101B-9397-08002B2CF9AE}" pid="9" name="DmsPermissionsConfid">
    <vt:bool>false</vt:bool>
  </property>
</Properties>
</file>