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E984" w14:textId="77777777" w:rsidR="007801F5" w:rsidRDefault="007801F5" w:rsidP="00216EB3">
      <w:pPr>
        <w:rPr>
          <w:b/>
          <w:bCs/>
          <w:sz w:val="24"/>
          <w:szCs w:val="24"/>
        </w:rPr>
      </w:pPr>
    </w:p>
    <w:p w14:paraId="5A0F64F3" w14:textId="77777777" w:rsidR="007801F5" w:rsidRDefault="007801F5" w:rsidP="00216EB3">
      <w:pPr>
        <w:rPr>
          <w:b/>
          <w:bCs/>
          <w:sz w:val="24"/>
          <w:szCs w:val="24"/>
        </w:rPr>
      </w:pPr>
    </w:p>
    <w:p w14:paraId="7E84DFB3" w14:textId="77777777" w:rsidR="007801F5" w:rsidRDefault="007801F5" w:rsidP="00216EB3">
      <w:pPr>
        <w:rPr>
          <w:b/>
          <w:bCs/>
          <w:sz w:val="24"/>
          <w:szCs w:val="24"/>
        </w:rPr>
      </w:pPr>
    </w:p>
    <w:p w14:paraId="139CCF79" w14:textId="1BA0AFCC" w:rsidR="00267ACD" w:rsidRPr="00216EB3" w:rsidRDefault="00267ACD" w:rsidP="00216EB3">
      <w:pPr>
        <w:rPr>
          <w:b/>
          <w:bCs/>
          <w:sz w:val="24"/>
          <w:szCs w:val="24"/>
        </w:rPr>
      </w:pPr>
      <w:r w:rsidRPr="00216EB3">
        <w:rPr>
          <w:b/>
          <w:bCs/>
          <w:sz w:val="24"/>
          <w:szCs w:val="24"/>
        </w:rPr>
        <w:t>Tiekėjams</w:t>
      </w:r>
      <w:r w:rsidRPr="00216EB3">
        <w:rPr>
          <w:b/>
          <w:bCs/>
          <w:sz w:val="24"/>
          <w:szCs w:val="24"/>
        </w:rPr>
        <w:tab/>
      </w:r>
    </w:p>
    <w:p w14:paraId="01D01B2B" w14:textId="77777777" w:rsidR="00267ACD" w:rsidRPr="00216EB3" w:rsidRDefault="00267ACD" w:rsidP="00216EB3">
      <w:pPr>
        <w:rPr>
          <w:sz w:val="24"/>
          <w:szCs w:val="24"/>
        </w:rPr>
      </w:pPr>
    </w:p>
    <w:p w14:paraId="27AEFBAB" w14:textId="07D59049" w:rsidR="00267ACD" w:rsidRPr="00216EB3" w:rsidRDefault="00267ACD" w:rsidP="00216EB3">
      <w:pPr>
        <w:rPr>
          <w:b/>
          <w:bCs/>
          <w:sz w:val="24"/>
          <w:szCs w:val="24"/>
        </w:rPr>
      </w:pPr>
      <w:r w:rsidRPr="00216EB3">
        <w:rPr>
          <w:b/>
          <w:bCs/>
          <w:sz w:val="24"/>
          <w:szCs w:val="24"/>
        </w:rPr>
        <w:t xml:space="preserve">Dėl Pirkimo dokumentų </w:t>
      </w:r>
    </w:p>
    <w:p w14:paraId="7EF987B1" w14:textId="77777777" w:rsidR="00267ACD" w:rsidRPr="00216EB3" w:rsidRDefault="00267ACD" w:rsidP="00216EB3">
      <w:pPr>
        <w:rPr>
          <w:b/>
          <w:bCs/>
          <w:sz w:val="24"/>
          <w:szCs w:val="24"/>
        </w:rPr>
      </w:pPr>
    </w:p>
    <w:p w14:paraId="3EDB1AF5" w14:textId="138E6124" w:rsidR="00216EB3" w:rsidRPr="00216EB3" w:rsidRDefault="00267ACD" w:rsidP="00216EB3">
      <w:pPr>
        <w:jc w:val="both"/>
        <w:rPr>
          <w:sz w:val="24"/>
          <w:szCs w:val="24"/>
        </w:rPr>
      </w:pPr>
      <w:r w:rsidRPr="00216EB3">
        <w:rPr>
          <w:sz w:val="24"/>
          <w:szCs w:val="24"/>
        </w:rPr>
        <w:t xml:space="preserve">         </w:t>
      </w:r>
      <w:r w:rsidR="00216EB3" w:rsidRPr="00216EB3">
        <w:rPr>
          <w:sz w:val="24"/>
          <w:szCs w:val="24"/>
        </w:rPr>
        <w:t xml:space="preserve">UAB „Grinda“ (toliau – Perkančioji organizacija) Centrinės viešųjų pirkimų informacinės sistemos priemonėmis (toliau – CVP IS) </w:t>
      </w:r>
      <w:bookmarkStart w:id="0" w:name="_Hlk102464293"/>
      <w:r w:rsidR="00216EB3" w:rsidRPr="00216EB3">
        <w:rPr>
          <w:sz w:val="24"/>
          <w:szCs w:val="24"/>
        </w:rPr>
        <w:t>atviro konkurso (supaprastinto pirkimo) būdu vykdomam</w:t>
      </w:r>
      <w:bookmarkEnd w:id="0"/>
      <w:r w:rsidR="00216EB3" w:rsidRPr="00216EB3">
        <w:rPr>
          <w:bCs/>
          <w:sz w:val="24"/>
          <w:szCs w:val="24"/>
        </w:rPr>
        <w:t xml:space="preserve"> </w:t>
      </w:r>
      <w:r w:rsidR="000625B4" w:rsidRPr="00216EB3">
        <w:rPr>
          <w:b/>
          <w:bCs/>
          <w:i/>
          <w:iCs/>
          <w:color w:val="000000"/>
          <w:spacing w:val="-1"/>
          <w:sz w:val="24"/>
          <w:szCs w:val="24"/>
        </w:rPr>
        <w:t xml:space="preserve">Nr. 2369. </w:t>
      </w:r>
      <w:r w:rsidR="000625B4" w:rsidRPr="00216EB3">
        <w:rPr>
          <w:i/>
          <w:iCs/>
          <w:color w:val="000000"/>
          <w:sz w:val="24"/>
          <w:szCs w:val="24"/>
          <w:lang w:eastAsia="lt-LT"/>
        </w:rPr>
        <w:t xml:space="preserve"> </w:t>
      </w:r>
      <w:r w:rsidR="000625B4" w:rsidRPr="00216EB3">
        <w:rPr>
          <w:b/>
          <w:bCs/>
          <w:i/>
          <w:iCs/>
          <w:color w:val="000000"/>
          <w:spacing w:val="-1"/>
          <w:sz w:val="24"/>
          <w:szCs w:val="24"/>
        </w:rPr>
        <w:t>Prieplaukų įrengimas Neries upėje</w:t>
      </w:r>
      <w:r w:rsidR="000625B4" w:rsidRPr="00216EB3">
        <w:rPr>
          <w:b/>
          <w:bCs/>
          <w:color w:val="000000"/>
          <w:spacing w:val="-1"/>
          <w:sz w:val="24"/>
          <w:szCs w:val="24"/>
        </w:rPr>
        <w:t xml:space="preserve"> </w:t>
      </w:r>
      <w:r w:rsidRPr="00216EB3">
        <w:rPr>
          <w:sz w:val="24"/>
          <w:szCs w:val="24"/>
        </w:rPr>
        <w:t xml:space="preserve">(toliau – Pirkimas, CVP IS Nr. </w:t>
      </w:r>
      <w:r w:rsidR="000625B4" w:rsidRPr="00216EB3">
        <w:rPr>
          <w:sz w:val="24"/>
          <w:szCs w:val="24"/>
        </w:rPr>
        <w:t>1039904</w:t>
      </w:r>
      <w:r w:rsidRPr="00216EB3">
        <w:rPr>
          <w:sz w:val="24"/>
          <w:szCs w:val="24"/>
        </w:rPr>
        <w:t>)</w:t>
      </w:r>
      <w:r w:rsidR="00216EB3" w:rsidRPr="00216EB3">
        <w:rPr>
          <w:sz w:val="24"/>
          <w:szCs w:val="24"/>
        </w:rPr>
        <w:t xml:space="preserve"> gavo suinteresuotų tiekėjų paklausimus, kuriuose prašoma paaiškinti/patikslinti Pirkimo sąlygas.</w:t>
      </w:r>
    </w:p>
    <w:p w14:paraId="61815B4E" w14:textId="4A86D7E1" w:rsidR="00216EB3" w:rsidRPr="00216EB3" w:rsidRDefault="007801F5" w:rsidP="007801F5">
      <w:pPr>
        <w:jc w:val="both"/>
        <w:rPr>
          <w:sz w:val="24"/>
          <w:szCs w:val="24"/>
        </w:rPr>
      </w:pPr>
      <w:r>
        <w:rPr>
          <w:sz w:val="24"/>
          <w:szCs w:val="24"/>
        </w:rPr>
        <w:t xml:space="preserve">          </w:t>
      </w:r>
      <w:r w:rsidR="00216EB3" w:rsidRPr="00216EB3">
        <w:rPr>
          <w:sz w:val="24"/>
          <w:szCs w:val="24"/>
        </w:rPr>
        <w:t xml:space="preserve">Perkančioji organizacija išnagrinėjo paklausimus ir, vadovaudamasi Pirkimo bendrosiomis sąlygomis, atsako paaiškindama Pirkimo sąlygas: </w:t>
      </w:r>
    </w:p>
    <w:tbl>
      <w:tblPr>
        <w:tblStyle w:val="Lentelstinklelis"/>
        <w:tblW w:w="0" w:type="auto"/>
        <w:tblLook w:val="04A0" w:firstRow="1" w:lastRow="0" w:firstColumn="1" w:lastColumn="0" w:noHBand="0" w:noVBand="1"/>
      </w:tblPr>
      <w:tblGrid>
        <w:gridCol w:w="704"/>
        <w:gridCol w:w="4536"/>
        <w:gridCol w:w="4388"/>
      </w:tblGrid>
      <w:tr w:rsidR="00216EB3" w:rsidRPr="00216EB3" w14:paraId="67A065A0" w14:textId="77777777" w:rsidTr="00321D07">
        <w:tc>
          <w:tcPr>
            <w:tcW w:w="704" w:type="dxa"/>
            <w:vAlign w:val="center"/>
          </w:tcPr>
          <w:p w14:paraId="3A98B845" w14:textId="77777777" w:rsidR="00216EB3" w:rsidRPr="00216EB3" w:rsidRDefault="00216EB3" w:rsidP="00216EB3">
            <w:pPr>
              <w:jc w:val="center"/>
              <w:rPr>
                <w:sz w:val="24"/>
                <w:szCs w:val="24"/>
              </w:rPr>
            </w:pPr>
            <w:r w:rsidRPr="00216EB3">
              <w:rPr>
                <w:b/>
                <w:bCs/>
                <w:sz w:val="24"/>
                <w:szCs w:val="24"/>
              </w:rPr>
              <w:t>Eil. Nr.</w:t>
            </w:r>
          </w:p>
        </w:tc>
        <w:tc>
          <w:tcPr>
            <w:tcW w:w="4536" w:type="dxa"/>
            <w:vAlign w:val="center"/>
          </w:tcPr>
          <w:p w14:paraId="0FE20F5A" w14:textId="77777777" w:rsidR="00216EB3" w:rsidRPr="00216EB3" w:rsidRDefault="00216EB3" w:rsidP="00216EB3">
            <w:pPr>
              <w:jc w:val="center"/>
              <w:rPr>
                <w:sz w:val="24"/>
                <w:szCs w:val="24"/>
              </w:rPr>
            </w:pPr>
            <w:r w:rsidRPr="00216EB3">
              <w:rPr>
                <w:b/>
                <w:bCs/>
                <w:sz w:val="24"/>
                <w:szCs w:val="24"/>
              </w:rPr>
              <w:t>Klausimai</w:t>
            </w:r>
          </w:p>
        </w:tc>
        <w:tc>
          <w:tcPr>
            <w:tcW w:w="4388" w:type="dxa"/>
            <w:vAlign w:val="center"/>
          </w:tcPr>
          <w:p w14:paraId="6E73B2D4" w14:textId="77777777" w:rsidR="00216EB3" w:rsidRPr="00216EB3" w:rsidRDefault="00216EB3" w:rsidP="00216EB3">
            <w:pPr>
              <w:jc w:val="center"/>
              <w:rPr>
                <w:sz w:val="24"/>
                <w:szCs w:val="24"/>
              </w:rPr>
            </w:pPr>
            <w:r w:rsidRPr="00216EB3">
              <w:rPr>
                <w:b/>
                <w:bCs/>
                <w:sz w:val="24"/>
                <w:szCs w:val="24"/>
              </w:rPr>
              <w:t>Atsakymai</w:t>
            </w:r>
          </w:p>
        </w:tc>
      </w:tr>
      <w:tr w:rsidR="00EB08DE" w:rsidRPr="00216EB3" w14:paraId="3CEF4463" w14:textId="77777777" w:rsidTr="00321D07">
        <w:trPr>
          <w:trHeight w:val="314"/>
        </w:trPr>
        <w:tc>
          <w:tcPr>
            <w:tcW w:w="704" w:type="dxa"/>
            <w:vAlign w:val="center"/>
          </w:tcPr>
          <w:p w14:paraId="0F6799A6" w14:textId="77777777" w:rsidR="00EB08DE" w:rsidRPr="00216EB3" w:rsidRDefault="00EB08DE" w:rsidP="00216EB3">
            <w:pPr>
              <w:jc w:val="center"/>
              <w:rPr>
                <w:sz w:val="24"/>
                <w:szCs w:val="24"/>
              </w:rPr>
            </w:pPr>
            <w:r w:rsidRPr="00216EB3">
              <w:rPr>
                <w:sz w:val="24"/>
                <w:szCs w:val="24"/>
              </w:rPr>
              <w:t>1.</w:t>
            </w:r>
          </w:p>
        </w:tc>
        <w:tc>
          <w:tcPr>
            <w:tcW w:w="4536" w:type="dxa"/>
            <w:vAlign w:val="center"/>
          </w:tcPr>
          <w:p w14:paraId="2B801D50" w14:textId="4DD1B5A3" w:rsidR="00EB08DE" w:rsidRPr="00216EB3" w:rsidRDefault="00EB08DE" w:rsidP="00216EB3">
            <w:pPr>
              <w:jc w:val="both"/>
              <w:rPr>
                <w:sz w:val="24"/>
                <w:szCs w:val="24"/>
              </w:rPr>
            </w:pPr>
            <w:r w:rsidRPr="00216EB3">
              <w:rPr>
                <w:sz w:val="24"/>
                <w:szCs w:val="24"/>
              </w:rPr>
              <w:t>Pirkimo techninėje specifikacijoje yra nurodyti darbų atlikimo terminai (I etapas iki 2025-05-01 ir II etapas iki 2025-05-15). Tačiau šiuo pirkimu perkamų darbų atlikimo terminui turi didelę įtaką kitas vykdomas pirkimas „2346. Viešojo vandens transporto infrastruktūros įrengimas“ (toliau – Susijęs pirkimas), kurio pagrindas yra infrastruktūros paruošimas, reikalingas prieplaukų įrengimui. Šiuo metu nėra aišku, kada paaiškės Susijusio pirkimo laimėtojas bei kada bus pasirašyta rangos sutartis.</w:t>
            </w:r>
          </w:p>
          <w:p w14:paraId="7F3BD4A8" w14:textId="77777777" w:rsidR="00EB08DE" w:rsidRPr="00216EB3" w:rsidRDefault="00EB08DE" w:rsidP="00216EB3">
            <w:pPr>
              <w:jc w:val="both"/>
              <w:rPr>
                <w:sz w:val="24"/>
                <w:szCs w:val="24"/>
              </w:rPr>
            </w:pPr>
            <w:r w:rsidRPr="00216EB3">
              <w:rPr>
                <w:sz w:val="24"/>
                <w:szCs w:val="24"/>
              </w:rPr>
              <w:t>Taip pat nurodome, kad prieplaukos, kurias numatyta įrengti šiuo pirkimu, nėra standartinis gaminys ir jų gamybą turi atitinkamą gamybos terminą.</w:t>
            </w:r>
          </w:p>
          <w:p w14:paraId="5D623C19" w14:textId="77777777" w:rsidR="00EB08DE" w:rsidRPr="00216EB3" w:rsidRDefault="00EB08DE" w:rsidP="00216EB3">
            <w:pPr>
              <w:jc w:val="both"/>
              <w:rPr>
                <w:sz w:val="24"/>
                <w:szCs w:val="24"/>
              </w:rPr>
            </w:pPr>
            <w:r w:rsidRPr="00216EB3">
              <w:rPr>
                <w:sz w:val="24"/>
                <w:szCs w:val="24"/>
              </w:rPr>
              <w:t>Atsižvelgiant į išdėstytas aplinkybes, prašome pakoreguoti perkamų darbų atlikimo terminus į 3 mėnesiai po rangos darbų sutarties pasirašymo.</w:t>
            </w:r>
          </w:p>
          <w:p w14:paraId="147E25B6" w14:textId="033536B3" w:rsidR="00EB08DE" w:rsidRPr="00216EB3" w:rsidRDefault="00EB08DE" w:rsidP="00216EB3">
            <w:pPr>
              <w:jc w:val="both"/>
              <w:rPr>
                <w:sz w:val="24"/>
                <w:szCs w:val="24"/>
              </w:rPr>
            </w:pPr>
          </w:p>
        </w:tc>
        <w:tc>
          <w:tcPr>
            <w:tcW w:w="4388" w:type="dxa"/>
            <w:vMerge w:val="restart"/>
            <w:vAlign w:val="center"/>
          </w:tcPr>
          <w:p w14:paraId="76C45B03" w14:textId="6530F0C2" w:rsidR="00EB08DE" w:rsidRDefault="00EB08DE" w:rsidP="009574B0">
            <w:pPr>
              <w:jc w:val="both"/>
              <w:rPr>
                <w:sz w:val="24"/>
                <w:szCs w:val="24"/>
              </w:rPr>
            </w:pPr>
            <w:r>
              <w:rPr>
                <w:sz w:val="24"/>
                <w:szCs w:val="24"/>
              </w:rPr>
              <w:t>Te</w:t>
            </w:r>
            <w:r w:rsidRPr="009574B0">
              <w:rPr>
                <w:sz w:val="24"/>
                <w:szCs w:val="24"/>
              </w:rPr>
              <w:t>chninėje specifikacijoje ir sutarties projekte numatyt</w:t>
            </w:r>
            <w:r w:rsidR="005C68E6">
              <w:rPr>
                <w:sz w:val="24"/>
                <w:szCs w:val="24"/>
              </w:rPr>
              <w:t>i</w:t>
            </w:r>
            <w:r w:rsidR="009D20A3">
              <w:rPr>
                <w:sz w:val="24"/>
                <w:szCs w:val="24"/>
              </w:rPr>
              <w:t xml:space="preserve"> </w:t>
            </w:r>
            <w:r w:rsidRPr="009574B0">
              <w:rPr>
                <w:sz w:val="24"/>
                <w:szCs w:val="24"/>
              </w:rPr>
              <w:t>reikalavim</w:t>
            </w:r>
            <w:r>
              <w:rPr>
                <w:sz w:val="24"/>
                <w:szCs w:val="24"/>
              </w:rPr>
              <w:t>a</w:t>
            </w:r>
            <w:r w:rsidR="005C68E6">
              <w:rPr>
                <w:sz w:val="24"/>
                <w:szCs w:val="24"/>
              </w:rPr>
              <w:t>i</w:t>
            </w:r>
            <w:r>
              <w:rPr>
                <w:sz w:val="24"/>
                <w:szCs w:val="24"/>
              </w:rPr>
              <w:t xml:space="preserve">, kad </w:t>
            </w:r>
            <w:r w:rsidRPr="009574B0">
              <w:rPr>
                <w:sz w:val="24"/>
                <w:szCs w:val="24"/>
              </w:rPr>
              <w:t xml:space="preserve"> prieplaukų įrengimo darbai turi būti atlikti etapais: </w:t>
            </w:r>
          </w:p>
          <w:p w14:paraId="0AAC45E5" w14:textId="77777777" w:rsidR="00EB08DE" w:rsidRDefault="00EB08DE" w:rsidP="009574B0">
            <w:pPr>
              <w:jc w:val="both"/>
              <w:rPr>
                <w:sz w:val="24"/>
                <w:szCs w:val="24"/>
              </w:rPr>
            </w:pPr>
            <w:r w:rsidRPr="009574B0">
              <w:rPr>
                <w:sz w:val="24"/>
                <w:szCs w:val="24"/>
              </w:rPr>
              <w:t xml:space="preserve">I etapas – iki 2025 m. gegužės 1 d., </w:t>
            </w:r>
          </w:p>
          <w:p w14:paraId="598F5BFC" w14:textId="77777777" w:rsidR="00EB08DE" w:rsidRDefault="00EB08DE" w:rsidP="009574B0">
            <w:pPr>
              <w:jc w:val="both"/>
              <w:rPr>
                <w:sz w:val="24"/>
                <w:szCs w:val="24"/>
              </w:rPr>
            </w:pPr>
            <w:r w:rsidRPr="009574B0">
              <w:rPr>
                <w:sz w:val="24"/>
                <w:szCs w:val="24"/>
              </w:rPr>
              <w:t>II etapas – iki 2025 m. gegužės 15 d.</w:t>
            </w:r>
          </w:p>
          <w:p w14:paraId="5C3091C8" w14:textId="77777777" w:rsidR="005C68E6" w:rsidRDefault="00EB08DE" w:rsidP="009574B0">
            <w:pPr>
              <w:jc w:val="both"/>
              <w:rPr>
                <w:sz w:val="24"/>
                <w:szCs w:val="24"/>
              </w:rPr>
            </w:pPr>
            <w:r w:rsidRPr="009574B0">
              <w:rPr>
                <w:sz w:val="24"/>
                <w:szCs w:val="24"/>
              </w:rPr>
              <w:t xml:space="preserve">Šie terminai yra </w:t>
            </w:r>
            <w:r w:rsidRPr="009574B0">
              <w:rPr>
                <w:sz w:val="24"/>
                <w:szCs w:val="24"/>
                <w:u w:val="single"/>
              </w:rPr>
              <w:t>esminė sutarties sąlyga</w:t>
            </w:r>
            <w:r w:rsidRPr="009574B0">
              <w:rPr>
                <w:sz w:val="24"/>
                <w:szCs w:val="24"/>
              </w:rPr>
              <w:t>, nes prieplauk</w:t>
            </w:r>
            <w:r w:rsidR="009D20A3">
              <w:rPr>
                <w:sz w:val="24"/>
                <w:szCs w:val="24"/>
              </w:rPr>
              <w:t xml:space="preserve">ų įrengimas </w:t>
            </w:r>
            <w:r w:rsidRPr="009574B0">
              <w:rPr>
                <w:sz w:val="24"/>
                <w:szCs w:val="24"/>
              </w:rPr>
              <w:t>tiesiogiai susij</w:t>
            </w:r>
            <w:r w:rsidR="009D20A3">
              <w:rPr>
                <w:sz w:val="24"/>
                <w:szCs w:val="24"/>
              </w:rPr>
              <w:t xml:space="preserve">ęs </w:t>
            </w:r>
            <w:r w:rsidRPr="009574B0">
              <w:rPr>
                <w:sz w:val="24"/>
                <w:szCs w:val="24"/>
              </w:rPr>
              <w:t>su viešojo transporto organizavimu</w:t>
            </w:r>
            <w:r w:rsidR="005C68E6">
              <w:rPr>
                <w:sz w:val="24"/>
                <w:szCs w:val="24"/>
              </w:rPr>
              <w:t>.</w:t>
            </w:r>
          </w:p>
          <w:p w14:paraId="41F1D255" w14:textId="77777777" w:rsidR="005C68E6" w:rsidRDefault="005C68E6" w:rsidP="009574B0">
            <w:pPr>
              <w:jc w:val="both"/>
              <w:rPr>
                <w:sz w:val="24"/>
                <w:szCs w:val="24"/>
              </w:rPr>
            </w:pPr>
          </w:p>
          <w:p w14:paraId="751EEBBB" w14:textId="3AD85374" w:rsidR="005C68E6" w:rsidRPr="005C68E6" w:rsidRDefault="005C68E6" w:rsidP="005C68E6">
            <w:pPr>
              <w:jc w:val="both"/>
              <w:rPr>
                <w:sz w:val="24"/>
                <w:szCs w:val="24"/>
              </w:rPr>
            </w:pPr>
            <w:r w:rsidRPr="005C68E6">
              <w:rPr>
                <w:sz w:val="24"/>
                <w:szCs w:val="24"/>
              </w:rPr>
              <w:t xml:space="preserve">Atkreipiame dėmesį, kad pirkimo darbai yra susiję su pirkimu </w:t>
            </w:r>
            <w:r w:rsidRPr="005C68E6">
              <w:rPr>
                <w:b/>
                <w:bCs/>
                <w:i/>
                <w:iCs/>
                <w:sz w:val="24"/>
                <w:szCs w:val="24"/>
              </w:rPr>
              <w:t>Nr. 2346. Viešojo vandens transporto infrastruktūros įrengimas</w:t>
            </w:r>
            <w:r w:rsidRPr="005C68E6">
              <w:rPr>
                <w:sz w:val="24"/>
                <w:szCs w:val="24"/>
              </w:rPr>
              <w:t xml:space="preserve"> (CVPIS</w:t>
            </w:r>
            <w:r>
              <w:rPr>
                <w:sz w:val="24"/>
                <w:szCs w:val="24"/>
              </w:rPr>
              <w:t xml:space="preserve"> Nr. 1044383</w:t>
            </w:r>
            <w:r w:rsidRPr="005C68E6">
              <w:rPr>
                <w:sz w:val="24"/>
                <w:szCs w:val="24"/>
              </w:rPr>
              <w:t>), tačiau jų atlikimas netrukdys prieplaukų įrengimo darbams, nes infrastruktūros paruošimas bus baigtas gerokai anksčiau nei prasidės prieplaukų įrengimas.</w:t>
            </w:r>
          </w:p>
          <w:p w14:paraId="3E465181" w14:textId="431F01F1" w:rsidR="005C68E6" w:rsidRPr="005C68E6" w:rsidRDefault="005C68E6" w:rsidP="005C68E6">
            <w:pPr>
              <w:jc w:val="both"/>
              <w:rPr>
                <w:sz w:val="24"/>
                <w:szCs w:val="24"/>
              </w:rPr>
            </w:pPr>
            <w:r w:rsidRPr="005C68E6">
              <w:rPr>
                <w:sz w:val="24"/>
                <w:szCs w:val="24"/>
              </w:rPr>
              <w:t>Pažymime, kad nepaneigta perkančiosios organizacijos teis</w:t>
            </w:r>
            <w:r>
              <w:rPr>
                <w:sz w:val="24"/>
                <w:szCs w:val="24"/>
              </w:rPr>
              <w:t>ė</w:t>
            </w:r>
            <w:r w:rsidRPr="005C68E6">
              <w:rPr>
                <w:sz w:val="24"/>
                <w:szCs w:val="24"/>
              </w:rPr>
              <w:t xml:space="preserve"> įsigyti jai reikalingą objektą nustatytais terminais.  Pabrėžiame, kad nustatyta konkreti data yra esminė pirkimo sąlyga, todėl pirkimo sąlygos</w:t>
            </w:r>
            <w:r>
              <w:rPr>
                <w:sz w:val="24"/>
                <w:szCs w:val="24"/>
              </w:rPr>
              <w:t>e</w:t>
            </w:r>
            <w:r w:rsidRPr="005C68E6">
              <w:rPr>
                <w:sz w:val="24"/>
                <w:szCs w:val="24"/>
              </w:rPr>
              <w:t xml:space="preserve"> nurodyti te</w:t>
            </w:r>
            <w:r>
              <w:rPr>
                <w:sz w:val="24"/>
                <w:szCs w:val="24"/>
              </w:rPr>
              <w:t>r</w:t>
            </w:r>
            <w:r w:rsidRPr="005C68E6">
              <w:rPr>
                <w:sz w:val="24"/>
                <w:szCs w:val="24"/>
              </w:rPr>
              <w:t>minai nebus keičiami. </w:t>
            </w:r>
          </w:p>
          <w:p w14:paraId="2AB1A359" w14:textId="1631572D" w:rsidR="005C68E6" w:rsidRPr="005C68E6" w:rsidRDefault="005C68E6" w:rsidP="005C68E6">
            <w:pPr>
              <w:jc w:val="both"/>
              <w:rPr>
                <w:sz w:val="24"/>
                <w:szCs w:val="24"/>
              </w:rPr>
            </w:pPr>
            <w:r w:rsidRPr="005C68E6">
              <w:rPr>
                <w:sz w:val="24"/>
                <w:szCs w:val="24"/>
              </w:rPr>
              <w:t>Papildomai informuojame, kad, atsižvelgiant į įprastą tokio pirkimo procedūrų trukmę, sutartį planuo</w:t>
            </w:r>
            <w:r>
              <w:rPr>
                <w:sz w:val="24"/>
                <w:szCs w:val="24"/>
              </w:rPr>
              <w:t>j</w:t>
            </w:r>
            <w:r w:rsidRPr="005C68E6">
              <w:rPr>
                <w:sz w:val="24"/>
                <w:szCs w:val="24"/>
              </w:rPr>
              <w:t>ama pasirašyti ne vėliau nei 2025 m. kovo 18 d.</w:t>
            </w:r>
          </w:p>
          <w:p w14:paraId="467977A1" w14:textId="7DEA17C2" w:rsidR="00EB08DE" w:rsidRPr="00216EB3" w:rsidRDefault="00EB08DE" w:rsidP="009574B0">
            <w:pPr>
              <w:jc w:val="both"/>
              <w:rPr>
                <w:sz w:val="24"/>
                <w:szCs w:val="24"/>
              </w:rPr>
            </w:pPr>
          </w:p>
        </w:tc>
      </w:tr>
      <w:tr w:rsidR="00EB08DE" w:rsidRPr="00216EB3" w14:paraId="66155FEC" w14:textId="77777777" w:rsidTr="00321D07">
        <w:trPr>
          <w:trHeight w:val="314"/>
        </w:trPr>
        <w:tc>
          <w:tcPr>
            <w:tcW w:w="704" w:type="dxa"/>
            <w:vAlign w:val="center"/>
          </w:tcPr>
          <w:p w14:paraId="030C4582" w14:textId="269E2567" w:rsidR="00EB08DE" w:rsidRPr="00216EB3" w:rsidRDefault="00EB08DE" w:rsidP="00216EB3">
            <w:pPr>
              <w:jc w:val="center"/>
              <w:rPr>
                <w:sz w:val="24"/>
                <w:szCs w:val="24"/>
              </w:rPr>
            </w:pPr>
            <w:r w:rsidRPr="00216EB3">
              <w:rPr>
                <w:sz w:val="24"/>
                <w:szCs w:val="24"/>
              </w:rPr>
              <w:t xml:space="preserve">2. </w:t>
            </w:r>
          </w:p>
        </w:tc>
        <w:tc>
          <w:tcPr>
            <w:tcW w:w="4536" w:type="dxa"/>
            <w:vAlign w:val="center"/>
          </w:tcPr>
          <w:p w14:paraId="08D35057" w14:textId="75E7C437" w:rsidR="00EB08DE" w:rsidRPr="00216EB3" w:rsidRDefault="00EB08DE" w:rsidP="00216EB3">
            <w:pPr>
              <w:jc w:val="both"/>
              <w:rPr>
                <w:sz w:val="24"/>
                <w:szCs w:val="24"/>
              </w:rPr>
            </w:pPr>
            <w:r>
              <w:rPr>
                <w:sz w:val="24"/>
                <w:szCs w:val="24"/>
              </w:rPr>
              <w:t>P</w:t>
            </w:r>
            <w:r w:rsidRPr="00216EB3">
              <w:rPr>
                <w:sz w:val="24"/>
                <w:szCs w:val="24"/>
              </w:rPr>
              <w:t>agal parengtą sutarties projektą matome, kad prieplaukas Neries upėje, tiek pirmo, tiek antro etapo reikia įrengti vėliausiai iki gegužės 15 dienos. Kadangi nėra aišku iki kada bus tiksliai pasirašyta sutartis su rangovu, dėl sutarties pasirašymų pradelsimų, tokių kaip konkurentų pretenzijų rašymai, todėl prašome perkančiosios organizacijos nenustatyti tikslios datos iki kada turi būti atlikti darbai ir siūlome sutartyje nurodyti mėnesių kiekį nuo sutarties įsigaliojimo datos iki kada turi būti atlikti darbai.</w:t>
            </w:r>
          </w:p>
        </w:tc>
        <w:tc>
          <w:tcPr>
            <w:tcW w:w="4388" w:type="dxa"/>
            <w:vMerge/>
            <w:vAlign w:val="center"/>
          </w:tcPr>
          <w:p w14:paraId="2DBDD15B" w14:textId="766DD7C8" w:rsidR="00EB08DE" w:rsidRPr="00EB08DE" w:rsidRDefault="00EB08DE" w:rsidP="00216EB3">
            <w:pPr>
              <w:jc w:val="both"/>
              <w:rPr>
                <w:sz w:val="24"/>
                <w:szCs w:val="24"/>
              </w:rPr>
            </w:pPr>
          </w:p>
        </w:tc>
      </w:tr>
    </w:tbl>
    <w:p w14:paraId="1D93736F" w14:textId="575F5EA0" w:rsidR="00216EB3" w:rsidRPr="00216EB3" w:rsidRDefault="00216EB3" w:rsidP="00216EB3">
      <w:pPr>
        <w:ind w:firstLine="1296"/>
        <w:jc w:val="both"/>
        <w:rPr>
          <w:sz w:val="24"/>
          <w:szCs w:val="24"/>
        </w:rPr>
      </w:pPr>
      <w:r w:rsidRPr="00216EB3">
        <w:rPr>
          <w:sz w:val="24"/>
          <w:szCs w:val="24"/>
        </w:rPr>
        <w:t>Pažymėtina, kad bet kuris UAB „Grinda“ atliktas paaiškinimas/patikslinimas yra laikomas neatskiriama Pirkimo sąlygų dalimi, ir jo nuostatos turi viršenybę prieš ankstesnes Pirkimo sąlygose išdėstytas nuostatas. Tuo atveju, kai skelbime apie Pirkimą pateikta informacija neatitinka informacijos, pateiktos kitose Pirkimo sąlygose, teisinga laikoma informacija, nurodyta skelbime apie Pirkimą.</w:t>
      </w:r>
    </w:p>
    <w:p w14:paraId="5AF13A32" w14:textId="77777777" w:rsidR="00216EB3" w:rsidRPr="00216EB3" w:rsidRDefault="00216EB3" w:rsidP="00216EB3">
      <w:pPr>
        <w:jc w:val="both"/>
        <w:rPr>
          <w:sz w:val="24"/>
          <w:szCs w:val="24"/>
        </w:rPr>
      </w:pPr>
    </w:p>
    <w:p w14:paraId="2DCB586B" w14:textId="77777777" w:rsidR="00184C85" w:rsidRPr="00216EB3" w:rsidRDefault="00184C85" w:rsidP="00216EB3">
      <w:pPr>
        <w:rPr>
          <w:sz w:val="24"/>
          <w:szCs w:val="24"/>
        </w:rPr>
      </w:pPr>
    </w:p>
    <w:sectPr w:rsidR="00184C85" w:rsidRPr="00216EB3" w:rsidSect="00D153CD">
      <w:headerReference w:type="default" r:id="rId8"/>
      <w:footerReference w:type="default" r:id="rId9"/>
      <w:pgSz w:w="11906" w:h="16838"/>
      <w:pgMar w:top="567" w:right="567" w:bottom="567"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8CCC" w14:textId="77777777" w:rsidR="008F4BC9" w:rsidRDefault="008F4BC9" w:rsidP="009E40FF">
      <w:r>
        <w:separator/>
      </w:r>
    </w:p>
  </w:endnote>
  <w:endnote w:type="continuationSeparator" w:id="0">
    <w:p w14:paraId="025F4F8C" w14:textId="77777777" w:rsidR="008F4BC9" w:rsidRDefault="008F4BC9" w:rsidP="009E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1D43" w14:textId="77777777" w:rsidR="00786C13" w:rsidRDefault="00786C1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ADA4" w14:textId="77777777" w:rsidR="008F4BC9" w:rsidRDefault="008F4BC9" w:rsidP="009E40FF">
      <w:r>
        <w:separator/>
      </w:r>
    </w:p>
  </w:footnote>
  <w:footnote w:type="continuationSeparator" w:id="0">
    <w:p w14:paraId="026C8CF2" w14:textId="77777777" w:rsidR="008F4BC9" w:rsidRDefault="008F4BC9" w:rsidP="009E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952438"/>
      <w:docPartObj>
        <w:docPartGallery w:val="Page Numbers (Top of Page)"/>
        <w:docPartUnique/>
      </w:docPartObj>
    </w:sdtPr>
    <w:sdtEndPr>
      <w:rPr>
        <w:rFonts w:ascii="Tahoma" w:hAnsi="Tahoma" w:cs="Tahoma"/>
        <w:sz w:val="22"/>
        <w:szCs w:val="22"/>
      </w:rPr>
    </w:sdtEndPr>
    <w:sdtContent>
      <w:p w14:paraId="12E342AD" w14:textId="6570C26D" w:rsidR="005E379B" w:rsidRPr="005E379B" w:rsidRDefault="005E379B">
        <w:pPr>
          <w:pStyle w:val="Antrats"/>
          <w:jc w:val="center"/>
          <w:rPr>
            <w:rFonts w:ascii="Tahoma" w:hAnsi="Tahoma" w:cs="Tahoma"/>
            <w:sz w:val="22"/>
            <w:szCs w:val="22"/>
          </w:rPr>
        </w:pPr>
        <w:r w:rsidRPr="005E379B">
          <w:rPr>
            <w:rFonts w:ascii="Tahoma" w:hAnsi="Tahoma" w:cs="Tahoma"/>
            <w:sz w:val="22"/>
            <w:szCs w:val="22"/>
          </w:rPr>
          <w:fldChar w:fldCharType="begin"/>
        </w:r>
        <w:r w:rsidRPr="005E379B">
          <w:rPr>
            <w:rFonts w:ascii="Tahoma" w:hAnsi="Tahoma" w:cs="Tahoma"/>
            <w:sz w:val="22"/>
            <w:szCs w:val="22"/>
          </w:rPr>
          <w:instrText>PAGE   \* MERGEFORMAT</w:instrText>
        </w:r>
        <w:r w:rsidRPr="005E379B">
          <w:rPr>
            <w:rFonts w:ascii="Tahoma" w:hAnsi="Tahoma" w:cs="Tahoma"/>
            <w:sz w:val="22"/>
            <w:szCs w:val="22"/>
          </w:rPr>
          <w:fldChar w:fldCharType="separate"/>
        </w:r>
        <w:r w:rsidR="00734164">
          <w:rPr>
            <w:rFonts w:ascii="Tahoma" w:hAnsi="Tahoma" w:cs="Tahoma"/>
            <w:noProof/>
            <w:sz w:val="22"/>
            <w:szCs w:val="22"/>
          </w:rPr>
          <w:t>2</w:t>
        </w:r>
        <w:r w:rsidRPr="005E379B">
          <w:rPr>
            <w:rFonts w:ascii="Tahoma" w:hAnsi="Tahoma" w:cs="Tahoma"/>
            <w:sz w:val="22"/>
            <w:szCs w:val="22"/>
          </w:rPr>
          <w:fldChar w:fldCharType="end"/>
        </w:r>
      </w:p>
    </w:sdtContent>
  </w:sdt>
  <w:p w14:paraId="3381A3C4" w14:textId="77777777" w:rsidR="005E379B" w:rsidRPr="00466AE9" w:rsidRDefault="005E379B" w:rsidP="005E379B">
    <w:pPr>
      <w:spacing w:line="276" w:lineRule="auto"/>
      <w:jc w:val="righ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C66"/>
    <w:multiLevelType w:val="hybridMultilevel"/>
    <w:tmpl w:val="71BCA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9A7EA6"/>
    <w:multiLevelType w:val="multilevel"/>
    <w:tmpl w:val="E9E45F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A10D33"/>
    <w:multiLevelType w:val="hybridMultilevel"/>
    <w:tmpl w:val="35F8F02A"/>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04D34"/>
    <w:multiLevelType w:val="hybridMultilevel"/>
    <w:tmpl w:val="9A2056CC"/>
    <w:lvl w:ilvl="0" w:tplc="04270019">
      <w:start w:val="1"/>
      <w:numFmt w:val="lowerLetter"/>
      <w:lvlText w:val="%1."/>
      <w:lvlJc w:val="left"/>
      <w:pPr>
        <w:ind w:left="1102" w:hanging="360"/>
      </w:pPr>
    </w:lvl>
    <w:lvl w:ilvl="1" w:tplc="04270001">
      <w:start w:val="1"/>
      <w:numFmt w:val="bullet"/>
      <w:lvlText w:val=""/>
      <w:lvlJc w:val="left"/>
      <w:pPr>
        <w:ind w:left="1822" w:hanging="360"/>
      </w:pPr>
      <w:rPr>
        <w:rFonts w:ascii="Symbol" w:hAnsi="Symbol" w:hint="default"/>
      </w:r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4" w15:restartNumberingAfterBreak="0">
    <w:nsid w:val="2B7D24FC"/>
    <w:multiLevelType w:val="hybridMultilevel"/>
    <w:tmpl w:val="2E503DB6"/>
    <w:lvl w:ilvl="0" w:tplc="31F87B8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AA4A73"/>
    <w:multiLevelType w:val="multilevel"/>
    <w:tmpl w:val="C3DC8332"/>
    <w:lvl w:ilvl="0">
      <w:start w:val="2"/>
      <w:numFmt w:val="decimal"/>
      <w:lvlText w:val="%1."/>
      <w:lvlJc w:val="left"/>
      <w:pPr>
        <w:ind w:left="480" w:hanging="480"/>
      </w:pPr>
      <w:rPr>
        <w:rFonts w:hint="default"/>
      </w:rPr>
    </w:lvl>
    <w:lvl w:ilvl="1">
      <w:start w:val="1"/>
      <w:numFmt w:val="decimal"/>
      <w:lvlText w:val="%1.%2."/>
      <w:lvlJc w:val="left"/>
      <w:pPr>
        <w:ind w:left="742" w:hanging="720"/>
      </w:pPr>
      <w:rPr>
        <w:rFonts w:hint="default"/>
      </w:rPr>
    </w:lvl>
    <w:lvl w:ilvl="2">
      <w:start w:val="1"/>
      <w:numFmt w:val="decimal"/>
      <w:lvlText w:val="%1.%2.)%3."/>
      <w:lvlJc w:val="left"/>
      <w:pPr>
        <w:ind w:left="1124" w:hanging="108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528" w:hanging="1440"/>
      </w:pPr>
      <w:rPr>
        <w:rFonts w:hint="default"/>
      </w:rPr>
    </w:lvl>
    <w:lvl w:ilvl="5">
      <w:start w:val="1"/>
      <w:numFmt w:val="decimal"/>
      <w:lvlText w:val="%1.%2.)%3.%4.%5.%6."/>
      <w:lvlJc w:val="left"/>
      <w:pPr>
        <w:ind w:left="1910" w:hanging="1800"/>
      </w:pPr>
      <w:rPr>
        <w:rFonts w:hint="default"/>
      </w:rPr>
    </w:lvl>
    <w:lvl w:ilvl="6">
      <w:start w:val="1"/>
      <w:numFmt w:val="decimal"/>
      <w:lvlText w:val="%1.%2.)%3.%4.%5.%6.%7."/>
      <w:lvlJc w:val="left"/>
      <w:pPr>
        <w:ind w:left="1932" w:hanging="1800"/>
      </w:pPr>
      <w:rPr>
        <w:rFonts w:hint="default"/>
      </w:rPr>
    </w:lvl>
    <w:lvl w:ilvl="7">
      <w:start w:val="1"/>
      <w:numFmt w:val="decimal"/>
      <w:lvlText w:val="%1.%2.)%3.%4.%5.%6.%7.%8."/>
      <w:lvlJc w:val="left"/>
      <w:pPr>
        <w:ind w:left="2314" w:hanging="2160"/>
      </w:pPr>
      <w:rPr>
        <w:rFonts w:hint="default"/>
      </w:rPr>
    </w:lvl>
    <w:lvl w:ilvl="8">
      <w:start w:val="1"/>
      <w:numFmt w:val="decimal"/>
      <w:lvlText w:val="%1.%2.)%3.%4.%5.%6.%7.%8.%9."/>
      <w:lvlJc w:val="left"/>
      <w:pPr>
        <w:ind w:left="2336" w:hanging="2160"/>
      </w:pPr>
      <w:rPr>
        <w:rFonts w:hint="default"/>
      </w:rPr>
    </w:lvl>
  </w:abstractNum>
  <w:abstractNum w:abstractNumId="6" w15:restartNumberingAfterBreak="0">
    <w:nsid w:val="2E0376F8"/>
    <w:multiLevelType w:val="hybridMultilevel"/>
    <w:tmpl w:val="A96057D8"/>
    <w:lvl w:ilvl="0" w:tplc="16A06050">
      <w:start w:val="1"/>
      <w:numFmt w:val="decimal"/>
      <w:lvlText w:val="%1)"/>
      <w:lvlJc w:val="left"/>
      <w:pPr>
        <w:ind w:left="382" w:hanging="360"/>
      </w:pPr>
      <w:rPr>
        <w:rFonts w:hint="default"/>
      </w:rPr>
    </w:lvl>
    <w:lvl w:ilvl="1" w:tplc="04270019">
      <w:start w:val="1"/>
      <w:numFmt w:val="lowerLetter"/>
      <w:lvlText w:val="%2."/>
      <w:lvlJc w:val="left"/>
      <w:pPr>
        <w:ind w:left="1102" w:hanging="360"/>
      </w:pPr>
    </w:lvl>
    <w:lvl w:ilvl="2" w:tplc="0427001B">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7" w15:restartNumberingAfterBreak="0">
    <w:nsid w:val="2ED4247E"/>
    <w:multiLevelType w:val="hybridMultilevel"/>
    <w:tmpl w:val="951CE1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7B7FF0"/>
    <w:multiLevelType w:val="hybridMultilevel"/>
    <w:tmpl w:val="FD147D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6267A9"/>
    <w:multiLevelType w:val="hybridMultilevel"/>
    <w:tmpl w:val="FF806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D20516"/>
    <w:multiLevelType w:val="hybridMultilevel"/>
    <w:tmpl w:val="76FAFB10"/>
    <w:lvl w:ilvl="0" w:tplc="1D28CD0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3913086"/>
    <w:multiLevelType w:val="hybridMultilevel"/>
    <w:tmpl w:val="1D0226F8"/>
    <w:lvl w:ilvl="0" w:tplc="04270019">
      <w:start w:val="1"/>
      <w:numFmt w:val="lowerLetter"/>
      <w:lvlText w:val="%1."/>
      <w:lvlJc w:val="left"/>
      <w:pPr>
        <w:ind w:left="1102" w:hanging="360"/>
      </w:p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12" w15:restartNumberingAfterBreak="0">
    <w:nsid w:val="56BB79CB"/>
    <w:multiLevelType w:val="hybridMultilevel"/>
    <w:tmpl w:val="5AD03D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5025D6"/>
    <w:multiLevelType w:val="hybridMultilevel"/>
    <w:tmpl w:val="F886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5841946"/>
    <w:multiLevelType w:val="hybridMultilevel"/>
    <w:tmpl w:val="74A4282A"/>
    <w:lvl w:ilvl="0" w:tplc="EA1A9ACE">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6" w15:restartNumberingAfterBreak="0">
    <w:nsid w:val="76E62CC1"/>
    <w:multiLevelType w:val="hybridMultilevel"/>
    <w:tmpl w:val="8050F8B4"/>
    <w:lvl w:ilvl="0" w:tplc="D3AE59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A84519"/>
    <w:multiLevelType w:val="hybridMultilevel"/>
    <w:tmpl w:val="4FBA290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7D492904"/>
    <w:multiLevelType w:val="hybridMultilevel"/>
    <w:tmpl w:val="AF4431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574C672">
      <w:start w:val="1"/>
      <w:numFmt w:val="decimal"/>
      <w:lvlText w:val="%4."/>
      <w:lvlJc w:val="left"/>
      <w:pPr>
        <w:ind w:left="2880" w:hanging="360"/>
      </w:pPr>
      <w:rPr>
        <w:rFonts w:ascii="Times New Roman" w:eastAsia="Times New Roman" w:hAnsi="Times New Roman" w:cs="Times New Roman"/>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571133">
    <w:abstractNumId w:val="4"/>
  </w:num>
  <w:num w:numId="2" w16cid:durableId="323047496">
    <w:abstractNumId w:val="8"/>
  </w:num>
  <w:num w:numId="3" w16cid:durableId="1821921813">
    <w:abstractNumId w:val="13"/>
  </w:num>
  <w:num w:numId="4" w16cid:durableId="406458332">
    <w:abstractNumId w:val="18"/>
  </w:num>
  <w:num w:numId="5" w16cid:durableId="742069197">
    <w:abstractNumId w:val="15"/>
  </w:num>
  <w:num w:numId="6" w16cid:durableId="1299409229">
    <w:abstractNumId w:val="12"/>
  </w:num>
  <w:num w:numId="7" w16cid:durableId="1388648142">
    <w:abstractNumId w:val="1"/>
  </w:num>
  <w:num w:numId="8" w16cid:durableId="322898677">
    <w:abstractNumId w:val="7"/>
  </w:num>
  <w:num w:numId="9" w16cid:durableId="29762770">
    <w:abstractNumId w:val="17"/>
  </w:num>
  <w:num w:numId="10" w16cid:durableId="1019356460">
    <w:abstractNumId w:val="0"/>
  </w:num>
  <w:num w:numId="11" w16cid:durableId="1675961042">
    <w:abstractNumId w:val="14"/>
  </w:num>
  <w:num w:numId="12" w16cid:durableId="46221321">
    <w:abstractNumId w:val="9"/>
  </w:num>
  <w:num w:numId="13" w16cid:durableId="347365666">
    <w:abstractNumId w:val="2"/>
  </w:num>
  <w:num w:numId="14" w16cid:durableId="972448776">
    <w:abstractNumId w:val="10"/>
  </w:num>
  <w:num w:numId="15" w16cid:durableId="2002271994">
    <w:abstractNumId w:val="6"/>
  </w:num>
  <w:num w:numId="16" w16cid:durableId="472915330">
    <w:abstractNumId w:val="5"/>
  </w:num>
  <w:num w:numId="17" w16cid:durableId="1206211535">
    <w:abstractNumId w:val="3"/>
  </w:num>
  <w:num w:numId="18" w16cid:durableId="521894264">
    <w:abstractNumId w:val="11"/>
  </w:num>
  <w:num w:numId="19" w16cid:durableId="19547090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71"/>
    <w:rsid w:val="00011087"/>
    <w:rsid w:val="00042480"/>
    <w:rsid w:val="00060837"/>
    <w:rsid w:val="000612FA"/>
    <w:rsid w:val="000625B4"/>
    <w:rsid w:val="00070D4B"/>
    <w:rsid w:val="00071C9F"/>
    <w:rsid w:val="00075B28"/>
    <w:rsid w:val="00085FDB"/>
    <w:rsid w:val="000904C8"/>
    <w:rsid w:val="000A03B2"/>
    <w:rsid w:val="000B0B16"/>
    <w:rsid w:val="000B2D75"/>
    <w:rsid w:val="000B4AEC"/>
    <w:rsid w:val="00105BF5"/>
    <w:rsid w:val="0011496A"/>
    <w:rsid w:val="0011712C"/>
    <w:rsid w:val="00123C43"/>
    <w:rsid w:val="001323CB"/>
    <w:rsid w:val="00133478"/>
    <w:rsid w:val="00135473"/>
    <w:rsid w:val="00142DAA"/>
    <w:rsid w:val="00144AF9"/>
    <w:rsid w:val="00147B68"/>
    <w:rsid w:val="00184C85"/>
    <w:rsid w:val="00187FF3"/>
    <w:rsid w:val="001A05C8"/>
    <w:rsid w:val="001A344E"/>
    <w:rsid w:val="001B46D5"/>
    <w:rsid w:val="001D3195"/>
    <w:rsid w:val="001D687D"/>
    <w:rsid w:val="00205ADC"/>
    <w:rsid w:val="00216EB3"/>
    <w:rsid w:val="00221A79"/>
    <w:rsid w:val="00221E67"/>
    <w:rsid w:val="00226CAD"/>
    <w:rsid w:val="00227CDE"/>
    <w:rsid w:val="002466FD"/>
    <w:rsid w:val="00257AB6"/>
    <w:rsid w:val="00261122"/>
    <w:rsid w:val="00261F5D"/>
    <w:rsid w:val="00263392"/>
    <w:rsid w:val="00267ACD"/>
    <w:rsid w:val="00280DE8"/>
    <w:rsid w:val="00283097"/>
    <w:rsid w:val="002914AD"/>
    <w:rsid w:val="002A5532"/>
    <w:rsid w:val="002D0858"/>
    <w:rsid w:val="002E015D"/>
    <w:rsid w:val="002F3ECC"/>
    <w:rsid w:val="00302817"/>
    <w:rsid w:val="00323900"/>
    <w:rsid w:val="00324FD3"/>
    <w:rsid w:val="00336889"/>
    <w:rsid w:val="00353707"/>
    <w:rsid w:val="00355AAF"/>
    <w:rsid w:val="00367B34"/>
    <w:rsid w:val="00381123"/>
    <w:rsid w:val="00386FC6"/>
    <w:rsid w:val="003932E7"/>
    <w:rsid w:val="003A11F2"/>
    <w:rsid w:val="003B0D33"/>
    <w:rsid w:val="003D34AE"/>
    <w:rsid w:val="003D545B"/>
    <w:rsid w:val="003D574A"/>
    <w:rsid w:val="003E7D37"/>
    <w:rsid w:val="003F3365"/>
    <w:rsid w:val="003F4B8D"/>
    <w:rsid w:val="00402F8B"/>
    <w:rsid w:val="00403825"/>
    <w:rsid w:val="00421404"/>
    <w:rsid w:val="004279F8"/>
    <w:rsid w:val="00441670"/>
    <w:rsid w:val="00446337"/>
    <w:rsid w:val="00453355"/>
    <w:rsid w:val="004566C1"/>
    <w:rsid w:val="004802B5"/>
    <w:rsid w:val="00483D92"/>
    <w:rsid w:val="00494F69"/>
    <w:rsid w:val="00497292"/>
    <w:rsid w:val="004A477A"/>
    <w:rsid w:val="004A6674"/>
    <w:rsid w:val="004B2318"/>
    <w:rsid w:val="004B3120"/>
    <w:rsid w:val="004E3820"/>
    <w:rsid w:val="004F78C1"/>
    <w:rsid w:val="00505155"/>
    <w:rsid w:val="00521A9D"/>
    <w:rsid w:val="00553932"/>
    <w:rsid w:val="0056012C"/>
    <w:rsid w:val="00571555"/>
    <w:rsid w:val="00595161"/>
    <w:rsid w:val="005C68E6"/>
    <w:rsid w:val="005D0890"/>
    <w:rsid w:val="005D1286"/>
    <w:rsid w:val="005D25A6"/>
    <w:rsid w:val="005D3EA3"/>
    <w:rsid w:val="005D46BE"/>
    <w:rsid w:val="005E379B"/>
    <w:rsid w:val="005F056B"/>
    <w:rsid w:val="005F1495"/>
    <w:rsid w:val="005F2978"/>
    <w:rsid w:val="005F3FC4"/>
    <w:rsid w:val="005F62B0"/>
    <w:rsid w:val="005F708B"/>
    <w:rsid w:val="00603806"/>
    <w:rsid w:val="0061760A"/>
    <w:rsid w:val="00631229"/>
    <w:rsid w:val="006535D3"/>
    <w:rsid w:val="0067028F"/>
    <w:rsid w:val="006806D6"/>
    <w:rsid w:val="00683553"/>
    <w:rsid w:val="006B2571"/>
    <w:rsid w:val="006B6E4B"/>
    <w:rsid w:val="006C0BF2"/>
    <w:rsid w:val="006C5FBC"/>
    <w:rsid w:val="006E14EC"/>
    <w:rsid w:val="006E1B6D"/>
    <w:rsid w:val="006E21F3"/>
    <w:rsid w:val="006E35A5"/>
    <w:rsid w:val="00704C93"/>
    <w:rsid w:val="00706CD0"/>
    <w:rsid w:val="007169AE"/>
    <w:rsid w:val="00725FBE"/>
    <w:rsid w:val="0073397D"/>
    <w:rsid w:val="007339F3"/>
    <w:rsid w:val="00734164"/>
    <w:rsid w:val="00737751"/>
    <w:rsid w:val="00756D00"/>
    <w:rsid w:val="0077219C"/>
    <w:rsid w:val="007801F5"/>
    <w:rsid w:val="0078114A"/>
    <w:rsid w:val="00786C13"/>
    <w:rsid w:val="00790E9C"/>
    <w:rsid w:val="007918F6"/>
    <w:rsid w:val="00797D3A"/>
    <w:rsid w:val="007A4302"/>
    <w:rsid w:val="007A51CE"/>
    <w:rsid w:val="007B1025"/>
    <w:rsid w:val="007B2F44"/>
    <w:rsid w:val="007B5A74"/>
    <w:rsid w:val="007D12C5"/>
    <w:rsid w:val="007D4512"/>
    <w:rsid w:val="007E4698"/>
    <w:rsid w:val="007F0A27"/>
    <w:rsid w:val="007F101C"/>
    <w:rsid w:val="007F29CD"/>
    <w:rsid w:val="007F5150"/>
    <w:rsid w:val="007F79DD"/>
    <w:rsid w:val="008072D8"/>
    <w:rsid w:val="00816DD7"/>
    <w:rsid w:val="00822276"/>
    <w:rsid w:val="00822E04"/>
    <w:rsid w:val="00824166"/>
    <w:rsid w:val="00830468"/>
    <w:rsid w:val="00830DF1"/>
    <w:rsid w:val="008316FE"/>
    <w:rsid w:val="0083712E"/>
    <w:rsid w:val="00837A7F"/>
    <w:rsid w:val="008411F9"/>
    <w:rsid w:val="0084396B"/>
    <w:rsid w:val="008453CE"/>
    <w:rsid w:val="00853767"/>
    <w:rsid w:val="008621FE"/>
    <w:rsid w:val="00884AE3"/>
    <w:rsid w:val="00894209"/>
    <w:rsid w:val="008A05D4"/>
    <w:rsid w:val="008B1629"/>
    <w:rsid w:val="008B469F"/>
    <w:rsid w:val="008D417B"/>
    <w:rsid w:val="008E12EA"/>
    <w:rsid w:val="008E3F0E"/>
    <w:rsid w:val="008E4E5E"/>
    <w:rsid w:val="008F4BC9"/>
    <w:rsid w:val="00900A9F"/>
    <w:rsid w:val="00906B29"/>
    <w:rsid w:val="0091760D"/>
    <w:rsid w:val="009227F8"/>
    <w:rsid w:val="00925BB3"/>
    <w:rsid w:val="00927A17"/>
    <w:rsid w:val="00930DA1"/>
    <w:rsid w:val="00947F1D"/>
    <w:rsid w:val="00950341"/>
    <w:rsid w:val="009574B0"/>
    <w:rsid w:val="0096272C"/>
    <w:rsid w:val="0096306A"/>
    <w:rsid w:val="00971686"/>
    <w:rsid w:val="0099075F"/>
    <w:rsid w:val="009915E1"/>
    <w:rsid w:val="009B62BC"/>
    <w:rsid w:val="009B7E1F"/>
    <w:rsid w:val="009C7977"/>
    <w:rsid w:val="009D20A3"/>
    <w:rsid w:val="009E40FF"/>
    <w:rsid w:val="00A01268"/>
    <w:rsid w:val="00A04B32"/>
    <w:rsid w:val="00A21557"/>
    <w:rsid w:val="00A36BFB"/>
    <w:rsid w:val="00A41D54"/>
    <w:rsid w:val="00A45415"/>
    <w:rsid w:val="00A54D42"/>
    <w:rsid w:val="00A739E4"/>
    <w:rsid w:val="00A87AAE"/>
    <w:rsid w:val="00A9008E"/>
    <w:rsid w:val="00AB28DA"/>
    <w:rsid w:val="00AB44A6"/>
    <w:rsid w:val="00AE722A"/>
    <w:rsid w:val="00AF14C9"/>
    <w:rsid w:val="00AF53FB"/>
    <w:rsid w:val="00B010F7"/>
    <w:rsid w:val="00B06D0D"/>
    <w:rsid w:val="00B25490"/>
    <w:rsid w:val="00B375FD"/>
    <w:rsid w:val="00B411F5"/>
    <w:rsid w:val="00B473F5"/>
    <w:rsid w:val="00B64D69"/>
    <w:rsid w:val="00B70F4F"/>
    <w:rsid w:val="00B73D98"/>
    <w:rsid w:val="00B84682"/>
    <w:rsid w:val="00B919BD"/>
    <w:rsid w:val="00BA154A"/>
    <w:rsid w:val="00BA5FFE"/>
    <w:rsid w:val="00BB6178"/>
    <w:rsid w:val="00BB76F5"/>
    <w:rsid w:val="00BD5A6D"/>
    <w:rsid w:val="00BE004E"/>
    <w:rsid w:val="00BF6E4A"/>
    <w:rsid w:val="00C43CC3"/>
    <w:rsid w:val="00C76FEF"/>
    <w:rsid w:val="00C86148"/>
    <w:rsid w:val="00C86F85"/>
    <w:rsid w:val="00C8714B"/>
    <w:rsid w:val="00C87A9E"/>
    <w:rsid w:val="00C96F4A"/>
    <w:rsid w:val="00CA2199"/>
    <w:rsid w:val="00CA613E"/>
    <w:rsid w:val="00CA77FC"/>
    <w:rsid w:val="00CC1955"/>
    <w:rsid w:val="00CD0820"/>
    <w:rsid w:val="00CD47E2"/>
    <w:rsid w:val="00CF1A9B"/>
    <w:rsid w:val="00CF4711"/>
    <w:rsid w:val="00D01DC6"/>
    <w:rsid w:val="00D02B63"/>
    <w:rsid w:val="00D04649"/>
    <w:rsid w:val="00D104FD"/>
    <w:rsid w:val="00D13AC6"/>
    <w:rsid w:val="00D153CD"/>
    <w:rsid w:val="00D15EBB"/>
    <w:rsid w:val="00D22FDD"/>
    <w:rsid w:val="00D33C10"/>
    <w:rsid w:val="00D429E0"/>
    <w:rsid w:val="00D6550E"/>
    <w:rsid w:val="00D762CC"/>
    <w:rsid w:val="00D93AA3"/>
    <w:rsid w:val="00D94740"/>
    <w:rsid w:val="00DA18E5"/>
    <w:rsid w:val="00DA5769"/>
    <w:rsid w:val="00DA77BB"/>
    <w:rsid w:val="00DB6A69"/>
    <w:rsid w:val="00DB6A7E"/>
    <w:rsid w:val="00DE0DE4"/>
    <w:rsid w:val="00DE7408"/>
    <w:rsid w:val="00DF2E6A"/>
    <w:rsid w:val="00DF7CAE"/>
    <w:rsid w:val="00E104BB"/>
    <w:rsid w:val="00E1442A"/>
    <w:rsid w:val="00E16FE5"/>
    <w:rsid w:val="00E33452"/>
    <w:rsid w:val="00E458F9"/>
    <w:rsid w:val="00E653C5"/>
    <w:rsid w:val="00E739EC"/>
    <w:rsid w:val="00E91766"/>
    <w:rsid w:val="00E93C18"/>
    <w:rsid w:val="00E96B37"/>
    <w:rsid w:val="00E97382"/>
    <w:rsid w:val="00EA2DAF"/>
    <w:rsid w:val="00EB08DE"/>
    <w:rsid w:val="00EC1FE1"/>
    <w:rsid w:val="00F11E4B"/>
    <w:rsid w:val="00F126EB"/>
    <w:rsid w:val="00F130B2"/>
    <w:rsid w:val="00F130D2"/>
    <w:rsid w:val="00F1545A"/>
    <w:rsid w:val="00F22459"/>
    <w:rsid w:val="00F42B4C"/>
    <w:rsid w:val="00F514CA"/>
    <w:rsid w:val="00F51EF3"/>
    <w:rsid w:val="00F53026"/>
    <w:rsid w:val="00F53A25"/>
    <w:rsid w:val="00F70742"/>
    <w:rsid w:val="00F75DC2"/>
    <w:rsid w:val="00F83FF8"/>
    <w:rsid w:val="00F85F2B"/>
    <w:rsid w:val="00FA7D24"/>
    <w:rsid w:val="00FB046A"/>
    <w:rsid w:val="00FC04E0"/>
    <w:rsid w:val="00FD2DE9"/>
    <w:rsid w:val="00FD5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0F198"/>
  <w15:chartTrackingRefBased/>
  <w15:docId w15:val="{D5566991-C089-40D8-8634-796C892C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D8"/>
    <w:pPr>
      <w:ind w:firstLine="0"/>
    </w:pPr>
    <w:rPr>
      <w:rFonts w:eastAsia="Times New Roman" w:cs="Times New Roman"/>
      <w:sz w:val="20"/>
      <w:szCs w:val="20"/>
    </w:rPr>
  </w:style>
  <w:style w:type="paragraph" w:styleId="Antrat1">
    <w:name w:val="heading 1"/>
    <w:basedOn w:val="prastasis"/>
    <w:next w:val="prastasis"/>
    <w:link w:val="Antrat1Diagrama"/>
    <w:uiPriority w:val="9"/>
    <w:qFormat/>
    <w:rsid w:val="00947F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6B2571"/>
    <w:pPr>
      <w:keepNext/>
      <w:outlineLvl w:val="1"/>
    </w:pPr>
    <w:rPr>
      <w:b/>
      <w:sz w:val="24"/>
    </w:rPr>
  </w:style>
  <w:style w:type="paragraph" w:styleId="Antrat3">
    <w:name w:val="heading 3"/>
    <w:basedOn w:val="prastasis"/>
    <w:next w:val="prastasis"/>
    <w:link w:val="Antrat3Diagrama"/>
    <w:uiPriority w:val="9"/>
    <w:unhideWhenUsed/>
    <w:qFormat/>
    <w:rsid w:val="00947F1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B2571"/>
    <w:rPr>
      <w:rFonts w:eastAsia="Times New Roman" w:cs="Times New Roman"/>
      <w:b/>
      <w:szCs w:val="20"/>
    </w:rPr>
  </w:style>
  <w:style w:type="paragraph" w:styleId="Pagrindinistekstas">
    <w:name w:val="Body Text"/>
    <w:basedOn w:val="prastasis"/>
    <w:link w:val="PagrindinistekstasDiagrama"/>
    <w:rsid w:val="006B2571"/>
    <w:rPr>
      <w:sz w:val="24"/>
    </w:rPr>
  </w:style>
  <w:style w:type="character" w:customStyle="1" w:styleId="PagrindinistekstasDiagrama">
    <w:name w:val="Pagrindinis tekstas Diagrama"/>
    <w:basedOn w:val="Numatytasispastraiposriftas"/>
    <w:link w:val="Pagrindinistekstas"/>
    <w:rsid w:val="006B2571"/>
    <w:rPr>
      <w:rFonts w:eastAsia="Times New Roman" w:cs="Times New Roman"/>
      <w:szCs w:val="20"/>
    </w:rPr>
  </w:style>
  <w:style w:type="paragraph" w:styleId="Pagrindiniotekstotrauka2">
    <w:name w:val="Body Text Indent 2"/>
    <w:basedOn w:val="prastasis"/>
    <w:link w:val="Pagrindiniotekstotrauka2Diagrama"/>
    <w:rsid w:val="006B2571"/>
    <w:pPr>
      <w:ind w:left="5550"/>
    </w:pPr>
    <w:rPr>
      <w:sz w:val="22"/>
    </w:rPr>
  </w:style>
  <w:style w:type="character" w:customStyle="1" w:styleId="Pagrindiniotekstotrauka2Diagrama">
    <w:name w:val="Pagrindinio teksto įtrauka 2 Diagrama"/>
    <w:basedOn w:val="Numatytasispastraiposriftas"/>
    <w:link w:val="Pagrindiniotekstotrauka2"/>
    <w:rsid w:val="006B2571"/>
    <w:rPr>
      <w:rFonts w:eastAsia="Times New Roman" w:cs="Times New Roman"/>
      <w:sz w:val="22"/>
      <w:szCs w:val="20"/>
    </w:rPr>
  </w:style>
  <w:style w:type="character" w:styleId="Hipersaitas">
    <w:name w:val="Hyperlink"/>
    <w:rsid w:val="006B2571"/>
    <w:rPr>
      <w:color w:val="0000FF"/>
      <w:u w:val="single"/>
    </w:rPr>
  </w:style>
  <w:style w:type="table" w:styleId="Lentelstinklelis">
    <w:name w:val="Table Grid"/>
    <w:basedOn w:val="prastojilentel"/>
    <w:uiPriority w:val="39"/>
    <w:rsid w:val="006B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706CD0"/>
    <w:pPr>
      <w:ind w:left="720"/>
      <w:contextualSpacing/>
    </w:pPr>
  </w:style>
  <w:style w:type="paragraph" w:customStyle="1" w:styleId="FreeForm">
    <w:name w:val="Free Form"/>
    <w:rsid w:val="006B6E4B"/>
    <w:pPr>
      <w:ind w:firstLine="0"/>
    </w:pPr>
    <w:rPr>
      <w:rFonts w:ascii="Helvetica Neue" w:eastAsia="Arial Unicode MS" w:hAnsi="Helvetica Neue" w:cs="Arial Unicode MS"/>
      <w:color w:val="413F3C"/>
      <w:sz w:val="16"/>
      <w:szCs w:val="16"/>
      <w:lang w:val="pt-PT" w:eastAsia="lt-LT"/>
    </w:rPr>
  </w:style>
  <w:style w:type="paragraph" w:styleId="Debesliotekstas">
    <w:name w:val="Balloon Text"/>
    <w:basedOn w:val="prastasis"/>
    <w:link w:val="DebesliotekstasDiagrama"/>
    <w:uiPriority w:val="99"/>
    <w:semiHidden/>
    <w:unhideWhenUsed/>
    <w:rsid w:val="002E01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015D"/>
    <w:rPr>
      <w:rFonts w:ascii="Segoe UI" w:eastAsia="Times New Roman" w:hAnsi="Segoe UI" w:cs="Segoe UI"/>
      <w:sz w:val="18"/>
      <w:szCs w:val="18"/>
    </w:rPr>
  </w:style>
  <w:style w:type="paragraph" w:customStyle="1" w:styleId="DiagramaDiagrama">
    <w:name w:val="Diagrama Diagrama"/>
    <w:basedOn w:val="prastasis"/>
    <w:rsid w:val="00187FF3"/>
    <w:pPr>
      <w:spacing w:after="160" w:line="240" w:lineRule="exact"/>
    </w:pPr>
    <w:rPr>
      <w:rFonts w:ascii="Tahoma" w:hAnsi="Tahoma"/>
      <w:lang w:val="en-US"/>
    </w:rPr>
  </w:style>
  <w:style w:type="character" w:customStyle="1" w:styleId="paratext">
    <w:name w:val="paratext"/>
    <w:basedOn w:val="Numatytasispastraiposriftas"/>
    <w:rsid w:val="00CA2199"/>
  </w:style>
  <w:style w:type="paragraph" w:customStyle="1" w:styleId="DiagramaDiagrama0">
    <w:name w:val="Diagrama Diagrama"/>
    <w:basedOn w:val="prastasis"/>
    <w:rsid w:val="00CA2199"/>
    <w:pPr>
      <w:spacing w:after="160" w:line="240" w:lineRule="exact"/>
    </w:pPr>
    <w:rPr>
      <w:rFonts w:ascii="Tahoma" w:hAnsi="Tahoma"/>
      <w:lang w:val="en-US"/>
    </w:rPr>
  </w:style>
  <w:style w:type="character" w:styleId="Komentaronuoroda">
    <w:name w:val="annotation reference"/>
    <w:basedOn w:val="Numatytasispastraiposriftas"/>
    <w:uiPriority w:val="99"/>
    <w:semiHidden/>
    <w:unhideWhenUsed/>
    <w:rsid w:val="00AF53FB"/>
    <w:rPr>
      <w:sz w:val="16"/>
      <w:szCs w:val="16"/>
    </w:rPr>
  </w:style>
  <w:style w:type="paragraph" w:styleId="Komentarotekstas">
    <w:name w:val="annotation text"/>
    <w:basedOn w:val="prastasis"/>
    <w:link w:val="KomentarotekstasDiagrama"/>
    <w:uiPriority w:val="99"/>
    <w:unhideWhenUsed/>
    <w:rsid w:val="00AF53FB"/>
  </w:style>
  <w:style w:type="character" w:customStyle="1" w:styleId="KomentarotekstasDiagrama">
    <w:name w:val="Komentaro tekstas Diagrama"/>
    <w:basedOn w:val="Numatytasispastraiposriftas"/>
    <w:link w:val="Komentarotekstas"/>
    <w:uiPriority w:val="99"/>
    <w:rsid w:val="00AF53F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53FB"/>
    <w:rPr>
      <w:b/>
      <w:bCs/>
    </w:rPr>
  </w:style>
  <w:style w:type="character" w:customStyle="1" w:styleId="KomentarotemaDiagrama">
    <w:name w:val="Komentaro tema Diagrama"/>
    <w:basedOn w:val="KomentarotekstasDiagrama"/>
    <w:link w:val="Komentarotema"/>
    <w:uiPriority w:val="99"/>
    <w:semiHidden/>
    <w:rsid w:val="00AF53FB"/>
    <w:rPr>
      <w:rFonts w:eastAsia="Times New Roman" w:cs="Times New Roman"/>
      <w:b/>
      <w:bCs/>
      <w:sz w:val="20"/>
      <w:szCs w:val="20"/>
    </w:rPr>
  </w:style>
  <w:style w:type="character" w:styleId="Vietosrezervavimoenklotekstas">
    <w:name w:val="Placeholder Text"/>
    <w:basedOn w:val="Numatytasispastraiposriftas"/>
    <w:uiPriority w:val="99"/>
    <w:semiHidden/>
    <w:rsid w:val="006E35A5"/>
    <w:rPr>
      <w:color w:val="808080"/>
    </w:rPr>
  </w:style>
  <w:style w:type="paragraph" w:styleId="Antrats">
    <w:name w:val="header"/>
    <w:basedOn w:val="prastasis"/>
    <w:link w:val="AntratsDiagrama"/>
    <w:uiPriority w:val="99"/>
    <w:unhideWhenUsed/>
    <w:rsid w:val="009E40FF"/>
    <w:pPr>
      <w:tabs>
        <w:tab w:val="center" w:pos="4819"/>
        <w:tab w:val="right" w:pos="9638"/>
      </w:tabs>
    </w:pPr>
  </w:style>
  <w:style w:type="character" w:customStyle="1" w:styleId="AntratsDiagrama">
    <w:name w:val="Antraštės Diagrama"/>
    <w:basedOn w:val="Numatytasispastraiposriftas"/>
    <w:link w:val="Antrats"/>
    <w:uiPriority w:val="99"/>
    <w:rsid w:val="009E40FF"/>
    <w:rPr>
      <w:rFonts w:eastAsia="Times New Roman" w:cs="Times New Roman"/>
      <w:sz w:val="20"/>
      <w:szCs w:val="20"/>
    </w:rPr>
  </w:style>
  <w:style w:type="paragraph" w:styleId="Porat">
    <w:name w:val="footer"/>
    <w:basedOn w:val="prastasis"/>
    <w:link w:val="PoratDiagrama"/>
    <w:uiPriority w:val="99"/>
    <w:unhideWhenUsed/>
    <w:rsid w:val="009E40FF"/>
    <w:pPr>
      <w:tabs>
        <w:tab w:val="center" w:pos="4819"/>
        <w:tab w:val="right" w:pos="9638"/>
      </w:tabs>
    </w:pPr>
  </w:style>
  <w:style w:type="character" w:customStyle="1" w:styleId="PoratDiagrama">
    <w:name w:val="Poraštė Diagrama"/>
    <w:basedOn w:val="Numatytasispastraiposriftas"/>
    <w:link w:val="Porat"/>
    <w:uiPriority w:val="99"/>
    <w:rsid w:val="009E40FF"/>
    <w:rPr>
      <w:rFonts w:eastAsia="Times New Roman" w:cs="Times New Roman"/>
      <w:sz w:val="20"/>
      <w:szCs w:val="20"/>
    </w:rPr>
  </w:style>
  <w:style w:type="character" w:customStyle="1" w:styleId="Parykintas">
    <w:name w:val="Paryškintas"/>
    <w:basedOn w:val="Numatytasispastraiposriftas"/>
    <w:uiPriority w:val="1"/>
    <w:qFormat/>
    <w:rsid w:val="005E379B"/>
    <w:rPr>
      <w:rFonts w:ascii="Tahoma" w:hAnsi="Tahoma"/>
      <w:b/>
      <w:sz w:val="22"/>
    </w:rPr>
  </w:style>
  <w:style w:type="character" w:customStyle="1" w:styleId="UpperBold">
    <w:name w:val="Upper Bold"/>
    <w:basedOn w:val="Numatytasispastraiposriftas"/>
    <w:uiPriority w:val="1"/>
    <w:rsid w:val="00947F1D"/>
    <w:rPr>
      <w:rFonts w:ascii="Tahoma" w:hAnsi="Tahoma"/>
      <w:b/>
      <w:sz w:val="22"/>
    </w:rPr>
  </w:style>
  <w:style w:type="character" w:customStyle="1" w:styleId="Antrat1Diagrama">
    <w:name w:val="Antraštė 1 Diagrama"/>
    <w:basedOn w:val="Numatytasispastraiposriftas"/>
    <w:link w:val="Antrat1"/>
    <w:uiPriority w:val="9"/>
    <w:rsid w:val="00947F1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rsid w:val="00947F1D"/>
    <w:rPr>
      <w:rFonts w:asciiTheme="majorHAnsi" w:eastAsiaTheme="majorEastAsia" w:hAnsiTheme="majorHAnsi" w:cstheme="majorBidi"/>
      <w:color w:val="1F4D78" w:themeColor="accent1" w:themeShade="7F"/>
      <w:szCs w:val="24"/>
    </w:rPr>
  </w:style>
  <w:style w:type="paragraph" w:styleId="Pavadinimas">
    <w:name w:val="Title"/>
    <w:basedOn w:val="prastasis"/>
    <w:next w:val="prastasis"/>
    <w:link w:val="PavadinimasDiagrama"/>
    <w:uiPriority w:val="10"/>
    <w:qFormat/>
    <w:rsid w:val="00947F1D"/>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F1D"/>
    <w:rPr>
      <w:rFonts w:asciiTheme="majorHAnsi" w:eastAsiaTheme="majorEastAsia" w:hAnsiTheme="majorHAnsi" w:cstheme="majorBidi"/>
      <w:spacing w:val="-10"/>
      <w:kern w:val="28"/>
      <w:sz w:val="56"/>
      <w:szCs w:val="56"/>
    </w:rPr>
  </w:style>
  <w:style w:type="character" w:customStyle="1" w:styleId="Style1">
    <w:name w:val="Style1"/>
    <w:basedOn w:val="UpperBold"/>
    <w:uiPriority w:val="1"/>
    <w:rsid w:val="00947F1D"/>
    <w:rPr>
      <w:rFonts w:ascii="Tahoma" w:hAnsi="Tahoma"/>
      <w:b/>
      <w:sz w:val="22"/>
    </w:rPr>
  </w:style>
  <w:style w:type="paragraph" w:styleId="Pataisymai">
    <w:name w:val="Revision"/>
    <w:hidden/>
    <w:uiPriority w:val="99"/>
    <w:semiHidden/>
    <w:rsid w:val="00D153CD"/>
    <w:pPr>
      <w:ind w:firstLine="0"/>
    </w:pPr>
    <w:rPr>
      <w:rFonts w:eastAsia="Times New Roman" w:cs="Times New Roman"/>
      <w:sz w:val="20"/>
      <w:szCs w:val="20"/>
    </w:rPr>
  </w:style>
  <w:style w:type="paragraph" w:styleId="Puslapioinaostekstas">
    <w:name w:val="footnote text"/>
    <w:basedOn w:val="prastasis"/>
    <w:link w:val="PuslapioinaostekstasDiagrama"/>
    <w:uiPriority w:val="99"/>
    <w:semiHidden/>
    <w:unhideWhenUsed/>
    <w:rsid w:val="00971686"/>
    <w:rPr>
      <w:rFonts w:ascii="Calibri" w:eastAsia="Calibri" w:hAnsi="Calibri"/>
    </w:rPr>
  </w:style>
  <w:style w:type="character" w:customStyle="1" w:styleId="PuslapioinaostekstasDiagrama">
    <w:name w:val="Puslapio išnašos tekstas Diagrama"/>
    <w:basedOn w:val="Numatytasispastraiposriftas"/>
    <w:link w:val="Puslapioinaostekstas"/>
    <w:uiPriority w:val="99"/>
    <w:semiHidden/>
    <w:rsid w:val="00971686"/>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971686"/>
    <w:rPr>
      <w:vertAlign w:val="superscrip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E653C5"/>
    <w:rPr>
      <w:rFonts w:eastAsia="Times New Roman" w:cs="Times New Roman"/>
      <w:sz w:val="20"/>
      <w:szCs w:val="20"/>
    </w:rPr>
  </w:style>
  <w:style w:type="paragraph" w:styleId="HTMLiankstoformatuotas">
    <w:name w:val="HTML Preformatted"/>
    <w:basedOn w:val="prastasis"/>
    <w:link w:val="HTMLiankstoformatuotasDiagrama"/>
    <w:uiPriority w:val="99"/>
    <w:semiHidden/>
    <w:unhideWhenUsed/>
    <w:rsid w:val="00D15EBB"/>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D15EBB"/>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00">
      <w:bodyDiv w:val="1"/>
      <w:marLeft w:val="0"/>
      <w:marRight w:val="0"/>
      <w:marTop w:val="0"/>
      <w:marBottom w:val="0"/>
      <w:divBdr>
        <w:top w:val="none" w:sz="0" w:space="0" w:color="auto"/>
        <w:left w:val="none" w:sz="0" w:space="0" w:color="auto"/>
        <w:bottom w:val="none" w:sz="0" w:space="0" w:color="auto"/>
        <w:right w:val="none" w:sz="0" w:space="0" w:color="auto"/>
      </w:divBdr>
    </w:div>
    <w:div w:id="305816002">
      <w:bodyDiv w:val="1"/>
      <w:marLeft w:val="0"/>
      <w:marRight w:val="0"/>
      <w:marTop w:val="0"/>
      <w:marBottom w:val="0"/>
      <w:divBdr>
        <w:top w:val="none" w:sz="0" w:space="0" w:color="auto"/>
        <w:left w:val="none" w:sz="0" w:space="0" w:color="auto"/>
        <w:bottom w:val="none" w:sz="0" w:space="0" w:color="auto"/>
        <w:right w:val="none" w:sz="0" w:space="0" w:color="auto"/>
      </w:divBdr>
    </w:div>
    <w:div w:id="879513722">
      <w:bodyDiv w:val="1"/>
      <w:marLeft w:val="0"/>
      <w:marRight w:val="0"/>
      <w:marTop w:val="0"/>
      <w:marBottom w:val="0"/>
      <w:divBdr>
        <w:top w:val="none" w:sz="0" w:space="0" w:color="auto"/>
        <w:left w:val="none" w:sz="0" w:space="0" w:color="auto"/>
        <w:bottom w:val="none" w:sz="0" w:space="0" w:color="auto"/>
        <w:right w:val="none" w:sz="0" w:space="0" w:color="auto"/>
      </w:divBdr>
      <w:divsChild>
        <w:div w:id="2013414285">
          <w:marLeft w:val="0"/>
          <w:marRight w:val="0"/>
          <w:marTop w:val="0"/>
          <w:marBottom w:val="0"/>
          <w:divBdr>
            <w:top w:val="none" w:sz="0" w:space="0" w:color="auto"/>
            <w:left w:val="none" w:sz="0" w:space="0" w:color="auto"/>
            <w:bottom w:val="none" w:sz="0" w:space="0" w:color="auto"/>
            <w:right w:val="none" w:sz="0" w:space="0" w:color="auto"/>
          </w:divBdr>
        </w:div>
        <w:div w:id="499199197">
          <w:marLeft w:val="0"/>
          <w:marRight w:val="0"/>
          <w:marTop w:val="0"/>
          <w:marBottom w:val="0"/>
          <w:divBdr>
            <w:top w:val="none" w:sz="0" w:space="0" w:color="auto"/>
            <w:left w:val="none" w:sz="0" w:space="0" w:color="auto"/>
            <w:bottom w:val="none" w:sz="0" w:space="0" w:color="auto"/>
            <w:right w:val="none" w:sz="0" w:space="0" w:color="auto"/>
          </w:divBdr>
        </w:div>
      </w:divsChild>
    </w:div>
    <w:div w:id="1061294983">
      <w:bodyDiv w:val="1"/>
      <w:marLeft w:val="0"/>
      <w:marRight w:val="0"/>
      <w:marTop w:val="0"/>
      <w:marBottom w:val="0"/>
      <w:divBdr>
        <w:top w:val="none" w:sz="0" w:space="0" w:color="auto"/>
        <w:left w:val="none" w:sz="0" w:space="0" w:color="auto"/>
        <w:bottom w:val="none" w:sz="0" w:space="0" w:color="auto"/>
        <w:right w:val="none" w:sz="0" w:space="0" w:color="auto"/>
      </w:divBdr>
    </w:div>
    <w:div w:id="1069033417">
      <w:bodyDiv w:val="1"/>
      <w:marLeft w:val="0"/>
      <w:marRight w:val="0"/>
      <w:marTop w:val="0"/>
      <w:marBottom w:val="0"/>
      <w:divBdr>
        <w:top w:val="none" w:sz="0" w:space="0" w:color="auto"/>
        <w:left w:val="none" w:sz="0" w:space="0" w:color="auto"/>
        <w:bottom w:val="none" w:sz="0" w:space="0" w:color="auto"/>
        <w:right w:val="none" w:sz="0" w:space="0" w:color="auto"/>
      </w:divBdr>
      <w:divsChild>
        <w:div w:id="461970360">
          <w:marLeft w:val="0"/>
          <w:marRight w:val="0"/>
          <w:marTop w:val="0"/>
          <w:marBottom w:val="0"/>
          <w:divBdr>
            <w:top w:val="none" w:sz="0" w:space="0" w:color="auto"/>
            <w:left w:val="none" w:sz="0" w:space="0" w:color="auto"/>
            <w:bottom w:val="none" w:sz="0" w:space="0" w:color="auto"/>
            <w:right w:val="none" w:sz="0" w:space="0" w:color="auto"/>
          </w:divBdr>
        </w:div>
        <w:div w:id="50201729">
          <w:marLeft w:val="0"/>
          <w:marRight w:val="0"/>
          <w:marTop w:val="0"/>
          <w:marBottom w:val="0"/>
          <w:divBdr>
            <w:top w:val="none" w:sz="0" w:space="0" w:color="auto"/>
            <w:left w:val="none" w:sz="0" w:space="0" w:color="auto"/>
            <w:bottom w:val="none" w:sz="0" w:space="0" w:color="auto"/>
            <w:right w:val="none" w:sz="0" w:space="0" w:color="auto"/>
          </w:divBdr>
        </w:div>
      </w:divsChild>
    </w:div>
    <w:div w:id="1477331699">
      <w:bodyDiv w:val="1"/>
      <w:marLeft w:val="0"/>
      <w:marRight w:val="0"/>
      <w:marTop w:val="0"/>
      <w:marBottom w:val="0"/>
      <w:divBdr>
        <w:top w:val="none" w:sz="0" w:space="0" w:color="auto"/>
        <w:left w:val="none" w:sz="0" w:space="0" w:color="auto"/>
        <w:bottom w:val="none" w:sz="0" w:space="0" w:color="auto"/>
        <w:right w:val="none" w:sz="0" w:space="0" w:color="auto"/>
      </w:divBdr>
    </w:div>
    <w:div w:id="20946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F571-16DA-40F7-9FEA-52B88817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2112</Words>
  <Characters>1204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Anželita Pajaujienė</cp:lastModifiedBy>
  <cp:revision>3</cp:revision>
  <cp:lastPrinted>2017-11-23T13:04:00Z</cp:lastPrinted>
  <dcterms:created xsi:type="dcterms:W3CDTF">2025-02-18T09:43:00Z</dcterms:created>
  <dcterms:modified xsi:type="dcterms:W3CDTF">2025-02-18T09:44:00Z</dcterms:modified>
</cp:coreProperties>
</file>