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70095A" w:rsidRDefault="001D1335" w:rsidP="001D1335">
            <w:pPr>
              <w:spacing w:line="240" w:lineRule="auto"/>
              <w:rPr>
                <w:i/>
                <w:szCs w:val="24"/>
              </w:rPr>
            </w:pPr>
            <w:r w:rsidRPr="0070095A">
              <w:t>G</w:t>
            </w:r>
            <w:r w:rsidRPr="0070095A">
              <w:rPr>
                <w:rFonts w:cs="Times New Roman"/>
                <w:bCs/>
                <w:szCs w:val="24"/>
              </w:rPr>
              <w:t>eležinkelio gatvės KT8129, Kretingos mieste, (ruožas nuo sankryžos su Pervažos gatve iki sankryžos su Pasieniečių gatve) rekonstrukcijos techninio darbo projekto parengimo paslaugos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1D133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1D133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2025-02-10</w:t>
            </w:r>
            <w:r w:rsidR="009C6385">
              <w:rPr>
                <w:szCs w:val="24"/>
                <w:shd w:val="clear" w:color="auto" w:fill="FFFFFF"/>
              </w:rPr>
              <w:t xml:space="preserve"> Nr. </w:t>
            </w:r>
            <w:r w:rsidRPr="001D1335">
              <w:rPr>
                <w:rFonts w:cs="Times New Roman"/>
                <w:color w:val="00241A"/>
                <w:szCs w:val="24"/>
                <w:shd w:val="clear" w:color="auto" w:fill="FFFFFF"/>
              </w:rPr>
              <w:t>1139992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1D133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1D1335">
              <w:rPr>
                <w:szCs w:val="24"/>
              </w:rPr>
              <w:t>2</w:t>
            </w:r>
            <w:r>
              <w:rPr>
                <w:szCs w:val="24"/>
              </w:rPr>
              <w:t>-1</w:t>
            </w:r>
            <w:r w:rsidR="001D1335">
              <w:rPr>
                <w:szCs w:val="24"/>
              </w:rPr>
              <w:t>0 – 2025</w:t>
            </w:r>
            <w:r>
              <w:rPr>
                <w:szCs w:val="24"/>
              </w:rPr>
              <w:t>-0</w:t>
            </w:r>
            <w:r w:rsidR="001D1335">
              <w:rPr>
                <w:szCs w:val="24"/>
              </w:rPr>
              <w:t>2-17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1D1335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Default="001D1335" w:rsidP="00195C3E">
            <w:r>
              <w:t>Informacija, susijusi su Sutarties vykdymo sąlygomis:</w:t>
            </w:r>
          </w:p>
          <w:p w:rsidR="0033048A" w:rsidRDefault="001D1335" w:rsidP="00195C3E">
            <w:r>
              <w:t>1) 12 sutarties projekto punktas turėtų būti patikslintas: apmokėjimas  turėtų būti 55 proc. po projektinių pasiūlymų parengimo.</w:t>
            </w:r>
          </w:p>
          <w:p w:rsidR="001D1335" w:rsidRDefault="001D1335" w:rsidP="001D1335">
            <w:pPr>
              <w:rPr>
                <w:szCs w:val="24"/>
              </w:rPr>
            </w:pPr>
            <w:r>
              <w:t xml:space="preserve">2) </w:t>
            </w:r>
            <w:r>
              <w:rPr>
                <w:szCs w:val="24"/>
              </w:rPr>
              <w:t xml:space="preserve">Siūlome numatyti projektinių pasiūlymų su statybą leidžiančio dokumento gavimu parengimo terminą  - 9 mėn., </w:t>
            </w:r>
            <w:r w:rsidR="0070095A">
              <w:rPr>
                <w:szCs w:val="24"/>
              </w:rPr>
              <w:t>techninio darbo projekto parengimo</w:t>
            </w:r>
            <w:r>
              <w:rPr>
                <w:szCs w:val="24"/>
              </w:rPr>
              <w:t xml:space="preserve"> su </w:t>
            </w:r>
            <w:r w:rsidR="0070095A">
              <w:rPr>
                <w:szCs w:val="24"/>
              </w:rPr>
              <w:t xml:space="preserve">ekspertizės akto </w:t>
            </w:r>
            <w:r>
              <w:rPr>
                <w:szCs w:val="24"/>
              </w:rPr>
              <w:t>gavimu terminą – 6 mėn. Bendrai 15 mėn.</w:t>
            </w:r>
          </w:p>
          <w:p w:rsidR="001D1335" w:rsidRPr="00195C3E" w:rsidRDefault="001D1335" w:rsidP="00195C3E"/>
        </w:tc>
        <w:tc>
          <w:tcPr>
            <w:tcW w:w="3921" w:type="dxa"/>
          </w:tcPr>
          <w:p w:rsidR="007C01D3" w:rsidRDefault="007C01D3" w:rsidP="001D340A">
            <w:pPr>
              <w:pStyle w:val="Sraopastraipa"/>
              <w:ind w:left="0"/>
              <w:jc w:val="both"/>
            </w:pPr>
            <w:r>
              <w:t xml:space="preserve">Komisija priėmė sprendimą </w:t>
            </w:r>
            <w:r w:rsidR="001D1335">
              <w:t xml:space="preserve">iš dalies </w:t>
            </w:r>
            <w:r w:rsidR="001D340A">
              <w:t>atsižvelgti į dalyvio pasiūlymą.</w:t>
            </w:r>
          </w:p>
          <w:p w:rsidR="0033048A" w:rsidRDefault="0033048A" w:rsidP="007C01D3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</w:p>
          <w:p w:rsidR="00FE5A11" w:rsidRPr="0033048A" w:rsidRDefault="00FE5A11" w:rsidP="007C01D3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  <w:bookmarkStart w:id="0" w:name="_GoBack"/>
            <w:bookmarkEnd w:id="0"/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70095A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5C3E"/>
    <w:rsid w:val="001D1335"/>
    <w:rsid w:val="001D340A"/>
    <w:rsid w:val="0033048A"/>
    <w:rsid w:val="006D460F"/>
    <w:rsid w:val="0070095A"/>
    <w:rsid w:val="007C01D3"/>
    <w:rsid w:val="00917199"/>
    <w:rsid w:val="009667B6"/>
    <w:rsid w:val="009C6385"/>
    <w:rsid w:val="00C05BD1"/>
    <w:rsid w:val="00D05523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611C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9C5ECF67</Template>
  <TotalTime>253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Aušra Margevičienė</cp:lastModifiedBy>
  <cp:revision>5</cp:revision>
  <cp:lastPrinted>2025-02-19T11:33:00Z</cp:lastPrinted>
  <dcterms:created xsi:type="dcterms:W3CDTF">2022-06-01T12:37:00Z</dcterms:created>
  <dcterms:modified xsi:type="dcterms:W3CDTF">2025-02-19T11:36:00Z</dcterms:modified>
</cp:coreProperties>
</file>