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teikėjas ketina pasitelkti  </w:t>
      </w:r>
      <w:proofErr w:type="spellStart"/>
      <w:r w:rsidRPr="009E47B1">
        <w:rPr>
          <w:i/>
          <w:spacing w:val="-4"/>
        </w:rPr>
        <w:t>subteikėją</w:t>
      </w:r>
      <w:proofErr w:type="spellEnd"/>
      <w:r w:rsidRPr="009E47B1">
        <w:rPr>
          <w:i/>
          <w:spacing w:val="-4"/>
        </w:rPr>
        <w:t xml:space="preserve">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43865">
        <w:trPr>
          <w:trHeight w:val="9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5C626B78" w:rsidR="00BD71EB" w:rsidRPr="00A43865" w:rsidRDefault="00930253" w:rsidP="00A43865">
            <w:pPr>
              <w:jc w:val="center"/>
              <w:rPr>
                <w:b/>
                <w:szCs w:val="20"/>
              </w:rPr>
            </w:pPr>
            <w:r w:rsidRPr="00930253">
              <w:rPr>
                <w:b/>
                <w:szCs w:val="20"/>
              </w:rPr>
              <w:t>QRA zonos vidaus kelių dangos</w:t>
            </w:r>
            <w:r>
              <w:rPr>
                <w:b/>
                <w:szCs w:val="20"/>
              </w:rPr>
              <w:t xml:space="preserve"> 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5383AAA7" w:rsidR="008F056D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A43865">
        <w:rPr>
          <w:i/>
          <w:iCs/>
          <w:sz w:val="24"/>
          <w:szCs w:val="24"/>
          <w:lang w:val="lt-LT"/>
        </w:rPr>
        <w:t>.</w:t>
      </w:r>
    </w:p>
    <w:p w14:paraId="7D36B04A" w14:textId="17857B10" w:rsidR="00A43865" w:rsidRPr="00A43865" w:rsidRDefault="00930253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>
        <w:rPr>
          <w:b/>
          <w:iCs/>
          <w:sz w:val="24"/>
          <w:szCs w:val="24"/>
          <w:lang w:val="lt-LT"/>
        </w:rPr>
        <w:t>Numatoma sutarties vertė 48 0</w:t>
      </w:r>
      <w:r w:rsidR="00A43865" w:rsidRPr="00A43865">
        <w:rPr>
          <w:b/>
          <w:iCs/>
          <w:sz w:val="24"/>
          <w:szCs w:val="24"/>
          <w:lang w:val="lt-LT"/>
        </w:rPr>
        <w:t xml:space="preserve">00,00 </w:t>
      </w:r>
      <w:proofErr w:type="spellStart"/>
      <w:r w:rsidR="00A43865" w:rsidRPr="00A43865">
        <w:rPr>
          <w:b/>
          <w:iCs/>
          <w:sz w:val="24"/>
          <w:szCs w:val="24"/>
          <w:lang w:val="lt-LT"/>
        </w:rPr>
        <w:t>Eur</w:t>
      </w:r>
      <w:proofErr w:type="spellEnd"/>
      <w:r w:rsidR="00A43865" w:rsidRPr="00A43865">
        <w:rPr>
          <w:b/>
          <w:iCs/>
          <w:sz w:val="24"/>
          <w:szCs w:val="24"/>
          <w:lang w:val="lt-LT"/>
        </w:rPr>
        <w:t xml:space="preserve"> su PVM, viršijus šią sumą pasiūlymas bus atmestas.</w:t>
      </w:r>
    </w:p>
    <w:p w14:paraId="49C8AF6F" w14:textId="45F904DB" w:rsidR="00A43865" w:rsidRPr="00A43865" w:rsidRDefault="00A43865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 w:rsidRPr="00A43865">
        <w:rPr>
          <w:b/>
          <w:iCs/>
          <w:sz w:val="24"/>
          <w:szCs w:val="24"/>
          <w:lang w:val="lt-LT"/>
        </w:rPr>
        <w:t>Rangovas teikdamas pasiūlymą kartu p</w:t>
      </w:r>
      <w:r>
        <w:rPr>
          <w:b/>
          <w:iCs/>
          <w:sz w:val="24"/>
          <w:szCs w:val="24"/>
          <w:lang w:val="lt-LT"/>
        </w:rPr>
        <w:t>rivalo pateikti lokalinę sąmatą.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1F3186A2" w14:textId="02EBBAE5" w:rsidR="006F39B3" w:rsidRPr="000C57F8" w:rsidRDefault="006F39B3" w:rsidP="002E72CB">
      <w:bookmarkStart w:id="0" w:name="_GoBack"/>
      <w:bookmarkEnd w:id="0"/>
    </w:p>
    <w:sectPr w:rsidR="006F39B3" w:rsidRPr="000C57F8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362712" w:rsidRDefault="00362712" w:rsidP="005D5E19">
      <w:r>
        <w:separator/>
      </w:r>
    </w:p>
  </w:endnote>
  <w:endnote w:type="continuationSeparator" w:id="0">
    <w:p w14:paraId="3112ED99" w14:textId="77777777" w:rsidR="00362712" w:rsidRDefault="00362712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362712" w:rsidRDefault="00362712" w:rsidP="005D5E19">
      <w:r>
        <w:separator/>
      </w:r>
    </w:p>
  </w:footnote>
  <w:footnote w:type="continuationSeparator" w:id="0">
    <w:p w14:paraId="3F2C4130" w14:textId="77777777" w:rsidR="00362712" w:rsidRDefault="00362712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362712" w:rsidRDefault="00362712">
        <w:pPr>
          <w:pStyle w:val="Header"/>
          <w:jc w:val="center"/>
        </w:pPr>
      </w:p>
      <w:p w14:paraId="519CDCF7" w14:textId="2909B411" w:rsidR="00362712" w:rsidRDefault="003627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2CB" w:rsidRPr="002E72CB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362712" w:rsidRDefault="00362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024D"/>
    <w:rsid w:val="00061679"/>
    <w:rsid w:val="00061D2A"/>
    <w:rsid w:val="00065A32"/>
    <w:rsid w:val="0007060C"/>
    <w:rsid w:val="00076196"/>
    <w:rsid w:val="00077B22"/>
    <w:rsid w:val="00083089"/>
    <w:rsid w:val="00084137"/>
    <w:rsid w:val="00085268"/>
    <w:rsid w:val="000855AE"/>
    <w:rsid w:val="00085B7A"/>
    <w:rsid w:val="00092ADB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25D2"/>
    <w:rsid w:val="000F3469"/>
    <w:rsid w:val="001029E6"/>
    <w:rsid w:val="00102D5A"/>
    <w:rsid w:val="001070B9"/>
    <w:rsid w:val="00110C06"/>
    <w:rsid w:val="001122FD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186C"/>
    <w:rsid w:val="00154E68"/>
    <w:rsid w:val="00160FA3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CDA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7F8F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1C07"/>
    <w:rsid w:val="0026413F"/>
    <w:rsid w:val="00264681"/>
    <w:rsid w:val="00265512"/>
    <w:rsid w:val="00266073"/>
    <w:rsid w:val="00267ADE"/>
    <w:rsid w:val="002710A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2CB"/>
    <w:rsid w:val="002E79F0"/>
    <w:rsid w:val="002F11ED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2712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09C3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5E1A"/>
    <w:rsid w:val="003E7C6F"/>
    <w:rsid w:val="003F35A8"/>
    <w:rsid w:val="003F5800"/>
    <w:rsid w:val="003F6D81"/>
    <w:rsid w:val="003F79E4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2E1E"/>
    <w:rsid w:val="004E53CE"/>
    <w:rsid w:val="004E76D2"/>
    <w:rsid w:val="004F0AD2"/>
    <w:rsid w:val="004F20D3"/>
    <w:rsid w:val="004F5CFB"/>
    <w:rsid w:val="004F64B7"/>
    <w:rsid w:val="00501B5F"/>
    <w:rsid w:val="00510FB3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384E"/>
    <w:rsid w:val="005604E6"/>
    <w:rsid w:val="00560EBE"/>
    <w:rsid w:val="00564C5F"/>
    <w:rsid w:val="00566B5F"/>
    <w:rsid w:val="00566E32"/>
    <w:rsid w:val="005726AD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C6A05"/>
    <w:rsid w:val="005D3C76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1F29"/>
    <w:rsid w:val="006D3BBF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05387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3276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37BB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1C4E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2975"/>
    <w:rsid w:val="008C49CE"/>
    <w:rsid w:val="008C6605"/>
    <w:rsid w:val="008C7894"/>
    <w:rsid w:val="008D3CE6"/>
    <w:rsid w:val="008D6255"/>
    <w:rsid w:val="008E25CE"/>
    <w:rsid w:val="008E506B"/>
    <w:rsid w:val="008E5CE1"/>
    <w:rsid w:val="008E6824"/>
    <w:rsid w:val="008E6955"/>
    <w:rsid w:val="008F056D"/>
    <w:rsid w:val="008F0638"/>
    <w:rsid w:val="008F701F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0253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3865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22B6"/>
    <w:rsid w:val="00AC31CF"/>
    <w:rsid w:val="00AC436F"/>
    <w:rsid w:val="00AC565D"/>
    <w:rsid w:val="00AC70D0"/>
    <w:rsid w:val="00AD0391"/>
    <w:rsid w:val="00AD0BFA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977"/>
    <w:rsid w:val="00B273E6"/>
    <w:rsid w:val="00B32DB8"/>
    <w:rsid w:val="00B33116"/>
    <w:rsid w:val="00B400F9"/>
    <w:rsid w:val="00B4618B"/>
    <w:rsid w:val="00B46355"/>
    <w:rsid w:val="00B46F15"/>
    <w:rsid w:val="00B57B05"/>
    <w:rsid w:val="00B61569"/>
    <w:rsid w:val="00B6275D"/>
    <w:rsid w:val="00B63C9B"/>
    <w:rsid w:val="00B6516E"/>
    <w:rsid w:val="00B673C7"/>
    <w:rsid w:val="00B6741F"/>
    <w:rsid w:val="00B70616"/>
    <w:rsid w:val="00B70964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34D1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8C6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B5D7A"/>
    <w:rsid w:val="00CC0492"/>
    <w:rsid w:val="00CC2BDE"/>
    <w:rsid w:val="00CC426F"/>
    <w:rsid w:val="00CC6DBA"/>
    <w:rsid w:val="00CD6334"/>
    <w:rsid w:val="00CE29CC"/>
    <w:rsid w:val="00CE645D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57F1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662"/>
    <w:rsid w:val="00D60F8A"/>
    <w:rsid w:val="00D623F7"/>
    <w:rsid w:val="00D66A67"/>
    <w:rsid w:val="00D66F1D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08D8"/>
    <w:rsid w:val="00DC4CD1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05E2F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1AF5"/>
    <w:rsid w:val="00E77BFC"/>
    <w:rsid w:val="00E80F17"/>
    <w:rsid w:val="00E82037"/>
    <w:rsid w:val="00E82656"/>
    <w:rsid w:val="00E87038"/>
    <w:rsid w:val="00E96698"/>
    <w:rsid w:val="00EA02B7"/>
    <w:rsid w:val="00EB0536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69E3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229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table" w:customStyle="1" w:styleId="TableGrid2">
    <w:name w:val="Table Grid2"/>
    <w:basedOn w:val="TableNormal"/>
    <w:next w:val="TableGrid"/>
    <w:uiPriority w:val="39"/>
    <w:rsid w:val="00EE69E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E864-704C-4C4B-8771-8380C773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204</cp:revision>
  <cp:lastPrinted>2022-01-12T13:36:00Z</cp:lastPrinted>
  <dcterms:created xsi:type="dcterms:W3CDTF">2021-02-11T08:18:00Z</dcterms:created>
  <dcterms:modified xsi:type="dcterms:W3CDTF">2025-02-19T11:53:00Z</dcterms:modified>
</cp:coreProperties>
</file>